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开发区财政局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开发区财政局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会计结算中心，国库支付中心）属于管委会的内设机构。财政局主要负责区内财政、国有资产、会计管理工作；编制年度财政预、决算草案并组织实施；协调税收征管部门依法组织征收，及时足额入库。按照《会计法》、《预算法》和有关财政法规制度规定，审核、记录、计算和报告财会业务对口单位各种资金的增加变动及其结果；根据财会业务对口单位工作需要，提供有关会计信息资料等；认真记账、结账，编制财务报表，做到内容真实，数据准确。建立国库单一账户体系，管理零余额账户；受理审核预算单位支付申请，办理支付业务并进行相关会计核算；办理代理银行、预算单位资金清算工作；办理年终支付系统结账结转和年初初始化工作；做好公务卡发卡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预算科、国库科、业务科室、办公室4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人，退休人员0人。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13552.1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27.4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到期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一般及专项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政府债券还本付息支出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算63047.62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</w:rPr>
        <w:t>20956.62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财政拨款收入20956.62万元，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63047.62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出2453.5万元，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60594.12万元，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20956.62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减少3470.9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下降14.2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2024年一般债券到期本息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及预留资金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68</w:t>
      </w:r>
      <w:r>
        <w:rPr>
          <w:rFonts w:hint="eastAsia" w:ascii="仿宋" w:hAnsi="仿宋" w:eastAsia="仿宋" w:cs="仿宋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到期专项债券还本付息支出比去年增加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较去年增加23万元，增长33.8%，主要原因为：上级补助较去年增加。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一般公共预算支出年初预算为20956.62万元。主要用于以下方面：一般公共服务支出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科学技术支出15000万元，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71.6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0.17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预备费1050万元，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1303.12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；债务</w:t>
      </w:r>
      <w:r>
        <w:rPr>
          <w:rFonts w:hint="eastAsia" w:ascii="仿宋_GB2312" w:hAnsi="仿宋_GB2312" w:eastAsia="仿宋_GB2312" w:cs="仿宋_GB2312"/>
          <w:sz w:val="32"/>
          <w:szCs w:val="32"/>
        </w:rPr>
        <w:t>付息支出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2453.5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2420.5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33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2024年政</w:t>
      </w:r>
      <w:r>
        <w:rPr>
          <w:rFonts w:hint="eastAsia" w:ascii="仿宋" w:hAnsi="仿宋" w:eastAsia="仿宋" w:cs="仿宋"/>
          <w:sz w:val="32"/>
          <w:szCs w:val="32"/>
        </w:rPr>
        <w:t>府性基金预算收入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42000</w:t>
      </w:r>
      <w:r>
        <w:rPr>
          <w:rFonts w:hint="eastAsia" w:ascii="仿宋" w:hAnsi="仿宋" w:eastAsia="仿宋" w:cs="仿宋"/>
          <w:sz w:val="32"/>
          <w:szCs w:val="32"/>
        </w:rPr>
        <w:t>万元，政府性基金支出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42000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与去年相比增加17000万元，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主要原因为：</w:t>
      </w:r>
      <w:r>
        <w:rPr>
          <w:rFonts w:hint="eastAsia" w:ascii="仿宋" w:hAnsi="仿宋" w:eastAsia="仿宋" w:cs="仿宋"/>
          <w:sz w:val="32"/>
          <w:szCs w:val="32"/>
        </w:rPr>
        <w:t>专项债券付息支出，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比去年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减少6300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到期专项债券还本支出比去年增加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23300万元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故收支比去年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有所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2024年国有资本经营</w:t>
      </w:r>
      <w:r>
        <w:rPr>
          <w:rFonts w:hint="eastAsia" w:ascii="仿宋" w:hAnsi="仿宋" w:eastAsia="仿宋" w:cs="仿宋"/>
          <w:sz w:val="32"/>
          <w:szCs w:val="32"/>
        </w:rPr>
        <w:t>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国有资本经营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91</w:t>
      </w:r>
      <w:r>
        <w:rPr>
          <w:rFonts w:hint="eastAsia" w:ascii="仿宋" w:hAnsi="仿宋" w:eastAsia="仿宋" w:cs="仿宋"/>
          <w:sz w:val="32"/>
          <w:szCs w:val="32"/>
        </w:rPr>
        <w:t>万元。主要用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于国有企业退休人员社会化管理补助支出，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与去年相比增加23万元。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增加1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增长1.2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人员变动，导致公用经费有所增加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9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拨款60594.12万元（含中央省提前告知转移支付资金0万元）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5B8313B"/>
    <w:rsid w:val="37E8117F"/>
    <w:rsid w:val="38C6627D"/>
    <w:rsid w:val="3D347D63"/>
    <w:rsid w:val="3F6525B0"/>
    <w:rsid w:val="450E5498"/>
    <w:rsid w:val="4D924EB8"/>
    <w:rsid w:val="4E465DE4"/>
    <w:rsid w:val="4E9F2F14"/>
    <w:rsid w:val="5276395A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2024-05-13T02:32:42Z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D7DA31BEE0F145038CD57BABE4288FBB_12</vt:lpwstr>
  </property>
</Properties>
</file>