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bookmarkStart w:id="0" w:name="_Toc15455"/>
      <w:bookmarkStart w:id="1" w:name="_Toc76309862"/>
    </w:p>
    <w:p>
      <w:pPr>
        <w:jc w:val="center"/>
        <w:rPr>
          <w:rFonts w:hint="eastAsia" w:ascii="宋体" w:hAnsi="宋体" w:eastAsia="宋体" w:cs="宋体"/>
          <w:b/>
          <w:bCs/>
          <w:sz w:val="44"/>
          <w:szCs w:val="44"/>
          <w:lang w:eastAsia="zh-CN"/>
        </w:rPr>
      </w:pPr>
    </w:p>
    <w:p>
      <w:pPr>
        <w:jc w:val="center"/>
        <w:rPr>
          <w:rFonts w:ascii="黑体" w:hAnsi="黑体" w:eastAsia="黑体" w:cs="黑体"/>
          <w:sz w:val="52"/>
          <w:szCs w:val="52"/>
        </w:rPr>
      </w:pPr>
      <w:r>
        <w:rPr>
          <w:rFonts w:hint="eastAsia" w:ascii="宋体" w:hAnsi="宋体" w:eastAsia="宋体" w:cs="宋体"/>
          <w:b/>
          <w:bCs/>
          <w:sz w:val="44"/>
          <w:szCs w:val="44"/>
          <w:lang w:eastAsia="zh-CN"/>
        </w:rPr>
        <w:t>漯河经济技术开发区2022年教育专项资金项目绩效评价报告</w:t>
      </w: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r>
        <w:rPr>
          <w:rFonts w:hint="eastAsia" w:ascii="黑体" w:hAnsi="黑体" w:eastAsia="黑体" w:cs="黑体"/>
        </w:rPr>
        <w:t xml:space="preserve"> </w:t>
      </w:r>
    </w:p>
    <w:p>
      <w:pPr>
        <w:rPr>
          <w:rFonts w:ascii="黑体" w:hAnsi="黑体" w:eastAsia="黑体" w:cs="黑体"/>
        </w:rPr>
      </w:pPr>
    </w:p>
    <w:p>
      <w:pPr>
        <w:pStyle w:val="5"/>
      </w:pPr>
    </w:p>
    <w:p/>
    <w:p>
      <w:pPr>
        <w:rPr>
          <w:rFonts w:ascii="黑体" w:hAnsi="黑体" w:eastAsia="黑体" w:cs="黑体"/>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87"/>
        <w:gridCol w:w="54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87" w:type="dxa"/>
            <w:tcBorders>
              <w:tl2br w:val="nil"/>
              <w:tr2bl w:val="nil"/>
            </w:tcBorders>
            <w:vAlign w:val="center"/>
          </w:tcPr>
          <w:p>
            <w:pPr>
              <w:spacing w:before="100" w:after="100"/>
              <w:rPr>
                <w:rFonts w:hint="eastAsia" w:ascii="宋体" w:hAnsi="宋体" w:eastAsia="宋体" w:cs="宋体"/>
                <w:b/>
                <w:bCs/>
                <w:kern w:val="0"/>
              </w:rPr>
            </w:pPr>
            <w:r>
              <w:rPr>
                <w:rFonts w:hint="eastAsia" w:ascii="宋体" w:hAnsi="宋体" w:eastAsia="宋体" w:cs="宋体"/>
                <w:b/>
                <w:bCs/>
                <w:kern w:val="0"/>
              </w:rPr>
              <w:t>项目单位：</w:t>
            </w:r>
          </w:p>
        </w:tc>
        <w:tc>
          <w:tcPr>
            <w:tcW w:w="5444" w:type="dxa"/>
            <w:tcBorders>
              <w:tl2br w:val="nil"/>
              <w:tr2bl w:val="nil"/>
            </w:tcBorders>
            <w:vAlign w:val="center"/>
          </w:tcPr>
          <w:p>
            <w:pPr>
              <w:spacing w:before="100" w:after="100"/>
              <w:rPr>
                <w:rFonts w:hint="eastAsia" w:ascii="宋体" w:hAnsi="宋体" w:eastAsia="宋体" w:cs="宋体"/>
                <w:b/>
                <w:bCs/>
                <w:kern w:val="0"/>
                <w:lang w:val="en-US" w:eastAsia="zh-CN"/>
              </w:rPr>
            </w:pPr>
            <w:r>
              <w:rPr>
                <w:rFonts w:hint="eastAsia" w:ascii="宋体" w:hAnsi="宋体" w:eastAsia="宋体" w:cs="宋体"/>
                <w:b/>
                <w:bCs/>
                <w:kern w:val="0"/>
                <w:lang w:val="en-US" w:eastAsia="zh-CN"/>
              </w:rPr>
              <w:t>漯河经济技术开发区社会事业服务中心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87" w:type="dxa"/>
            <w:tcBorders>
              <w:tl2br w:val="nil"/>
              <w:tr2bl w:val="nil"/>
            </w:tcBorders>
            <w:vAlign w:val="center"/>
          </w:tcPr>
          <w:p>
            <w:pPr>
              <w:spacing w:before="100" w:after="100"/>
              <w:rPr>
                <w:rFonts w:hint="eastAsia" w:ascii="宋体" w:hAnsi="宋体" w:eastAsia="宋体" w:cs="宋体"/>
                <w:b/>
                <w:bCs/>
                <w:kern w:val="0"/>
              </w:rPr>
            </w:pPr>
            <w:r>
              <w:rPr>
                <w:rFonts w:hint="eastAsia" w:ascii="宋体" w:hAnsi="宋体" w:eastAsia="宋体" w:cs="宋体"/>
                <w:b/>
                <w:bCs/>
                <w:kern w:val="0"/>
              </w:rPr>
              <w:t>委托单位：</w:t>
            </w:r>
          </w:p>
        </w:tc>
        <w:tc>
          <w:tcPr>
            <w:tcW w:w="5444" w:type="dxa"/>
            <w:tcBorders>
              <w:tl2br w:val="nil"/>
              <w:tr2bl w:val="nil"/>
            </w:tcBorders>
            <w:vAlign w:val="center"/>
          </w:tcPr>
          <w:p>
            <w:pPr>
              <w:spacing w:before="100" w:after="100"/>
              <w:rPr>
                <w:rFonts w:hint="eastAsia" w:ascii="宋体" w:hAnsi="宋体" w:eastAsia="宋体" w:cs="宋体"/>
                <w:b/>
                <w:bCs/>
                <w:kern w:val="0"/>
              </w:rPr>
            </w:pPr>
            <w:r>
              <w:rPr>
                <w:rFonts w:hint="eastAsia" w:ascii="宋体" w:hAnsi="宋体" w:eastAsia="宋体" w:cs="宋体"/>
                <w:b/>
                <w:bCs/>
                <w:kern w:val="0"/>
                <w:lang w:val="en-US" w:eastAsia="zh-CN"/>
              </w:rPr>
              <w:t>漯河经济技术开发区</w:t>
            </w:r>
            <w:r>
              <w:rPr>
                <w:rFonts w:hint="eastAsia" w:ascii="宋体" w:hAnsi="宋体" w:eastAsia="宋体" w:cs="宋体"/>
                <w:b/>
                <w:bCs/>
                <w:kern w:val="0"/>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87" w:type="dxa"/>
            <w:tcBorders>
              <w:tl2br w:val="nil"/>
              <w:tr2bl w:val="nil"/>
            </w:tcBorders>
            <w:vAlign w:val="center"/>
          </w:tcPr>
          <w:p>
            <w:pPr>
              <w:spacing w:before="100" w:after="100"/>
              <w:rPr>
                <w:rFonts w:hint="eastAsia" w:ascii="宋体" w:hAnsi="宋体" w:eastAsia="宋体" w:cs="宋体"/>
                <w:b/>
                <w:bCs/>
                <w:kern w:val="0"/>
              </w:rPr>
            </w:pPr>
            <w:r>
              <w:rPr>
                <w:rFonts w:hint="eastAsia" w:ascii="宋体" w:hAnsi="宋体" w:eastAsia="宋体" w:cs="宋体"/>
                <w:b/>
                <w:bCs/>
                <w:kern w:val="0"/>
              </w:rPr>
              <w:t>评价机构：</w:t>
            </w:r>
          </w:p>
        </w:tc>
        <w:tc>
          <w:tcPr>
            <w:tcW w:w="5444" w:type="dxa"/>
            <w:tcBorders>
              <w:tl2br w:val="nil"/>
              <w:tr2bl w:val="nil"/>
            </w:tcBorders>
            <w:vAlign w:val="center"/>
          </w:tcPr>
          <w:p>
            <w:pPr>
              <w:spacing w:before="100" w:after="100"/>
              <w:rPr>
                <w:rFonts w:hint="eastAsia" w:ascii="宋体" w:hAnsi="宋体" w:eastAsia="宋体" w:cs="宋体"/>
                <w:b/>
                <w:bCs/>
                <w:kern w:val="0"/>
                <w:lang w:eastAsia="zh-CN"/>
              </w:rPr>
            </w:pPr>
            <w:r>
              <w:rPr>
                <w:rFonts w:hint="eastAsia" w:ascii="宋体" w:hAnsi="宋体" w:eastAsia="宋体" w:cs="宋体"/>
                <w:b/>
                <w:bCs/>
                <w:kern w:val="0"/>
                <w:lang w:val="en-US" w:eastAsia="zh-CN"/>
              </w:rPr>
              <w:t>漯河金桥联合会计师事务所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687" w:type="dxa"/>
            <w:tcBorders>
              <w:tl2br w:val="nil"/>
              <w:tr2bl w:val="nil"/>
            </w:tcBorders>
            <w:vAlign w:val="center"/>
          </w:tcPr>
          <w:p>
            <w:pPr>
              <w:spacing w:before="100" w:after="100"/>
              <w:rPr>
                <w:rFonts w:hint="eastAsia" w:ascii="宋体" w:hAnsi="宋体" w:eastAsia="宋体" w:cs="宋体"/>
                <w:b/>
                <w:bCs/>
                <w:kern w:val="0"/>
              </w:rPr>
            </w:pPr>
            <w:r>
              <w:rPr>
                <w:rFonts w:hint="eastAsia" w:ascii="宋体" w:hAnsi="宋体" w:eastAsia="宋体" w:cs="宋体"/>
                <w:b/>
                <w:bCs/>
                <w:kern w:val="0"/>
              </w:rPr>
              <w:t>评价日期：</w:t>
            </w:r>
          </w:p>
        </w:tc>
        <w:tc>
          <w:tcPr>
            <w:tcW w:w="5444" w:type="dxa"/>
            <w:tcBorders>
              <w:tl2br w:val="nil"/>
              <w:tr2bl w:val="nil"/>
            </w:tcBorders>
            <w:vAlign w:val="center"/>
          </w:tcPr>
          <w:p>
            <w:pPr>
              <w:spacing w:before="100" w:after="100"/>
              <w:rPr>
                <w:rFonts w:hint="eastAsia" w:ascii="宋体" w:hAnsi="宋体" w:eastAsia="宋体" w:cs="宋体"/>
                <w:b/>
                <w:bCs/>
                <w:kern w:val="0"/>
              </w:rPr>
            </w:pPr>
            <w:r>
              <w:rPr>
                <w:rFonts w:hint="eastAsia" w:ascii="宋体" w:hAnsi="宋体" w:eastAsia="宋体" w:cs="宋体"/>
                <w:b/>
                <w:bCs/>
                <w:kern w:val="0"/>
              </w:rPr>
              <w:t>20</w:t>
            </w:r>
            <w:r>
              <w:rPr>
                <w:rFonts w:hint="eastAsia" w:ascii="宋体" w:hAnsi="宋体" w:eastAsia="宋体" w:cs="宋体"/>
                <w:b/>
                <w:bCs/>
                <w:kern w:val="0"/>
                <w:lang w:val="en-US" w:eastAsia="zh-CN"/>
              </w:rPr>
              <w:t>23</w:t>
            </w:r>
            <w:r>
              <w:rPr>
                <w:rFonts w:hint="eastAsia" w:ascii="宋体" w:hAnsi="宋体" w:eastAsia="宋体" w:cs="宋体"/>
                <w:b/>
                <w:bCs/>
                <w:kern w:val="0"/>
              </w:rPr>
              <w:t>年</w:t>
            </w:r>
            <w:r>
              <w:rPr>
                <w:rFonts w:hint="eastAsia" w:ascii="宋体" w:hAnsi="宋体" w:eastAsia="宋体" w:cs="宋体"/>
                <w:b/>
                <w:bCs/>
                <w:kern w:val="0"/>
                <w:lang w:val="en-US" w:eastAsia="zh-CN"/>
              </w:rPr>
              <w:t>6</w:t>
            </w:r>
            <w:r>
              <w:rPr>
                <w:rFonts w:hint="eastAsia" w:ascii="宋体" w:hAnsi="宋体" w:eastAsia="宋体" w:cs="宋体"/>
                <w:b/>
                <w:bCs/>
                <w:kern w:val="0"/>
              </w:rPr>
              <w:t>月</w:t>
            </w:r>
            <w:r>
              <w:rPr>
                <w:rFonts w:hint="eastAsia" w:ascii="宋体" w:hAnsi="宋体" w:eastAsia="宋体" w:cs="宋体"/>
                <w:b/>
                <w:bCs/>
                <w:kern w:val="0"/>
                <w:lang w:val="en-US" w:eastAsia="zh-CN"/>
              </w:rPr>
              <w:t>30</w:t>
            </w:r>
            <w:r>
              <w:rPr>
                <w:rFonts w:hint="eastAsia" w:ascii="宋体" w:hAnsi="宋体" w:eastAsia="宋体" w:cs="宋体"/>
                <w:b/>
                <w:bCs/>
                <w:kern w:val="0"/>
              </w:rPr>
              <w:t>日</w:t>
            </w:r>
          </w:p>
        </w:tc>
      </w:tr>
    </w:tbl>
    <w:p>
      <w:pPr>
        <w:pStyle w:val="10"/>
        <w:rPr>
          <w:rFonts w:hint="eastAsia"/>
          <w:sz w:val="32"/>
        </w:rPr>
        <w:sectPr>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p>
    <w:p>
      <w:pPr>
        <w:pStyle w:val="10"/>
        <w:rPr>
          <w:sz w:val="32"/>
        </w:rPr>
      </w:pPr>
      <w:r>
        <w:rPr>
          <w:rFonts w:hint="eastAsia"/>
          <w:sz w:val="32"/>
        </w:rPr>
        <w:t>摘  要</w:t>
      </w:r>
      <w:bookmarkEnd w:id="0"/>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以党的十九届四中全会精神为指导，贯彻落实中央和省、市、县对教育工作的部署，全面深化教育领域综合改革，以“育人为本、强化管理、改革创新、提升质量”为方针，按照“学前教育抓规范，义务教育抓均衡，高中教育促优质，职业教育促创新”的总体要求，加强管理，提高质量，谋划发展，促进公平，继续深化教育综合改革，以“办人民满意教育”为目标。近年来，漯河经济技术开发区教育专项资金的管理使用不断规范，使用效益不断提高，有效促进了全区教育事业的健康发展。从</w:t>
      </w:r>
      <w:r>
        <w:rPr>
          <w:rFonts w:hint="eastAsia" w:ascii="仿宋_GB2312" w:hAnsi="仿宋_GB2312" w:cs="仿宋_GB2312"/>
          <w:sz w:val="32"/>
          <w:szCs w:val="32"/>
          <w:shd w:val="clear"/>
          <w:lang w:val="en-US" w:eastAsia="zh-CN"/>
        </w:rPr>
        <w:t>2021年</w:t>
      </w:r>
      <w:r>
        <w:rPr>
          <w:rFonts w:hint="eastAsia" w:ascii="仿宋_GB2312" w:hAnsi="仿宋_GB2312" w:cs="仿宋_GB2312"/>
          <w:sz w:val="32"/>
          <w:szCs w:val="32"/>
          <w:lang w:val="en-US" w:eastAsia="zh-CN"/>
        </w:rPr>
        <w:t>开始，建立了漯河经济技术开发区教育</w:t>
      </w:r>
      <w:r>
        <w:rPr>
          <w:rFonts w:hint="eastAsia" w:ascii="仿宋_GB2312" w:hAnsi="仿宋_GB2312" w:cs="仿宋_GB2312"/>
          <w:sz w:val="32"/>
          <w:szCs w:val="32"/>
          <w:shd w:val="clear"/>
          <w:lang w:val="en-US" w:eastAsia="zh-CN"/>
        </w:rPr>
        <w:t>专项资金项目</w:t>
      </w:r>
      <w:r>
        <w:rPr>
          <w:rFonts w:hint="eastAsia" w:ascii="仿宋_GB2312" w:hAnsi="仿宋_GB2312" w:cs="仿宋_GB2312"/>
          <w:sz w:val="32"/>
          <w:szCs w:val="32"/>
          <w:lang w:val="en-US" w:eastAsia="zh-CN"/>
        </w:rPr>
        <w:t>。针对本项目2022年的运行情况，我所开展了本次绩效评价工作，评价结果简述如下：</w:t>
      </w:r>
      <w:bookmarkStart w:id="2" w:name="_Hlk74472134"/>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项目决策情况分析：</w:t>
      </w:r>
      <w:r>
        <w:rPr>
          <w:rFonts w:hint="eastAsia" w:ascii="仿宋" w:hAnsi="仿宋" w:eastAsia="仿宋" w:cs="仿宋"/>
          <w:b w:val="0"/>
          <w:bCs w:val="0"/>
          <w:sz w:val="32"/>
          <w:szCs w:val="32"/>
          <w:lang w:val="en-US" w:eastAsia="zh-CN"/>
        </w:rPr>
        <w:t>该项目立项依据充分，立项程序基本规范</w:t>
      </w:r>
      <w:r>
        <w:rPr>
          <w:rFonts w:hint="eastAsia" w:ascii="仿宋_GB2312" w:hAnsi="仿宋_GB2312" w:cs="仿宋_GB2312"/>
          <w:sz w:val="32"/>
          <w:szCs w:val="32"/>
          <w:lang w:val="en-US" w:eastAsia="zh-CN"/>
        </w:rPr>
        <w:t>，但</w:t>
      </w:r>
      <w:r>
        <w:rPr>
          <w:rFonts w:hint="eastAsia" w:ascii="仿宋" w:hAnsi="仿宋" w:eastAsia="仿宋" w:cs="仿宋"/>
          <w:sz w:val="32"/>
          <w:szCs w:val="32"/>
          <w:highlight w:val="none"/>
          <w:lang w:val="en-US" w:eastAsia="zh-CN"/>
        </w:rPr>
        <w:t>绩效目标不太合理，</w:t>
      </w:r>
      <w:r>
        <w:rPr>
          <w:rFonts w:hint="eastAsia" w:ascii="仿宋" w:hAnsi="仿宋" w:eastAsia="仿宋" w:cs="仿宋"/>
          <w:sz w:val="32"/>
          <w:szCs w:val="32"/>
          <w:lang w:val="en-US" w:eastAsia="zh-CN"/>
        </w:rPr>
        <w:t>预算编制不科学，不能有效评价项目年度运行情况。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 w:hAnsi="仿宋" w:eastAsia="仿宋" w:cs="仿宋"/>
          <w:b/>
          <w:bCs/>
          <w:sz w:val="32"/>
          <w:szCs w:val="32"/>
          <w:lang w:val="en-US" w:eastAsia="zh-CN"/>
        </w:rPr>
        <w:t>过程实施情况分析：</w:t>
      </w:r>
      <w:r>
        <w:rPr>
          <w:rFonts w:hint="eastAsia" w:ascii="仿宋" w:hAnsi="仿宋" w:eastAsia="仿宋" w:cs="仿宋"/>
          <w:b w:val="0"/>
          <w:bCs w:val="0"/>
          <w:sz w:val="32"/>
          <w:szCs w:val="32"/>
          <w:lang w:val="en-US" w:eastAsia="zh-CN"/>
        </w:rPr>
        <w:t>项目实施管理相对规范、完备，但</w:t>
      </w:r>
      <w:r>
        <w:rPr>
          <w:rFonts w:hint="eastAsia" w:ascii="仿宋" w:hAnsi="仿宋" w:eastAsia="仿宋" w:cs="仿宋"/>
          <w:sz w:val="32"/>
          <w:szCs w:val="32"/>
          <w:lang w:val="en-US" w:eastAsia="zh-CN"/>
        </w:rPr>
        <w:t>部分项目资金</w:t>
      </w:r>
      <w:r>
        <w:rPr>
          <w:rFonts w:hint="eastAsia" w:ascii="仿宋_GB2312" w:hAnsi="仿宋_GB2312" w:cs="仿宋_GB2312"/>
          <w:sz w:val="32"/>
          <w:szCs w:val="32"/>
          <w:lang w:val="en-US" w:eastAsia="zh-CN"/>
        </w:rPr>
        <w:t>未做到专款专用</w:t>
      </w:r>
      <w:r>
        <w:rPr>
          <w:rFonts w:hint="eastAsia" w:ascii="仿宋" w:hAnsi="仿宋" w:eastAsia="仿宋" w:cs="仿宋"/>
          <w:sz w:val="32"/>
          <w:szCs w:val="32"/>
          <w:lang w:val="en-US" w:eastAsia="zh-CN"/>
        </w:rPr>
        <w:t>，</w:t>
      </w:r>
      <w:r>
        <w:rPr>
          <w:rFonts w:hint="eastAsia" w:ascii="仿宋_GB2312" w:hAnsi="仿宋_GB2312" w:cs="仿宋_GB2312"/>
          <w:sz w:val="32"/>
          <w:szCs w:val="32"/>
          <w:highlight w:val="none"/>
          <w:lang w:val="en-US" w:eastAsia="zh-CN"/>
        </w:rPr>
        <w:t>未根据</w:t>
      </w:r>
      <w:r>
        <w:rPr>
          <w:rFonts w:hint="eastAsia" w:ascii="仿宋_GB2312" w:hAnsi="仿宋_GB2312" w:cs="仿宋_GB2312"/>
          <w:sz w:val="32"/>
          <w:szCs w:val="32"/>
          <w:lang w:val="en-US" w:eastAsia="zh-CN"/>
        </w:rPr>
        <w:t>项目专项经费特点</w:t>
      </w:r>
      <w:r>
        <w:rPr>
          <w:rFonts w:hint="eastAsia" w:ascii="仿宋_GB2312" w:hAnsi="仿宋_GB2312" w:cs="仿宋_GB2312"/>
          <w:sz w:val="32"/>
          <w:szCs w:val="32"/>
          <w:highlight w:val="none"/>
          <w:lang w:val="en-US" w:eastAsia="zh-CN"/>
        </w:rPr>
        <w:t>制定相应的业务管理制度和财务管理制度</w:t>
      </w:r>
      <w:r>
        <w:rPr>
          <w:rFonts w:hint="eastAsia" w:ascii="仿宋_GB2312" w:hAnsi="仿宋_GB2312" w:cs="仿宋_GB2312"/>
          <w:sz w:val="32"/>
          <w:szCs w:val="32"/>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bCs/>
          <w:sz w:val="32"/>
          <w:szCs w:val="32"/>
          <w:highlight w:val="none"/>
          <w:lang w:val="en-US" w:eastAsia="zh-CN"/>
        </w:rPr>
        <w:t>项目产出情况分析：</w:t>
      </w:r>
      <w:r>
        <w:rPr>
          <w:rFonts w:hint="eastAsia" w:ascii="仿宋" w:hAnsi="仿宋" w:eastAsia="仿宋" w:cs="仿宋"/>
          <w:b w:val="0"/>
          <w:bCs w:val="0"/>
          <w:sz w:val="32"/>
          <w:szCs w:val="32"/>
          <w:highlight w:val="none"/>
          <w:lang w:val="en-US" w:eastAsia="zh-CN"/>
        </w:rPr>
        <w:t>该项目产出数量、产出时效均达到预期指标值，但工资发放准确率、采购成本节约率未达到，</w:t>
      </w:r>
      <w:r>
        <w:rPr>
          <w:rFonts w:hint="eastAsia" w:ascii="仿宋_GB2312" w:hAnsi="仿宋_GB2312" w:cs="仿宋_GB2312"/>
          <w:sz w:val="32"/>
          <w:szCs w:val="32"/>
          <w:shd w:val="clear"/>
          <w:lang w:val="en-US" w:eastAsia="zh-CN"/>
        </w:rPr>
        <w:t>影响项目产出情况</w:t>
      </w:r>
      <w:r>
        <w:rPr>
          <w:rFonts w:hint="eastAsia" w:ascii="仿宋_GB2312" w:hAnsi="仿宋_GB2312" w:cs="仿宋_GB2312"/>
          <w:sz w:val="32"/>
          <w:szCs w:val="32"/>
          <w:highlight w:val="none"/>
          <w:shd w:val="clear"/>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cs="仿宋_GB2312"/>
          <w:sz w:val="32"/>
          <w:szCs w:val="32"/>
          <w:lang w:val="en-US" w:eastAsia="zh-CN"/>
        </w:rPr>
      </w:pPr>
      <w:r>
        <w:rPr>
          <w:rFonts w:hint="eastAsia" w:ascii="仿宋" w:hAnsi="仿宋" w:eastAsia="仿宋" w:cs="仿宋"/>
          <w:b/>
          <w:bCs/>
          <w:sz w:val="32"/>
          <w:szCs w:val="32"/>
          <w:lang w:val="en-US" w:eastAsia="zh-CN"/>
        </w:rPr>
        <w:t>项目效益情况分析：</w:t>
      </w:r>
      <w:r>
        <w:rPr>
          <w:rFonts w:hint="eastAsia" w:ascii="仿宋_GB2312" w:hAnsi="仿宋_GB2312" w:cs="仿宋_GB2312"/>
          <w:i w:val="0"/>
          <w:iCs w:val="0"/>
          <w:caps w:val="0"/>
          <w:color w:val="333333"/>
          <w:spacing w:val="0"/>
          <w:sz w:val="32"/>
          <w:szCs w:val="32"/>
          <w:shd w:val="clear" w:fill="FFFFFF"/>
          <w:lang w:eastAsia="zh-CN"/>
        </w:rPr>
        <w:t>该项目的实施，带来了良好的社会效益，并保障了教育事业持续发展，但采购产品是否属于节能环保产品未取得充分、适当的评价证据</w:t>
      </w:r>
      <w:r>
        <w:rPr>
          <w:rFonts w:hint="eastAsia" w:ascii="仿宋_GB2312" w:hAnsi="仿宋_GB2312" w:cs="仿宋_GB2312"/>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cs="仿宋_GB2312"/>
          <w:sz w:val="32"/>
          <w:szCs w:val="32"/>
          <w:lang w:val="en-US" w:eastAsia="zh-CN"/>
        </w:rPr>
      </w:pPr>
      <w:r>
        <w:rPr>
          <w:rFonts w:hint="eastAsia" w:ascii="仿宋" w:hAnsi="仿宋" w:eastAsia="仿宋" w:cs="仿宋"/>
          <w:b/>
          <w:bCs/>
          <w:sz w:val="32"/>
          <w:szCs w:val="32"/>
          <w:lang w:val="en-US" w:eastAsia="zh-CN"/>
        </w:rPr>
        <w:t>绩效评价结论：</w:t>
      </w:r>
      <w:r>
        <w:rPr>
          <w:rFonts w:hint="eastAsia" w:ascii="仿宋_GB2312" w:hAnsi="仿宋_GB2312" w:cs="仿宋_GB2312"/>
          <w:sz w:val="32"/>
          <w:szCs w:val="32"/>
          <w:lang w:val="en-US" w:eastAsia="zh-CN"/>
        </w:rPr>
        <w:t>评价小组以《中华人民共和国预算法》、《项目支出绩效评价管理办法》（财预〔2020〕10号）、《河南省省级预算项目支出绩效评价管理办法》（豫财效〔2020〕10号）以及评价过程中收集到的各种资料为基础，采用查阅、核对、检查、访谈、问卷调查，对漯河经济技术开发区教育专项资金项目进行评价。该项目本次绩效评价综合得分70.91分，整体评价结果为“中”。</w:t>
      </w:r>
    </w:p>
    <w:bookmarkEnd w:id="2"/>
    <w:p>
      <w:pPr>
        <w:spacing w:before="0" w:beforeLines="0" w:after="0" w:afterLines="0" w:line="240" w:lineRule="auto"/>
        <w:ind w:left="0" w:leftChars="0" w:right="0" w:rightChars="0" w:firstLine="643" w:firstLineChars="200"/>
        <w:jc w:val="both"/>
        <w:rPr>
          <w:rFonts w:hint="eastAsia" w:ascii="仿宋_GB2312" w:hAnsi="仿宋_GB2312" w:cs="仿宋_GB2312"/>
          <w:sz w:val="32"/>
          <w:szCs w:val="32"/>
          <w:highlight w:val="none"/>
          <w:lang w:val="en-US" w:eastAsia="zh-CN"/>
        </w:rPr>
      </w:pPr>
      <w:r>
        <w:rPr>
          <w:rFonts w:hint="eastAsia" w:ascii="仿宋_GB2312" w:hAnsi="仿宋_GB2312" w:cs="仿宋_GB2312"/>
          <w:b/>
          <w:bCs/>
          <w:sz w:val="32"/>
          <w:szCs w:val="32"/>
          <w:highlight w:val="none"/>
          <w:lang w:val="en-US" w:eastAsia="zh-CN"/>
        </w:rPr>
        <w:t>主要经验及做法：</w:t>
      </w:r>
      <w:r>
        <w:rPr>
          <w:rFonts w:hint="eastAsia" w:ascii="仿宋_GB2312" w:hAnsi="仿宋_GB2312" w:cs="仿宋_GB2312"/>
          <w:sz w:val="32"/>
          <w:szCs w:val="32"/>
          <w:highlight w:val="none"/>
          <w:lang w:val="en-US" w:eastAsia="zh-CN"/>
        </w:rPr>
        <w:t>进一步落实依法办学指导思想，规范学校维修、改造工程管理，维护校园安全；改善学校办学条件，满足教育教学需要，确保教育教学工作正常运转；优化学前教育资源配置，引导支持民办幼儿园提供普惠性服务，扩大城乡普惠性学前教育资源覆盖面，加快建成“广覆盖、保基本、有质量”的学前教育公共服务体系；设备采购、装修工程、维护维修等需要进行政府采购的项目，全程每环节均通过政府采购网进行实施，实现了政府采购全过程的公开、公平、透明；办好人民满意教育，确保义务教育持续稳定发展。</w:t>
      </w:r>
    </w:p>
    <w:p>
      <w:pPr>
        <w:ind w:firstLine="643" w:firstLineChars="200"/>
        <w:rPr>
          <w:rFonts w:hint="eastAsia" w:hAnsi="仿宋_GB2312" w:cs="仿宋_GB2312"/>
          <w:sz w:val="32"/>
          <w:szCs w:val="32"/>
          <w:lang w:val="en-US" w:eastAsia="zh-CN"/>
        </w:rPr>
      </w:pPr>
      <w:r>
        <w:rPr>
          <w:rFonts w:hint="eastAsia" w:ascii="仿宋_GB2312" w:hAnsi="仿宋_GB2312" w:cs="仿宋_GB2312"/>
          <w:b/>
          <w:bCs/>
          <w:sz w:val="32"/>
          <w:szCs w:val="32"/>
          <w:highlight w:val="none"/>
          <w:lang w:val="en-US" w:eastAsia="zh-CN"/>
        </w:rPr>
        <w:t>存在问题</w:t>
      </w:r>
      <w:r>
        <w:rPr>
          <w:rFonts w:hint="eastAsia" w:hAnsi="仿宋_GB2312" w:cs="仿宋_GB2312"/>
          <w:b/>
          <w:bCs/>
          <w:sz w:val="32"/>
          <w:szCs w:val="32"/>
          <w:highlight w:val="none"/>
          <w:lang w:val="en-US" w:eastAsia="zh-CN"/>
        </w:rPr>
        <w:t>：</w:t>
      </w:r>
      <w:r>
        <w:rPr>
          <w:rFonts w:hint="eastAsia" w:hAnsi="仿宋_GB2312" w:cs="仿宋_GB2312"/>
          <w:b w:val="0"/>
          <w:bCs w:val="0"/>
          <w:sz w:val="32"/>
          <w:szCs w:val="32"/>
          <w:highlight w:val="none"/>
          <w:lang w:val="en-US" w:eastAsia="zh-CN"/>
        </w:rPr>
        <w:t>一是管理制度待完善，</w:t>
      </w:r>
      <w:r>
        <w:rPr>
          <w:rFonts w:hint="eastAsia" w:hAnsi="仿宋_GB2312" w:cs="仿宋_GB2312"/>
          <w:sz w:val="32"/>
          <w:szCs w:val="32"/>
          <w:lang w:val="en-US" w:eastAsia="zh-CN"/>
        </w:rPr>
        <w:t>社会事业服务中心负责教育专项资金项目的监督管理工作，虽提供了《中小学校财务制度》，但在项目实施过程中未根据本项目特点制定有针对性的业务管理办法及专项资金管理办法。</w:t>
      </w:r>
    </w:p>
    <w:p>
      <w:pPr>
        <w:pStyle w:val="5"/>
        <w:ind w:firstLine="640" w:firstLineChars="200"/>
        <w:outlineLvl w:val="1"/>
        <w:rPr>
          <w:rFonts w:hint="eastAsia" w:hAnsi="仿宋_GB2312" w:cs="仿宋_GB2312"/>
          <w:sz w:val="32"/>
          <w:szCs w:val="32"/>
          <w:lang w:val="en-US" w:eastAsia="zh-CN"/>
        </w:rPr>
      </w:pPr>
      <w:r>
        <w:rPr>
          <w:rFonts w:hint="eastAsia" w:ascii="Times New Roman" w:hAnsi="仿宋_GB2312" w:cs="仿宋_GB2312"/>
          <w:kern w:val="2"/>
          <w:sz w:val="32"/>
          <w:szCs w:val="32"/>
          <w:shd w:val="clear"/>
          <w:lang w:val="en-US" w:eastAsia="zh-CN" w:bidi="ar-SA"/>
        </w:rPr>
        <w:t>二是预算编制不科学，抽查2022年预算编制相关资料，存在预算编制不科学的问题，2022年教育专项资金项目预算批复462.9万元，年终调减150.7万元，全年预算资金共计312.2万元,全年实际支出281.95万元，年底结余资金30.25万元。预算编制资金与实际支出资金存在偏差，未充分发挥资金效益。表明项目管理单位对年初预算资金前期论证不够充分，预算编制科学性不足、预算确定的资金量与预期工作量不匹配等问题。</w:t>
      </w:r>
      <w:r>
        <w:rPr>
          <w:rFonts w:hint="eastAsia" w:hAnsi="仿宋_GB2312" w:cs="仿宋_GB2312"/>
          <w:sz w:val="32"/>
          <w:szCs w:val="32"/>
          <w:lang w:val="en-US" w:eastAsia="zh-CN"/>
        </w:rPr>
        <w:t xml:space="preserve">    </w:t>
      </w:r>
    </w:p>
    <w:p>
      <w:pPr>
        <w:pStyle w:val="5"/>
        <w:ind w:firstLine="640" w:firstLineChars="200"/>
        <w:outlineLvl w:val="1"/>
        <w:rPr>
          <w:rFonts w:hint="eastAsia" w:ascii="仿宋_GB2312" w:hAnsi="仿宋_GB2312" w:cs="仿宋_GB2312"/>
          <w:sz w:val="32"/>
          <w:szCs w:val="32"/>
          <w:lang w:val="en-US" w:eastAsia="zh-CN"/>
        </w:rPr>
      </w:pPr>
      <w:r>
        <w:rPr>
          <w:rFonts w:hint="eastAsia" w:ascii="Times New Roman" w:cs="Times New Roman"/>
          <w:kern w:val="2"/>
          <w:sz w:val="32"/>
          <w:szCs w:val="32"/>
          <w:lang w:val="en-US" w:eastAsia="zh-CN" w:bidi="ar-SA"/>
        </w:rPr>
        <w:t>三</w:t>
      </w:r>
      <w:r>
        <w:rPr>
          <w:rFonts w:hint="eastAsia" w:ascii="Times New Roman" w:hAnsi="Times New Roman" w:cs="Times New Roman"/>
          <w:kern w:val="2"/>
          <w:sz w:val="32"/>
          <w:szCs w:val="32"/>
          <w:lang w:val="en-US" w:eastAsia="zh-CN" w:bidi="ar-SA"/>
        </w:rPr>
        <w:t>是</w:t>
      </w:r>
      <w:r>
        <w:rPr>
          <w:rFonts w:hint="eastAsia" w:ascii="Times New Roman" w:hAnsi="Times New Roman" w:eastAsia="仿宋_GB2312" w:cs="Times New Roman"/>
          <w:kern w:val="2"/>
          <w:sz w:val="32"/>
          <w:szCs w:val="32"/>
          <w:lang w:val="en-US" w:eastAsia="zh-CN" w:bidi="ar-SA"/>
        </w:rPr>
        <w:t>绩效目标设定不合理</w:t>
      </w:r>
      <w:r>
        <w:rPr>
          <w:rFonts w:hint="eastAsia" w:ascii="Times New Roman" w:hAnsi="Times New Roman" w:cs="Times New Roman"/>
          <w:kern w:val="2"/>
          <w:sz w:val="32"/>
          <w:szCs w:val="32"/>
          <w:lang w:val="en-US" w:eastAsia="zh-CN" w:bidi="ar-SA"/>
        </w:rPr>
        <w:t>，</w:t>
      </w:r>
      <w:r>
        <w:rPr>
          <w:rFonts w:hint="eastAsia"/>
          <w:sz w:val="32"/>
          <w:szCs w:val="32"/>
          <w:lang w:val="en-US" w:eastAsia="zh-CN"/>
        </w:rPr>
        <w:t>社会事业服务中心虽然设定了年度绩效目标，也根据年度绩效目标设定了详细的绩效指标值，但没有结合本年度重点工作来设置。该项目设定</w:t>
      </w:r>
      <w:r>
        <w:rPr>
          <w:rFonts w:hint="eastAsia" w:ascii="仿宋_GB2312" w:hAnsi="仿宋_GB2312" w:cs="仿宋_GB2312"/>
          <w:sz w:val="32"/>
          <w:szCs w:val="32"/>
          <w:lang w:val="en-US" w:eastAsia="zh-CN"/>
        </w:rPr>
        <w:t>年度绩效目标：①湘江路小学办公楼装修；②突发性校舍维修；③普惠性幼儿园奖补。而本年度项目实施内容是2021年邓襄镇教师工资资金与开发区实验中学教学装备与教学设施。</w:t>
      </w:r>
    </w:p>
    <w:p>
      <w:pPr>
        <w:pStyle w:val="5"/>
        <w:ind w:firstLine="640" w:firstLineChars="200"/>
        <w:outlineLvl w:val="1"/>
        <w:rPr>
          <w:rFonts w:hint="default" w:ascii="仿宋_GB2312" w:hAnsi="仿宋_GB2312" w:eastAsia="仿宋_GB2312" w:cs="仿宋_GB2312"/>
          <w:b w:val="0"/>
          <w:bCs w:val="0"/>
          <w:kern w:val="2"/>
          <w:sz w:val="32"/>
          <w:szCs w:val="32"/>
          <w:lang w:val="en-US" w:eastAsia="zh-CN" w:bidi="ar-SA"/>
        </w:rPr>
      </w:pPr>
      <w:r>
        <w:rPr>
          <w:rFonts w:hint="eastAsia" w:hAnsi="仿宋_GB2312" w:cs="仿宋_GB2312"/>
          <w:b w:val="0"/>
          <w:bCs w:val="0"/>
          <w:kern w:val="2"/>
          <w:sz w:val="32"/>
          <w:szCs w:val="32"/>
          <w:lang w:val="en-US" w:eastAsia="zh-CN" w:bidi="ar-SA"/>
        </w:rPr>
        <w:t>四是</w:t>
      </w:r>
      <w:r>
        <w:rPr>
          <w:rFonts w:hint="eastAsia" w:ascii="仿宋_GB2312" w:hAnsi="仿宋_GB2312" w:eastAsia="仿宋_GB2312" w:cs="仿宋_GB2312"/>
          <w:b w:val="0"/>
          <w:bCs w:val="0"/>
          <w:kern w:val="2"/>
          <w:sz w:val="32"/>
          <w:szCs w:val="32"/>
          <w:lang w:val="en-US" w:eastAsia="zh-CN" w:bidi="ar-SA"/>
        </w:rPr>
        <w:t>财务管理有待加强</w:t>
      </w:r>
      <w:r>
        <w:rPr>
          <w:rFonts w:hint="eastAsia" w:hAnsi="仿宋_GB2312" w:cs="仿宋_GB2312"/>
          <w:b w:val="0"/>
          <w:bCs w:val="0"/>
          <w:kern w:val="2"/>
          <w:sz w:val="32"/>
          <w:szCs w:val="32"/>
          <w:lang w:val="en-US" w:eastAsia="zh-CN" w:bidi="ar-SA"/>
        </w:rPr>
        <w:t>，</w:t>
      </w:r>
      <w:r>
        <w:rPr>
          <w:rFonts w:hint="eastAsia" w:ascii="仿宋_GB2312" w:hAnsi="仿宋_GB2312" w:cs="仿宋_GB2312"/>
          <w:b w:val="0"/>
          <w:bCs w:val="0"/>
          <w:kern w:val="2"/>
          <w:sz w:val="32"/>
          <w:szCs w:val="32"/>
          <w:lang w:val="en-US" w:eastAsia="zh-CN" w:bidi="ar-SA"/>
        </w:rPr>
        <w:t>通过查阅财务资料发现，记账凭证“审核”与“记账”处均未签字或盖章；2022年8月40#凭证，后附收款收据经手人未签字或盖章；2022年9月29#凭证，未附国库集中支付凭证，</w:t>
      </w:r>
      <w:r>
        <w:rPr>
          <w:rFonts w:hint="eastAsia" w:hAnsi="仿宋_GB2312" w:cs="仿宋_GB2312"/>
          <w:sz w:val="32"/>
          <w:szCs w:val="32"/>
          <w:shd w:val="clear"/>
          <w:lang w:val="en-US" w:eastAsia="zh-CN"/>
        </w:rPr>
        <w:t>在财政</w:t>
      </w:r>
      <w:r>
        <w:rPr>
          <w:rFonts w:hint="eastAsia" w:hAnsi="仿宋_GB2312" w:cs="仿宋_GB2312"/>
          <w:sz w:val="32"/>
          <w:szCs w:val="32"/>
          <w:lang w:val="en-US" w:eastAsia="zh-CN"/>
        </w:rPr>
        <w:t>资金支出审批表中分管财政领导批示“从教育附加中列支”，但实际</w:t>
      </w:r>
      <w:r>
        <w:rPr>
          <w:rFonts w:hint="eastAsia" w:hAnsi="仿宋_GB2312" w:cs="仿宋_GB2312"/>
          <w:sz w:val="32"/>
          <w:szCs w:val="32"/>
          <w:highlight w:val="none"/>
          <w:shd w:val="clear"/>
          <w:lang w:val="en-US" w:eastAsia="zh-CN"/>
        </w:rPr>
        <w:t>从该项目资金中支付</w:t>
      </w:r>
      <w:r>
        <w:rPr>
          <w:rFonts w:hint="eastAsia" w:hAnsi="仿宋_GB2312" w:cs="仿宋_GB2312"/>
          <w:sz w:val="32"/>
          <w:szCs w:val="32"/>
          <w:lang w:val="en-US" w:eastAsia="zh-CN"/>
        </w:rPr>
        <w:t>。</w:t>
      </w:r>
    </w:p>
    <w:p>
      <w:pPr>
        <w:pStyle w:val="5"/>
        <w:ind w:firstLine="643" w:firstLineChars="200"/>
        <w:outlineLvl w:val="1"/>
        <w:rPr>
          <w:rFonts w:hint="eastAsia"/>
          <w:lang w:val="en-US" w:eastAsia="zh-CN"/>
        </w:rPr>
      </w:pPr>
      <w:r>
        <w:rPr>
          <w:rFonts w:hint="eastAsia" w:ascii="楷体" w:hAnsi="楷体" w:eastAsia="楷体" w:cs="楷体"/>
          <w:b/>
          <w:bCs/>
          <w:sz w:val="32"/>
          <w:szCs w:val="32"/>
          <w:lang w:val="en-US" w:eastAsia="zh-CN"/>
        </w:rPr>
        <w:t>针对以上提出问题给出如下建议：</w:t>
      </w:r>
      <w:r>
        <w:rPr>
          <w:rFonts w:hint="eastAsia" w:ascii="Times New Roman" w:hAnsi="Times New Roman" w:eastAsia="仿宋_GB2312" w:cs="Times New Roman"/>
          <w:kern w:val="2"/>
          <w:sz w:val="30"/>
          <w:szCs w:val="24"/>
          <w:lang w:val="en-US" w:eastAsia="zh-CN" w:bidi="ar-SA"/>
        </w:rPr>
        <w:t>一是完善项目管理制度</w:t>
      </w:r>
      <w:r>
        <w:rPr>
          <w:rFonts w:hint="eastAsia" w:ascii="Times New Roman" w:hAnsi="Times New Roman" w:cs="Times New Roman"/>
          <w:kern w:val="2"/>
          <w:sz w:val="30"/>
          <w:szCs w:val="24"/>
          <w:lang w:val="en-US" w:eastAsia="zh-CN" w:bidi="ar-SA"/>
        </w:rPr>
        <w:t>，</w:t>
      </w:r>
      <w:r>
        <w:rPr>
          <w:rFonts w:hint="eastAsia"/>
          <w:lang w:val="en-US" w:eastAsia="zh-CN"/>
        </w:rPr>
        <w:t>社会事业服务中心应根据本区域的实际情况，依据教育专项资金项目政策要求，尽快制定有针对性的业务管理办法及专项经费管理制度，细化制度条款。加强项目监督管理，促进管理规范，为建设项目更好的实施创造良好的环境。</w:t>
      </w:r>
    </w:p>
    <w:p>
      <w:pPr>
        <w:pStyle w:val="2"/>
        <w:ind w:left="0" w:leftChars="0" w:firstLine="640" w:firstLineChars="200"/>
        <w:outlineLvl w:val="1"/>
        <w:rPr>
          <w:rFonts w:hint="eastAsia"/>
          <w:sz w:val="32"/>
          <w:szCs w:val="32"/>
          <w:lang w:val="en-US" w:eastAsia="zh-CN"/>
        </w:rPr>
      </w:pPr>
      <w:r>
        <w:rPr>
          <w:rFonts w:hint="eastAsia" w:cs="Times New Roman"/>
          <w:kern w:val="2"/>
          <w:sz w:val="32"/>
          <w:szCs w:val="32"/>
          <w:lang w:val="en-US" w:eastAsia="zh-CN" w:bidi="ar-SA"/>
        </w:rPr>
        <w:t>二</w:t>
      </w:r>
      <w:r>
        <w:rPr>
          <w:rFonts w:hint="eastAsia" w:ascii="Times New Roman" w:hAnsi="Times New Roman" w:eastAsia="仿宋_GB2312" w:cs="Times New Roman"/>
          <w:kern w:val="2"/>
          <w:sz w:val="32"/>
          <w:szCs w:val="32"/>
          <w:lang w:val="en-US" w:eastAsia="zh-CN" w:bidi="ar-SA"/>
        </w:rPr>
        <w:t>是规范预算编制程序</w:t>
      </w:r>
      <w:r>
        <w:rPr>
          <w:rFonts w:hint="eastAsia"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进一步加强部门预算编报规程管理，严格执行《预算法》、《预算法实施条例》以及国务院关于预算编制的有关要求，在编制年初预算时，要本着实事求是，量力而行的原则，详细统计分析往年决算，将分析结果结合当年工作安排和项目计划，将结转结余资金、上级转移支付、项目推进情况等因素进行预计和测算，合理编制年初预算，从而提升部门预算的科学合理性、准确性，充分发挥资金效益。</w:t>
      </w:r>
    </w:p>
    <w:p>
      <w:pPr>
        <w:pStyle w:val="2"/>
        <w:ind w:left="0" w:leftChars="0" w:firstLine="640" w:firstLineChars="200"/>
        <w:outlineLvl w:val="1"/>
        <w:rPr>
          <w:rFonts w:hint="eastAsia"/>
          <w:sz w:val="32"/>
          <w:szCs w:val="32"/>
          <w:lang w:val="en-US" w:eastAsia="zh-CN"/>
        </w:rPr>
      </w:pPr>
      <w:r>
        <w:rPr>
          <w:rFonts w:hint="eastAsia" w:ascii="仿宋_GB2312" w:cs="Times New Roman"/>
          <w:kern w:val="2"/>
          <w:sz w:val="32"/>
          <w:szCs w:val="32"/>
          <w:lang w:val="en-US" w:eastAsia="zh-CN" w:bidi="ar-SA"/>
        </w:rPr>
        <w:t>三</w:t>
      </w:r>
      <w:r>
        <w:rPr>
          <w:rFonts w:hint="eastAsia" w:ascii="仿宋_GB2312" w:hAnsi="Times New Roman" w:eastAsia="仿宋_GB2312" w:cs="Times New Roman"/>
          <w:kern w:val="2"/>
          <w:sz w:val="32"/>
          <w:szCs w:val="32"/>
          <w:lang w:val="en-US" w:eastAsia="zh-CN" w:bidi="ar-SA"/>
        </w:rPr>
        <w:t>是完善绩效目标设定</w:t>
      </w:r>
      <w:r>
        <w:rPr>
          <w:rFonts w:hint="eastAsia" w:ascii="仿宋_GB2312" w:hAnsi="Times New Roman" w:cs="Times New Roman"/>
          <w:kern w:val="2"/>
          <w:sz w:val="32"/>
          <w:szCs w:val="32"/>
          <w:lang w:val="en-US" w:eastAsia="zh-CN" w:bidi="ar-SA"/>
        </w:rPr>
        <w:t>，</w:t>
      </w:r>
      <w:r>
        <w:rPr>
          <w:rFonts w:hint="eastAsia"/>
          <w:sz w:val="32"/>
          <w:szCs w:val="32"/>
          <w:lang w:val="en-US" w:eastAsia="zh-CN"/>
        </w:rPr>
        <w:t>完善教育专项资金绩效目标管理。结合年度重点工作，按专项资金的支持方向设置科学、合理、完整的绩效指标，为预算编制和分配、专项绩效监控开展和绩效评价提供重要基础和依据。同时，在项目申报、立项时，应在申报书或方案内明确项目绩效目标，可考虑针对同一类型的项目建立规范、统一的绩效目标框架，便于后期的项目验收、考评等工作，也能为教育专项资金绩效评价提供可整合的数据基础。</w:t>
      </w:r>
    </w:p>
    <w:p>
      <w:pPr>
        <w:ind w:firstLine="640" w:firstLineChars="200"/>
        <w:rPr>
          <w:rFonts w:hint="eastAsia" w:ascii="仿宋_GB2312" w:hAnsi="仿宋_GB2312" w:cs="仿宋_GB2312"/>
          <w:sz w:val="32"/>
          <w:szCs w:val="32"/>
          <w:highlight w:val="none"/>
          <w:lang w:val="en-US" w:eastAsia="zh-CN"/>
        </w:rPr>
      </w:pPr>
      <w:r>
        <w:rPr>
          <w:rFonts w:hint="eastAsia" w:eastAsia="仿宋" w:cs="Times New Roman"/>
          <w:snapToGrid w:val="0"/>
          <w:kern w:val="0"/>
          <w:sz w:val="32"/>
          <w:szCs w:val="32"/>
          <w:lang w:val="en-US" w:eastAsia="zh-CN"/>
        </w:rPr>
        <w:t>四</w:t>
      </w:r>
      <w:r>
        <w:rPr>
          <w:rFonts w:hint="eastAsia" w:ascii="Times New Roman" w:hAnsi="Times New Roman" w:eastAsia="仿宋" w:cs="Times New Roman"/>
          <w:snapToGrid w:val="0"/>
          <w:kern w:val="0"/>
          <w:sz w:val="32"/>
          <w:szCs w:val="32"/>
          <w:lang w:val="en-US" w:eastAsia="zh-CN"/>
        </w:rPr>
        <w:t>是进一步加强财务管理，</w:t>
      </w:r>
      <w:r>
        <w:rPr>
          <w:rFonts w:hint="eastAsia" w:eastAsia="仿宋"/>
          <w:snapToGrid w:val="0"/>
          <w:kern w:val="0"/>
          <w:sz w:val="32"/>
          <w:szCs w:val="32"/>
        </w:rPr>
        <w:t>加强支出审核控制，全面审核各类单据，</w:t>
      </w:r>
      <w:r>
        <w:rPr>
          <w:rFonts w:hint="eastAsia" w:eastAsia="仿宋"/>
          <w:snapToGrid w:val="0"/>
          <w:kern w:val="0"/>
          <w:sz w:val="32"/>
          <w:szCs w:val="32"/>
          <w:lang w:eastAsia="zh-CN"/>
        </w:rPr>
        <w:t>重点</w:t>
      </w:r>
      <w:r>
        <w:rPr>
          <w:rFonts w:hint="eastAsia" w:eastAsia="仿宋"/>
          <w:snapToGrid w:val="0"/>
          <w:kern w:val="0"/>
          <w:sz w:val="32"/>
          <w:szCs w:val="32"/>
        </w:rPr>
        <w:t>审核单据内容是否真实、完整，使用是否准确，是否符合预算，审批手续是否齐全。支出凭证应当附有反映支出明细内容的原始单据，并由经办人员签字或盖章，超出规定</w:t>
      </w:r>
      <w:r>
        <w:rPr>
          <w:rFonts w:hint="eastAsia" w:eastAsia="仿宋"/>
          <w:snapToGrid w:val="0"/>
          <w:kern w:val="0"/>
          <w:sz w:val="32"/>
          <w:szCs w:val="32"/>
          <w:lang w:eastAsia="zh-CN"/>
        </w:rPr>
        <w:t>的</w:t>
      </w:r>
      <w:r>
        <w:rPr>
          <w:rFonts w:hint="eastAsia" w:eastAsia="仿宋"/>
          <w:snapToGrid w:val="0"/>
          <w:kern w:val="0"/>
          <w:sz w:val="32"/>
          <w:szCs w:val="32"/>
        </w:rPr>
        <w:t>支出事项应由经办人员说明原因并附审批依据，确保与经济业务事项相符；强化日常监管，不定期抽查项目资金管理使用情况，关注资金支出动向，守好资金监管防线，确保资金使用合规性</w:t>
      </w:r>
      <w:r>
        <w:rPr>
          <w:rFonts w:eastAsia="仿宋"/>
          <w:snapToGrid w:val="0"/>
          <w:kern w:val="0"/>
          <w:sz w:val="32"/>
          <w:szCs w:val="32"/>
        </w:rPr>
        <w:t>。</w:t>
      </w:r>
    </w:p>
    <w:p>
      <w:pPr>
        <w:rPr>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p>
    <w:sdt>
      <w:sdtPr>
        <w:rPr>
          <w:rFonts w:ascii="宋体" w:hAnsi="宋体" w:eastAsia="宋体" w:cs="Times New Roman"/>
          <w:kern w:val="2"/>
          <w:sz w:val="32"/>
          <w:szCs w:val="32"/>
          <w:lang w:val="en-US" w:eastAsia="zh-CN" w:bidi="ar-SA"/>
        </w:rPr>
        <w:id w:val="147480371"/>
        <w15:color w:val="DBDBDB"/>
        <w:docPartObj>
          <w:docPartGallery w:val="Table of Contents"/>
          <w:docPartUnique/>
        </w:docPartObj>
      </w:sdtPr>
      <w:sdtEndPr>
        <w:rPr>
          <w:rFonts w:ascii="宋体" w:hAnsi="宋体" w:eastAsia="宋体" w:cs="Times New Roman"/>
          <w:b/>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sz w:val="32"/>
              <w:szCs w:val="32"/>
            </w:rPr>
          </w:pPr>
          <w:bookmarkStart w:id="3" w:name="_Toc26634"/>
          <w:bookmarkStart w:id="4" w:name="_Toc10268"/>
          <w:bookmarkStart w:id="5" w:name="_Toc29814"/>
          <w:r>
            <w:rPr>
              <w:rFonts w:ascii="宋体" w:hAnsi="宋体" w:eastAsia="宋体"/>
              <w:b/>
              <w:bCs/>
              <w:sz w:val="32"/>
              <w:szCs w:val="32"/>
            </w:rPr>
            <w:t>目录</w:t>
          </w:r>
        </w:p>
        <w:p>
          <w:pPr>
            <w:pStyle w:val="8"/>
            <w:tabs>
              <w:tab w:val="right" w:leader="dot" w:pos="8306"/>
            </w:tabs>
          </w:pPr>
          <w:r>
            <w:fldChar w:fldCharType="begin"/>
          </w:r>
          <w:r>
            <w:instrText xml:space="preserve">TOC \o "1-2" \h \u </w:instrText>
          </w:r>
          <w:r>
            <w:fldChar w:fldCharType="separate"/>
          </w:r>
        </w:p>
        <w:p>
          <w:pPr>
            <w:pStyle w:val="8"/>
            <w:tabs>
              <w:tab w:val="right" w:leader="dot" w:pos="8306"/>
            </w:tabs>
          </w:pPr>
          <w:r>
            <w:fldChar w:fldCharType="begin"/>
          </w:r>
          <w:r>
            <w:instrText xml:space="preserve"> HYPERLINK \l _Toc23379 </w:instrText>
          </w:r>
          <w:r>
            <w:fldChar w:fldCharType="separate"/>
          </w:r>
          <w:r>
            <w:rPr>
              <w:rFonts w:hint="eastAsia" w:ascii="黑体" w:hAnsi="黑体" w:eastAsia="黑体" w:cs="黑体"/>
              <w:bCs w:val="0"/>
              <w:szCs w:val="32"/>
              <w:lang w:val="en-US" w:eastAsia="zh-CN"/>
            </w:rPr>
            <w:t>一、基本情况</w:t>
          </w:r>
          <w:r>
            <w:tab/>
          </w:r>
          <w:r>
            <w:fldChar w:fldCharType="begin"/>
          </w:r>
          <w:r>
            <w:instrText xml:space="preserve"> PAGEREF _Toc23379 \h </w:instrText>
          </w:r>
          <w:r>
            <w:fldChar w:fldCharType="separate"/>
          </w:r>
          <w:r>
            <w:t>1</w:t>
          </w:r>
          <w:r>
            <w:fldChar w:fldCharType="end"/>
          </w:r>
          <w:r>
            <w:fldChar w:fldCharType="end"/>
          </w:r>
        </w:p>
        <w:p>
          <w:pPr>
            <w:pStyle w:val="9"/>
            <w:tabs>
              <w:tab w:val="right" w:leader="dot" w:pos="8306"/>
            </w:tabs>
          </w:pPr>
          <w:r>
            <w:fldChar w:fldCharType="begin"/>
          </w:r>
          <w:r>
            <w:instrText xml:space="preserve"> HYPERLINK \l _Toc10885 </w:instrText>
          </w:r>
          <w:r>
            <w:fldChar w:fldCharType="separate"/>
          </w:r>
          <w:r>
            <w:rPr>
              <w:rFonts w:hint="eastAsia" w:ascii="楷体" w:hAnsi="楷体" w:eastAsia="楷体" w:cs="楷体"/>
              <w:bCs/>
              <w:szCs w:val="22"/>
              <w:lang w:val="en-US" w:eastAsia="zh-CN"/>
            </w:rPr>
            <w:t>（一）项目单位基本情况</w:t>
          </w:r>
          <w:r>
            <w:tab/>
          </w:r>
          <w:r>
            <w:fldChar w:fldCharType="begin"/>
          </w:r>
          <w:r>
            <w:instrText xml:space="preserve"> PAGEREF _Toc10885 \h </w:instrText>
          </w:r>
          <w:r>
            <w:fldChar w:fldCharType="separate"/>
          </w:r>
          <w:r>
            <w:t>1</w:t>
          </w:r>
          <w:r>
            <w:fldChar w:fldCharType="end"/>
          </w:r>
          <w:r>
            <w:fldChar w:fldCharType="end"/>
          </w:r>
        </w:p>
        <w:p>
          <w:pPr>
            <w:pStyle w:val="9"/>
            <w:tabs>
              <w:tab w:val="right" w:leader="dot" w:pos="8306"/>
            </w:tabs>
          </w:pPr>
          <w:r>
            <w:fldChar w:fldCharType="begin"/>
          </w:r>
          <w:r>
            <w:instrText xml:space="preserve"> HYPERLINK \l _Toc22770 </w:instrText>
          </w:r>
          <w:r>
            <w:fldChar w:fldCharType="separate"/>
          </w:r>
          <w:r>
            <w:rPr>
              <w:rFonts w:hint="eastAsia" w:ascii="楷体" w:hAnsi="楷体" w:eastAsia="楷体" w:cs="楷体"/>
              <w:bCs/>
              <w:szCs w:val="22"/>
              <w:lang w:val="en-US" w:eastAsia="zh-CN"/>
            </w:rPr>
            <w:t>（二）项目立项背景</w:t>
          </w:r>
          <w:r>
            <w:tab/>
          </w:r>
          <w:r>
            <w:fldChar w:fldCharType="begin"/>
          </w:r>
          <w:r>
            <w:instrText xml:space="preserve"> PAGEREF _Toc22770 \h </w:instrText>
          </w:r>
          <w:r>
            <w:fldChar w:fldCharType="separate"/>
          </w:r>
          <w:r>
            <w:t>2</w:t>
          </w:r>
          <w:r>
            <w:fldChar w:fldCharType="end"/>
          </w:r>
          <w:r>
            <w:fldChar w:fldCharType="end"/>
          </w:r>
        </w:p>
        <w:p>
          <w:pPr>
            <w:pStyle w:val="9"/>
            <w:tabs>
              <w:tab w:val="right" w:leader="dot" w:pos="8306"/>
            </w:tabs>
          </w:pPr>
          <w:r>
            <w:fldChar w:fldCharType="begin"/>
          </w:r>
          <w:r>
            <w:instrText xml:space="preserve"> HYPERLINK \l _Toc15161 </w:instrText>
          </w:r>
          <w:r>
            <w:fldChar w:fldCharType="separate"/>
          </w:r>
          <w:r>
            <w:rPr>
              <w:rFonts w:hint="eastAsia" w:ascii="楷体" w:hAnsi="楷体" w:eastAsia="楷体" w:cs="楷体"/>
              <w:bCs/>
              <w:kern w:val="2"/>
              <w:szCs w:val="32"/>
              <w:lang w:val="en-US" w:eastAsia="zh-CN" w:bidi="ar-SA"/>
            </w:rPr>
            <w:t>（三）</w:t>
          </w:r>
          <w:r>
            <w:rPr>
              <w:rFonts w:hint="eastAsia" w:ascii="楷体" w:hAnsi="楷体" w:eastAsia="楷体" w:cs="楷体"/>
              <w:bCs/>
              <w:szCs w:val="32"/>
              <w:lang w:val="en-US" w:eastAsia="zh-CN"/>
            </w:rPr>
            <w:t>项目主要内容及实施情况</w:t>
          </w:r>
          <w:r>
            <w:tab/>
          </w:r>
          <w:r>
            <w:fldChar w:fldCharType="begin"/>
          </w:r>
          <w:r>
            <w:instrText xml:space="preserve"> PAGEREF _Toc15161 \h </w:instrText>
          </w:r>
          <w:r>
            <w:fldChar w:fldCharType="separate"/>
          </w:r>
          <w:r>
            <w:t>2</w:t>
          </w:r>
          <w:r>
            <w:fldChar w:fldCharType="end"/>
          </w:r>
          <w:r>
            <w:fldChar w:fldCharType="end"/>
          </w:r>
        </w:p>
        <w:p>
          <w:pPr>
            <w:pStyle w:val="9"/>
            <w:tabs>
              <w:tab w:val="right" w:leader="dot" w:pos="8306"/>
            </w:tabs>
          </w:pPr>
          <w:r>
            <w:fldChar w:fldCharType="begin"/>
          </w:r>
          <w:r>
            <w:instrText xml:space="preserve"> HYPERLINK \l _Toc30395 </w:instrText>
          </w:r>
          <w:r>
            <w:fldChar w:fldCharType="separate"/>
          </w:r>
          <w:r>
            <w:rPr>
              <w:rFonts w:hint="eastAsia" w:ascii="楷体" w:hAnsi="楷体" w:eastAsia="楷体" w:cs="楷体"/>
              <w:bCs/>
              <w:szCs w:val="32"/>
              <w:lang w:val="en-US" w:eastAsia="zh-CN"/>
            </w:rPr>
            <w:t>（四）项目经费来源和使用情况</w:t>
          </w:r>
          <w:r>
            <w:tab/>
          </w:r>
          <w:r>
            <w:fldChar w:fldCharType="begin"/>
          </w:r>
          <w:r>
            <w:instrText xml:space="preserve"> PAGEREF _Toc30395 \h </w:instrText>
          </w:r>
          <w:r>
            <w:fldChar w:fldCharType="separate"/>
          </w:r>
          <w:r>
            <w:t>3</w:t>
          </w:r>
          <w:r>
            <w:fldChar w:fldCharType="end"/>
          </w:r>
          <w:r>
            <w:fldChar w:fldCharType="end"/>
          </w:r>
        </w:p>
        <w:p>
          <w:pPr>
            <w:pStyle w:val="9"/>
            <w:tabs>
              <w:tab w:val="right" w:leader="dot" w:pos="8306"/>
            </w:tabs>
          </w:pPr>
          <w:r>
            <w:fldChar w:fldCharType="begin"/>
          </w:r>
          <w:r>
            <w:instrText xml:space="preserve"> HYPERLINK \l _Toc27477 </w:instrText>
          </w:r>
          <w:r>
            <w:fldChar w:fldCharType="separate"/>
          </w:r>
          <w:r>
            <w:rPr>
              <w:rFonts w:hint="eastAsia" w:ascii="楷体" w:hAnsi="楷体" w:eastAsia="楷体" w:cs="楷体"/>
              <w:bCs/>
              <w:szCs w:val="32"/>
              <w:lang w:val="en-US" w:eastAsia="zh-CN"/>
            </w:rPr>
            <w:t>（五）项目绩效目标</w:t>
          </w:r>
          <w:r>
            <w:tab/>
          </w:r>
          <w:r>
            <w:fldChar w:fldCharType="begin"/>
          </w:r>
          <w:r>
            <w:instrText xml:space="preserve"> PAGEREF _Toc27477 \h </w:instrText>
          </w:r>
          <w:r>
            <w:fldChar w:fldCharType="separate"/>
          </w:r>
          <w:r>
            <w:t>3</w:t>
          </w:r>
          <w:r>
            <w:fldChar w:fldCharType="end"/>
          </w:r>
          <w:r>
            <w:fldChar w:fldCharType="end"/>
          </w:r>
        </w:p>
        <w:p>
          <w:pPr>
            <w:pStyle w:val="8"/>
            <w:tabs>
              <w:tab w:val="right" w:leader="dot" w:pos="8306"/>
            </w:tabs>
          </w:pPr>
          <w:r>
            <w:fldChar w:fldCharType="begin"/>
          </w:r>
          <w:r>
            <w:instrText xml:space="preserve"> HYPERLINK \l _Toc3533 </w:instrText>
          </w:r>
          <w:r>
            <w:fldChar w:fldCharType="separate"/>
          </w:r>
          <w:r>
            <w:rPr>
              <w:rFonts w:hint="eastAsia" w:ascii="黑体" w:hAnsi="黑体" w:eastAsia="黑体" w:cs="Times New Roman"/>
              <w:bCs w:val="0"/>
              <w:szCs w:val="22"/>
              <w:lang w:val="en-US" w:eastAsia="zh-CN"/>
            </w:rPr>
            <w:t>二、绩效评价工作开展施情况</w:t>
          </w:r>
          <w:r>
            <w:tab/>
          </w:r>
          <w:r>
            <w:fldChar w:fldCharType="begin"/>
          </w:r>
          <w:r>
            <w:instrText xml:space="preserve"> PAGEREF _Toc3533 \h </w:instrText>
          </w:r>
          <w:r>
            <w:fldChar w:fldCharType="separate"/>
          </w:r>
          <w:r>
            <w:t>3</w:t>
          </w:r>
          <w:r>
            <w:fldChar w:fldCharType="end"/>
          </w:r>
          <w:r>
            <w:fldChar w:fldCharType="end"/>
          </w:r>
        </w:p>
        <w:p>
          <w:pPr>
            <w:pStyle w:val="9"/>
            <w:tabs>
              <w:tab w:val="right" w:leader="dot" w:pos="8306"/>
            </w:tabs>
          </w:pPr>
          <w:r>
            <w:fldChar w:fldCharType="begin"/>
          </w:r>
          <w:r>
            <w:instrText xml:space="preserve"> HYPERLINK \l _Toc21120 </w:instrText>
          </w:r>
          <w:r>
            <w:fldChar w:fldCharType="separate"/>
          </w:r>
          <w:r>
            <w:rPr>
              <w:rFonts w:hint="eastAsia" w:ascii="楷体" w:hAnsi="楷体" w:eastAsia="楷体" w:cs="楷体"/>
              <w:bCs/>
              <w:szCs w:val="32"/>
              <w:lang w:val="en-US" w:eastAsia="zh-CN"/>
            </w:rPr>
            <w:t>（一）绩效评价目的</w:t>
          </w:r>
          <w:r>
            <w:tab/>
          </w:r>
          <w:r>
            <w:fldChar w:fldCharType="begin"/>
          </w:r>
          <w:r>
            <w:instrText xml:space="preserve"> PAGEREF _Toc21120 \h </w:instrText>
          </w:r>
          <w:r>
            <w:fldChar w:fldCharType="separate"/>
          </w:r>
          <w:r>
            <w:t>3</w:t>
          </w:r>
          <w:r>
            <w:fldChar w:fldCharType="end"/>
          </w:r>
          <w:r>
            <w:fldChar w:fldCharType="end"/>
          </w:r>
        </w:p>
        <w:p>
          <w:pPr>
            <w:pStyle w:val="9"/>
            <w:tabs>
              <w:tab w:val="right" w:leader="dot" w:pos="8306"/>
            </w:tabs>
          </w:pPr>
          <w:r>
            <w:fldChar w:fldCharType="begin"/>
          </w:r>
          <w:r>
            <w:instrText xml:space="preserve"> HYPERLINK \l _Toc31457 </w:instrText>
          </w:r>
          <w:r>
            <w:fldChar w:fldCharType="separate"/>
          </w:r>
          <w:r>
            <w:rPr>
              <w:rFonts w:hint="eastAsia" w:ascii="楷体" w:hAnsi="楷体" w:eastAsia="楷体" w:cs="楷体"/>
              <w:bCs/>
              <w:szCs w:val="32"/>
              <w:lang w:val="en-US" w:eastAsia="zh-CN"/>
            </w:rPr>
            <w:t>（二）绩效评价内容</w:t>
          </w:r>
          <w:r>
            <w:tab/>
          </w:r>
          <w:r>
            <w:fldChar w:fldCharType="begin"/>
          </w:r>
          <w:r>
            <w:instrText xml:space="preserve"> PAGEREF _Toc31457 \h </w:instrText>
          </w:r>
          <w:r>
            <w:fldChar w:fldCharType="separate"/>
          </w:r>
          <w:r>
            <w:t>3</w:t>
          </w:r>
          <w:r>
            <w:fldChar w:fldCharType="end"/>
          </w:r>
          <w:r>
            <w:fldChar w:fldCharType="end"/>
          </w:r>
        </w:p>
        <w:p>
          <w:pPr>
            <w:pStyle w:val="9"/>
            <w:tabs>
              <w:tab w:val="right" w:leader="dot" w:pos="8306"/>
            </w:tabs>
          </w:pPr>
          <w:r>
            <w:fldChar w:fldCharType="begin"/>
          </w:r>
          <w:r>
            <w:instrText xml:space="preserve"> HYPERLINK \l _Toc5967 </w:instrText>
          </w:r>
          <w:r>
            <w:fldChar w:fldCharType="separate"/>
          </w:r>
          <w:r>
            <w:rPr>
              <w:rFonts w:hint="eastAsia" w:ascii="楷体" w:hAnsi="楷体" w:eastAsia="楷体" w:cs="楷体"/>
              <w:bCs/>
              <w:szCs w:val="32"/>
              <w:lang w:val="en-US" w:eastAsia="zh-CN"/>
            </w:rPr>
            <w:t>（三）绩效评价实施过程与流程</w:t>
          </w:r>
          <w:r>
            <w:tab/>
          </w:r>
          <w:r>
            <w:fldChar w:fldCharType="begin"/>
          </w:r>
          <w:r>
            <w:instrText xml:space="preserve"> PAGEREF _Toc5967 \h </w:instrText>
          </w:r>
          <w:r>
            <w:fldChar w:fldCharType="separate"/>
          </w:r>
          <w:r>
            <w:t>4</w:t>
          </w:r>
          <w:r>
            <w:fldChar w:fldCharType="end"/>
          </w:r>
          <w:r>
            <w:fldChar w:fldCharType="end"/>
          </w:r>
        </w:p>
        <w:p>
          <w:pPr>
            <w:pStyle w:val="9"/>
            <w:tabs>
              <w:tab w:val="right" w:leader="dot" w:pos="8306"/>
            </w:tabs>
          </w:pPr>
          <w:r>
            <w:fldChar w:fldCharType="begin"/>
          </w:r>
          <w:r>
            <w:instrText xml:space="preserve"> HYPERLINK \l _Toc28771 </w:instrText>
          </w:r>
          <w:r>
            <w:fldChar w:fldCharType="separate"/>
          </w:r>
          <w:r>
            <w:rPr>
              <w:rFonts w:hint="eastAsia" w:ascii="楷体" w:hAnsi="楷体" w:eastAsia="楷体" w:cs="楷体"/>
              <w:bCs/>
              <w:szCs w:val="32"/>
              <w:lang w:val="en-US" w:eastAsia="zh-CN"/>
            </w:rPr>
            <w:t>（四）绩效评价指标体系设计</w:t>
          </w:r>
          <w:r>
            <w:tab/>
          </w:r>
          <w:r>
            <w:fldChar w:fldCharType="begin"/>
          </w:r>
          <w:r>
            <w:instrText xml:space="preserve"> PAGEREF _Toc28771 \h </w:instrText>
          </w:r>
          <w:r>
            <w:fldChar w:fldCharType="separate"/>
          </w:r>
          <w:r>
            <w:t>4</w:t>
          </w:r>
          <w:r>
            <w:fldChar w:fldCharType="end"/>
          </w:r>
          <w:r>
            <w:fldChar w:fldCharType="end"/>
          </w:r>
        </w:p>
        <w:p>
          <w:pPr>
            <w:pStyle w:val="8"/>
            <w:tabs>
              <w:tab w:val="right" w:leader="dot" w:pos="8306"/>
            </w:tabs>
          </w:pPr>
          <w:r>
            <w:fldChar w:fldCharType="begin"/>
          </w:r>
          <w:r>
            <w:instrText xml:space="preserve"> HYPERLINK \l _Toc3857 </w:instrText>
          </w:r>
          <w:r>
            <w:fldChar w:fldCharType="separate"/>
          </w:r>
          <w:r>
            <w:rPr>
              <w:rFonts w:hint="eastAsia" w:ascii="黑体" w:hAnsi="黑体" w:eastAsia="黑体" w:cs="黑体"/>
              <w:bCs w:val="0"/>
              <w:szCs w:val="32"/>
              <w:lang w:val="en-US" w:eastAsia="zh-CN"/>
            </w:rPr>
            <w:t>三、综合评价情况及评价结论</w:t>
          </w:r>
          <w:r>
            <w:tab/>
          </w:r>
          <w:r>
            <w:fldChar w:fldCharType="begin"/>
          </w:r>
          <w:r>
            <w:instrText xml:space="preserve"> PAGEREF _Toc3857 \h </w:instrText>
          </w:r>
          <w:r>
            <w:fldChar w:fldCharType="separate"/>
          </w:r>
          <w:r>
            <w:t>6</w:t>
          </w:r>
          <w:r>
            <w:fldChar w:fldCharType="end"/>
          </w:r>
          <w:r>
            <w:fldChar w:fldCharType="end"/>
          </w:r>
        </w:p>
        <w:p>
          <w:pPr>
            <w:pStyle w:val="8"/>
            <w:tabs>
              <w:tab w:val="right" w:leader="dot" w:pos="8306"/>
            </w:tabs>
          </w:pPr>
          <w:r>
            <w:fldChar w:fldCharType="begin"/>
          </w:r>
          <w:r>
            <w:instrText xml:space="preserve"> HYPERLINK \l _Toc11876 </w:instrText>
          </w:r>
          <w:r>
            <w:fldChar w:fldCharType="separate"/>
          </w:r>
          <w:r>
            <w:rPr>
              <w:rFonts w:hint="eastAsia" w:ascii="黑体" w:hAnsi="黑体" w:eastAsia="黑体" w:cs="黑体"/>
              <w:bCs w:val="0"/>
              <w:szCs w:val="32"/>
              <w:lang w:val="en-US" w:eastAsia="zh-CN"/>
            </w:rPr>
            <w:t>四、绩效评价指标分析</w:t>
          </w:r>
          <w:r>
            <w:tab/>
          </w:r>
          <w:r>
            <w:fldChar w:fldCharType="begin"/>
          </w:r>
          <w:r>
            <w:instrText xml:space="preserve"> PAGEREF _Toc11876 \h </w:instrText>
          </w:r>
          <w:r>
            <w:fldChar w:fldCharType="separate"/>
          </w:r>
          <w:r>
            <w:t>6</w:t>
          </w:r>
          <w:r>
            <w:fldChar w:fldCharType="end"/>
          </w:r>
          <w:r>
            <w:fldChar w:fldCharType="end"/>
          </w:r>
        </w:p>
        <w:p>
          <w:pPr>
            <w:pStyle w:val="9"/>
            <w:tabs>
              <w:tab w:val="right" w:leader="dot" w:pos="8306"/>
            </w:tabs>
          </w:pPr>
          <w:r>
            <w:fldChar w:fldCharType="begin"/>
          </w:r>
          <w:r>
            <w:instrText xml:space="preserve"> HYPERLINK \l _Toc6637 </w:instrText>
          </w:r>
          <w:r>
            <w:fldChar w:fldCharType="separate"/>
          </w:r>
          <w:r>
            <w:rPr>
              <w:rFonts w:hint="eastAsia" w:ascii="楷体" w:hAnsi="楷体" w:eastAsia="楷体" w:cs="楷体"/>
              <w:bCs/>
              <w:szCs w:val="32"/>
              <w:lang w:val="en-US" w:eastAsia="zh-CN"/>
            </w:rPr>
            <w:t>（一）项目决策情况</w:t>
          </w:r>
          <w:r>
            <w:tab/>
          </w:r>
          <w:r>
            <w:fldChar w:fldCharType="begin"/>
          </w:r>
          <w:r>
            <w:instrText xml:space="preserve"> PAGEREF _Toc6637 \h </w:instrText>
          </w:r>
          <w:r>
            <w:fldChar w:fldCharType="separate"/>
          </w:r>
          <w:r>
            <w:t>7</w:t>
          </w:r>
          <w:r>
            <w:fldChar w:fldCharType="end"/>
          </w:r>
          <w:r>
            <w:fldChar w:fldCharType="end"/>
          </w:r>
        </w:p>
        <w:p>
          <w:pPr>
            <w:pStyle w:val="9"/>
            <w:tabs>
              <w:tab w:val="right" w:leader="dot" w:pos="8306"/>
            </w:tabs>
          </w:pPr>
          <w:r>
            <w:fldChar w:fldCharType="begin"/>
          </w:r>
          <w:r>
            <w:instrText xml:space="preserve"> HYPERLINK \l _Toc17492 </w:instrText>
          </w:r>
          <w:r>
            <w:fldChar w:fldCharType="separate"/>
          </w:r>
          <w:r>
            <w:rPr>
              <w:rFonts w:hint="eastAsia" w:ascii="楷体" w:hAnsi="楷体" w:eastAsia="楷体" w:cs="楷体"/>
              <w:bCs/>
              <w:szCs w:val="32"/>
              <w:lang w:val="en-US" w:eastAsia="zh-CN"/>
            </w:rPr>
            <w:t>（二）过程实施情况</w:t>
          </w:r>
          <w:r>
            <w:tab/>
          </w:r>
          <w:r>
            <w:fldChar w:fldCharType="begin"/>
          </w:r>
          <w:r>
            <w:instrText xml:space="preserve"> PAGEREF _Toc17492 \h </w:instrText>
          </w:r>
          <w:r>
            <w:fldChar w:fldCharType="separate"/>
          </w:r>
          <w:r>
            <w:t>9</w:t>
          </w:r>
          <w:r>
            <w:fldChar w:fldCharType="end"/>
          </w:r>
          <w:r>
            <w:fldChar w:fldCharType="end"/>
          </w:r>
        </w:p>
        <w:p>
          <w:pPr>
            <w:pStyle w:val="9"/>
            <w:tabs>
              <w:tab w:val="right" w:leader="dot" w:pos="8306"/>
            </w:tabs>
          </w:pPr>
          <w:r>
            <w:fldChar w:fldCharType="begin"/>
          </w:r>
          <w:r>
            <w:instrText xml:space="preserve"> HYPERLINK \l _Toc24270 </w:instrText>
          </w:r>
          <w:r>
            <w:fldChar w:fldCharType="separate"/>
          </w:r>
          <w:r>
            <w:rPr>
              <w:rFonts w:hint="eastAsia" w:ascii="楷体" w:hAnsi="楷体" w:eastAsia="楷体" w:cs="楷体"/>
              <w:bCs/>
              <w:szCs w:val="32"/>
              <w:lang w:val="en-US" w:eastAsia="zh-CN"/>
            </w:rPr>
            <w:t>（三）项目产出情况</w:t>
          </w:r>
          <w:r>
            <w:tab/>
          </w:r>
          <w:r>
            <w:fldChar w:fldCharType="begin"/>
          </w:r>
          <w:r>
            <w:instrText xml:space="preserve"> PAGEREF _Toc24270 \h </w:instrText>
          </w:r>
          <w:r>
            <w:fldChar w:fldCharType="separate"/>
          </w:r>
          <w:r>
            <w:t>11</w:t>
          </w:r>
          <w:r>
            <w:fldChar w:fldCharType="end"/>
          </w:r>
          <w:r>
            <w:fldChar w:fldCharType="end"/>
          </w:r>
        </w:p>
        <w:p>
          <w:pPr>
            <w:pStyle w:val="9"/>
            <w:tabs>
              <w:tab w:val="right" w:leader="dot" w:pos="8306"/>
            </w:tabs>
          </w:pPr>
          <w:r>
            <w:fldChar w:fldCharType="begin"/>
          </w:r>
          <w:r>
            <w:instrText xml:space="preserve"> HYPERLINK \l _Toc24643 </w:instrText>
          </w:r>
          <w:r>
            <w:fldChar w:fldCharType="separate"/>
          </w:r>
          <w:r>
            <w:rPr>
              <w:rFonts w:hint="eastAsia" w:ascii="楷体" w:hAnsi="楷体" w:eastAsia="楷体" w:cs="楷体"/>
              <w:bCs/>
              <w:szCs w:val="32"/>
              <w:lang w:val="en-US" w:eastAsia="zh-CN"/>
            </w:rPr>
            <w:t>（四）项目效益情况</w:t>
          </w:r>
          <w:r>
            <w:tab/>
          </w:r>
          <w:r>
            <w:fldChar w:fldCharType="begin"/>
          </w:r>
          <w:r>
            <w:instrText xml:space="preserve"> PAGEREF _Toc24643 \h </w:instrText>
          </w:r>
          <w:r>
            <w:fldChar w:fldCharType="separate"/>
          </w:r>
          <w:r>
            <w:t>15</w:t>
          </w:r>
          <w:r>
            <w:fldChar w:fldCharType="end"/>
          </w:r>
          <w:r>
            <w:fldChar w:fldCharType="end"/>
          </w:r>
        </w:p>
        <w:p>
          <w:pPr>
            <w:pStyle w:val="8"/>
            <w:tabs>
              <w:tab w:val="right" w:leader="dot" w:pos="8306"/>
            </w:tabs>
          </w:pPr>
          <w:r>
            <w:fldChar w:fldCharType="begin"/>
          </w:r>
          <w:r>
            <w:instrText xml:space="preserve"> HYPERLINK \l _Toc20330 </w:instrText>
          </w:r>
          <w:r>
            <w:fldChar w:fldCharType="separate"/>
          </w:r>
          <w:r>
            <w:rPr>
              <w:rFonts w:hint="eastAsia" w:ascii="黑体" w:hAnsi="黑体" w:eastAsia="黑体" w:cs="黑体"/>
              <w:bCs w:val="0"/>
              <w:szCs w:val="32"/>
              <w:lang w:val="en-US" w:eastAsia="zh-CN"/>
            </w:rPr>
            <w:t>五、主要经验及做法</w:t>
          </w:r>
          <w:r>
            <w:tab/>
          </w:r>
          <w:r>
            <w:fldChar w:fldCharType="begin"/>
          </w:r>
          <w:r>
            <w:instrText xml:space="preserve"> PAGEREF _Toc20330 \h </w:instrText>
          </w:r>
          <w:r>
            <w:fldChar w:fldCharType="separate"/>
          </w:r>
          <w:r>
            <w:t>17</w:t>
          </w:r>
          <w:r>
            <w:fldChar w:fldCharType="end"/>
          </w:r>
          <w:r>
            <w:fldChar w:fldCharType="end"/>
          </w:r>
        </w:p>
        <w:p>
          <w:pPr>
            <w:pStyle w:val="8"/>
            <w:tabs>
              <w:tab w:val="right" w:leader="dot" w:pos="8306"/>
            </w:tabs>
          </w:pPr>
          <w:r>
            <w:fldChar w:fldCharType="begin"/>
          </w:r>
          <w:r>
            <w:instrText xml:space="preserve"> HYPERLINK \l _Toc13527 </w:instrText>
          </w:r>
          <w:r>
            <w:fldChar w:fldCharType="separate"/>
          </w:r>
          <w:r>
            <w:rPr>
              <w:rFonts w:hint="eastAsia" w:ascii="黑体" w:hAnsi="黑体" w:eastAsia="黑体" w:cs="黑体"/>
              <w:bCs w:val="0"/>
              <w:szCs w:val="32"/>
              <w:lang w:val="en-US" w:eastAsia="zh-CN"/>
            </w:rPr>
            <w:t>六、存在的问题</w:t>
          </w:r>
          <w:r>
            <w:tab/>
          </w:r>
          <w:r>
            <w:fldChar w:fldCharType="begin"/>
          </w:r>
          <w:r>
            <w:instrText xml:space="preserve"> PAGEREF _Toc13527 \h </w:instrText>
          </w:r>
          <w:r>
            <w:fldChar w:fldCharType="separate"/>
          </w:r>
          <w:r>
            <w:t>18</w:t>
          </w:r>
          <w:r>
            <w:fldChar w:fldCharType="end"/>
          </w:r>
          <w:r>
            <w:fldChar w:fldCharType="end"/>
          </w:r>
        </w:p>
        <w:p>
          <w:pPr>
            <w:pStyle w:val="9"/>
            <w:tabs>
              <w:tab w:val="right" w:leader="dot" w:pos="8306"/>
            </w:tabs>
          </w:pPr>
          <w:r>
            <w:fldChar w:fldCharType="begin"/>
          </w:r>
          <w:r>
            <w:instrText xml:space="preserve"> HYPERLINK \l _Toc921 </w:instrText>
          </w:r>
          <w:r>
            <w:fldChar w:fldCharType="separate"/>
          </w:r>
          <w:r>
            <w:rPr>
              <w:rFonts w:hint="eastAsia" w:ascii="楷体" w:hAnsi="楷体" w:eastAsia="楷体" w:cs="楷体"/>
              <w:bCs/>
              <w:szCs w:val="32"/>
              <w:lang w:val="en-US" w:eastAsia="zh-CN"/>
            </w:rPr>
            <w:t>（一）管理制度待完善</w:t>
          </w:r>
          <w:r>
            <w:tab/>
          </w:r>
          <w:r>
            <w:fldChar w:fldCharType="begin"/>
          </w:r>
          <w:r>
            <w:instrText xml:space="preserve"> PAGEREF _Toc921 \h </w:instrText>
          </w:r>
          <w:r>
            <w:fldChar w:fldCharType="separate"/>
          </w:r>
          <w:r>
            <w:t>18</w:t>
          </w:r>
          <w:r>
            <w:fldChar w:fldCharType="end"/>
          </w:r>
          <w:r>
            <w:fldChar w:fldCharType="end"/>
          </w:r>
        </w:p>
        <w:p>
          <w:pPr>
            <w:pStyle w:val="9"/>
            <w:tabs>
              <w:tab w:val="right" w:leader="dot" w:pos="8306"/>
            </w:tabs>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p>
        <w:p>
          <w:pPr>
            <w:pStyle w:val="9"/>
            <w:tabs>
              <w:tab w:val="right" w:leader="dot" w:pos="8306"/>
            </w:tabs>
            <w:rPr>
              <w:rFonts w:hint="eastAsia" w:eastAsia="仿宋_GB2312"/>
              <w:lang w:val="en-US" w:eastAsia="zh-CN"/>
            </w:rPr>
          </w:pPr>
          <w:r>
            <w:fldChar w:fldCharType="begin"/>
          </w:r>
          <w:r>
            <w:instrText xml:space="preserve"> HYPERLINK \l _Toc17977 </w:instrText>
          </w:r>
          <w:r>
            <w:fldChar w:fldCharType="separate"/>
          </w:r>
          <w:r>
            <w:rPr>
              <w:rFonts w:hint="eastAsia" w:ascii="楷体" w:hAnsi="楷体" w:eastAsia="楷体" w:cs="楷体"/>
              <w:bCs/>
              <w:kern w:val="2"/>
              <w:szCs w:val="32"/>
              <w:lang w:val="en-US" w:eastAsia="zh-CN" w:bidi="ar-SA"/>
            </w:rPr>
            <w:t>（二）</w:t>
          </w:r>
          <w:r>
            <w:rPr>
              <w:rFonts w:hint="eastAsia" w:ascii="楷体" w:hAnsi="楷体" w:eastAsia="楷体" w:cs="楷体"/>
              <w:bCs/>
              <w:szCs w:val="32"/>
              <w:lang w:val="en-US" w:eastAsia="zh-CN"/>
            </w:rPr>
            <w:t>预算编制不科学</w:t>
          </w:r>
          <w:r>
            <w:tab/>
          </w:r>
          <w:r>
            <w:rPr>
              <w:rFonts w:hint="eastAsia"/>
              <w:lang w:val="en-US" w:eastAsia="zh-CN"/>
            </w:rPr>
            <w:t>1</w:t>
          </w:r>
          <w:r>
            <w:fldChar w:fldCharType="end"/>
          </w:r>
          <w:r>
            <w:rPr>
              <w:rFonts w:hint="eastAsia"/>
              <w:lang w:val="en-US" w:eastAsia="zh-CN"/>
            </w:rPr>
            <w:t>8</w:t>
          </w:r>
        </w:p>
        <w:p>
          <w:pPr>
            <w:pStyle w:val="9"/>
            <w:tabs>
              <w:tab w:val="right" w:leader="dot" w:pos="8306"/>
            </w:tabs>
            <w:rPr>
              <w:rFonts w:hint="eastAsia" w:eastAsia="仿宋_GB2312"/>
              <w:lang w:val="en-US" w:eastAsia="zh-CN"/>
            </w:rPr>
          </w:pPr>
          <w:r>
            <w:fldChar w:fldCharType="begin"/>
          </w:r>
          <w:r>
            <w:instrText xml:space="preserve"> HYPERLINK \l _Toc18506 </w:instrText>
          </w:r>
          <w:r>
            <w:fldChar w:fldCharType="separate"/>
          </w:r>
          <w:r>
            <w:rPr>
              <w:rFonts w:hint="eastAsia" w:ascii="楷体" w:hAnsi="楷体" w:eastAsia="楷体" w:cs="楷体"/>
              <w:bCs/>
              <w:kern w:val="2"/>
              <w:szCs w:val="32"/>
              <w:lang w:val="en-US" w:eastAsia="zh-CN" w:bidi="ar-SA"/>
            </w:rPr>
            <w:t>（三）</w:t>
          </w:r>
          <w:r>
            <w:rPr>
              <w:rFonts w:hint="eastAsia" w:ascii="楷体" w:hAnsi="楷体" w:eastAsia="楷体" w:cs="楷体"/>
              <w:bCs/>
              <w:szCs w:val="32"/>
              <w:lang w:val="en-US" w:eastAsia="zh-CN"/>
            </w:rPr>
            <w:t>绩效目标设定不合理</w:t>
          </w:r>
          <w:r>
            <w:tab/>
          </w:r>
          <w:r>
            <w:rPr>
              <w:rFonts w:hint="eastAsia"/>
              <w:lang w:val="en-US" w:eastAsia="zh-CN"/>
            </w:rPr>
            <w:t>1</w:t>
          </w:r>
          <w:r>
            <w:fldChar w:fldCharType="end"/>
          </w:r>
          <w:r>
            <w:rPr>
              <w:rFonts w:hint="eastAsia"/>
              <w:lang w:val="en-US" w:eastAsia="zh-CN"/>
            </w:rPr>
            <w:t>9</w:t>
          </w:r>
        </w:p>
        <w:p>
          <w:pPr>
            <w:pStyle w:val="9"/>
            <w:tabs>
              <w:tab w:val="right" w:leader="dot" w:pos="8306"/>
            </w:tabs>
          </w:pPr>
          <w:r>
            <w:fldChar w:fldCharType="begin"/>
          </w:r>
          <w:r>
            <w:instrText xml:space="preserve"> HYPERLINK \l _Toc28375 </w:instrText>
          </w:r>
          <w:r>
            <w:fldChar w:fldCharType="separate"/>
          </w:r>
          <w:r>
            <w:rPr>
              <w:rFonts w:hint="eastAsia" w:ascii="楷体" w:hAnsi="楷体" w:eastAsia="楷体" w:cs="楷体"/>
              <w:bCs/>
              <w:kern w:val="2"/>
              <w:szCs w:val="32"/>
              <w:lang w:val="en-US" w:eastAsia="zh-CN" w:bidi="ar-SA"/>
            </w:rPr>
            <w:t>（四）</w:t>
          </w:r>
          <w:r>
            <w:rPr>
              <w:rFonts w:hint="eastAsia" w:ascii="楷体" w:hAnsi="楷体" w:eastAsia="楷体" w:cs="楷体"/>
              <w:bCs/>
              <w:szCs w:val="32"/>
              <w:lang w:val="en-US" w:eastAsia="zh-CN"/>
            </w:rPr>
            <w:t>财务管理有待加强</w:t>
          </w:r>
          <w:r>
            <w:tab/>
          </w:r>
          <w:r>
            <w:fldChar w:fldCharType="begin"/>
          </w:r>
          <w:r>
            <w:instrText xml:space="preserve"> PAGEREF _Toc28375 \h </w:instrText>
          </w:r>
          <w:r>
            <w:fldChar w:fldCharType="separate"/>
          </w:r>
          <w:r>
            <w:t>19</w:t>
          </w:r>
          <w:r>
            <w:fldChar w:fldCharType="end"/>
          </w:r>
          <w:r>
            <w:fldChar w:fldCharType="end"/>
          </w:r>
        </w:p>
        <w:p>
          <w:pPr>
            <w:pStyle w:val="8"/>
            <w:tabs>
              <w:tab w:val="right" w:leader="dot" w:pos="8306"/>
            </w:tabs>
          </w:pPr>
          <w:r>
            <w:fldChar w:fldCharType="begin"/>
          </w:r>
          <w:r>
            <w:instrText xml:space="preserve"> HYPERLINK \l _Toc5603 </w:instrText>
          </w:r>
          <w:r>
            <w:fldChar w:fldCharType="separate"/>
          </w:r>
          <w:r>
            <w:rPr>
              <w:rFonts w:hint="eastAsia" w:ascii="黑体" w:hAnsi="黑体" w:eastAsia="黑体" w:cs="黑体"/>
              <w:bCs w:val="0"/>
              <w:kern w:val="2"/>
              <w:szCs w:val="32"/>
              <w:lang w:val="en-US" w:eastAsia="zh-CN" w:bidi="ar-SA"/>
            </w:rPr>
            <w:t>七、</w:t>
          </w:r>
          <w:r>
            <w:rPr>
              <w:rFonts w:hint="eastAsia" w:ascii="黑体" w:hAnsi="黑体" w:eastAsia="黑体" w:cs="黑体"/>
              <w:bCs w:val="0"/>
              <w:szCs w:val="32"/>
              <w:lang w:val="en-US" w:eastAsia="zh-CN"/>
            </w:rPr>
            <w:t>主要建议</w:t>
          </w:r>
          <w:r>
            <w:tab/>
          </w:r>
          <w:r>
            <w:fldChar w:fldCharType="begin"/>
          </w:r>
          <w:r>
            <w:instrText xml:space="preserve"> PAGEREF _Toc5603 \h </w:instrText>
          </w:r>
          <w:r>
            <w:fldChar w:fldCharType="separate"/>
          </w:r>
          <w:r>
            <w:t>19</w:t>
          </w:r>
          <w:r>
            <w:fldChar w:fldCharType="end"/>
          </w:r>
          <w:r>
            <w:fldChar w:fldCharType="end"/>
          </w:r>
        </w:p>
        <w:p>
          <w:pPr>
            <w:pStyle w:val="9"/>
            <w:tabs>
              <w:tab w:val="right" w:leader="dot" w:pos="8306"/>
            </w:tabs>
          </w:pPr>
          <w:r>
            <w:fldChar w:fldCharType="begin"/>
          </w:r>
          <w:r>
            <w:instrText xml:space="preserve"> HYPERLINK \l _Toc12520 </w:instrText>
          </w:r>
          <w:r>
            <w:fldChar w:fldCharType="separate"/>
          </w:r>
          <w:r>
            <w:rPr>
              <w:rFonts w:hint="eastAsia" w:ascii="楷体" w:hAnsi="楷体" w:eastAsia="楷体" w:cs="楷体"/>
              <w:bCs/>
              <w:szCs w:val="32"/>
              <w:lang w:val="en-US" w:eastAsia="zh-CN"/>
            </w:rPr>
            <w:t>（一）完善项目管理制度</w:t>
          </w:r>
          <w:r>
            <w:tab/>
          </w:r>
          <w:r>
            <w:fldChar w:fldCharType="begin"/>
          </w:r>
          <w:r>
            <w:instrText xml:space="preserve"> PAGEREF _Toc12520 \h </w:instrText>
          </w:r>
          <w:r>
            <w:fldChar w:fldCharType="separate"/>
          </w:r>
          <w:r>
            <w:t>19</w:t>
          </w:r>
          <w:r>
            <w:fldChar w:fldCharType="end"/>
          </w:r>
          <w:r>
            <w:fldChar w:fldCharType="end"/>
          </w:r>
        </w:p>
        <w:p>
          <w:pPr>
            <w:pStyle w:val="9"/>
            <w:tabs>
              <w:tab w:val="right" w:leader="dot" w:pos="8306"/>
            </w:tabs>
          </w:pPr>
          <w:r>
            <w:fldChar w:fldCharType="begin"/>
          </w:r>
          <w:r>
            <w:instrText xml:space="preserve"> HYPERLINK \l _Toc21523 </w:instrText>
          </w:r>
          <w:r>
            <w:fldChar w:fldCharType="separate"/>
          </w:r>
          <w:r>
            <w:rPr>
              <w:rFonts w:hint="eastAsia" w:ascii="楷体" w:hAnsi="楷体" w:eastAsia="楷体" w:cs="楷体"/>
              <w:bCs/>
              <w:szCs w:val="32"/>
              <w:lang w:val="en-US" w:eastAsia="zh-CN"/>
            </w:rPr>
            <w:t>（二）规范预算编制程序</w:t>
          </w:r>
          <w:r>
            <w:tab/>
          </w:r>
          <w:r>
            <w:fldChar w:fldCharType="begin"/>
          </w:r>
          <w:r>
            <w:instrText xml:space="preserve"> PAGEREF _Toc21523 \h </w:instrText>
          </w:r>
          <w:r>
            <w:fldChar w:fldCharType="separate"/>
          </w:r>
          <w:r>
            <w:t>19</w:t>
          </w:r>
          <w:r>
            <w:fldChar w:fldCharType="end"/>
          </w:r>
          <w:r>
            <w:fldChar w:fldCharType="end"/>
          </w:r>
        </w:p>
        <w:p>
          <w:pPr>
            <w:pStyle w:val="9"/>
            <w:tabs>
              <w:tab w:val="right" w:leader="dot" w:pos="8306"/>
            </w:tabs>
          </w:pPr>
          <w:r>
            <w:fldChar w:fldCharType="begin"/>
          </w:r>
          <w:r>
            <w:instrText xml:space="preserve"> HYPERLINK \l _Toc14508 </w:instrText>
          </w:r>
          <w:r>
            <w:fldChar w:fldCharType="separate"/>
          </w:r>
          <w:r>
            <w:rPr>
              <w:rFonts w:hint="eastAsia" w:ascii="楷体" w:hAnsi="楷体" w:eastAsia="楷体" w:cs="楷体"/>
              <w:bCs/>
              <w:szCs w:val="32"/>
              <w:lang w:val="en-US" w:eastAsia="zh-CN"/>
            </w:rPr>
            <w:t>（三）完善绩效目标设定</w:t>
          </w:r>
          <w:r>
            <w:tab/>
          </w:r>
          <w:r>
            <w:fldChar w:fldCharType="begin"/>
          </w:r>
          <w:r>
            <w:instrText xml:space="preserve"> PAGEREF _Toc14508 \h </w:instrText>
          </w:r>
          <w:r>
            <w:fldChar w:fldCharType="separate"/>
          </w:r>
          <w:r>
            <w:t>20</w:t>
          </w:r>
          <w:r>
            <w:fldChar w:fldCharType="end"/>
          </w:r>
          <w:r>
            <w:fldChar w:fldCharType="end"/>
          </w:r>
        </w:p>
        <w:p>
          <w:pPr>
            <w:pStyle w:val="9"/>
            <w:tabs>
              <w:tab w:val="right" w:leader="dot" w:pos="8306"/>
            </w:tabs>
          </w:pPr>
          <w:r>
            <w:fldChar w:fldCharType="begin"/>
          </w:r>
          <w:r>
            <w:instrText xml:space="preserve"> HYPERLINK \l _Toc14769 </w:instrText>
          </w:r>
          <w:r>
            <w:fldChar w:fldCharType="separate"/>
          </w:r>
          <w:r>
            <w:rPr>
              <w:rFonts w:hint="eastAsia" w:ascii="楷体" w:hAnsi="楷体" w:eastAsia="楷体" w:cs="楷体"/>
              <w:bCs/>
              <w:szCs w:val="32"/>
              <w:lang w:val="en-US" w:eastAsia="zh-CN"/>
            </w:rPr>
            <w:t>（四）进一步加强财务管理</w:t>
          </w:r>
          <w:r>
            <w:tab/>
          </w:r>
          <w:r>
            <w:fldChar w:fldCharType="begin"/>
          </w:r>
          <w:r>
            <w:instrText xml:space="preserve"> PAGEREF _Toc14769 \h </w:instrText>
          </w:r>
          <w:r>
            <w:fldChar w:fldCharType="separate"/>
          </w:r>
          <w:r>
            <w:t>20</w:t>
          </w:r>
          <w:r>
            <w:fldChar w:fldCharType="end"/>
          </w:r>
          <w:r>
            <w:fldChar w:fldCharType="end"/>
          </w:r>
        </w:p>
        <w:p>
          <w:pPr>
            <w:pStyle w:val="9"/>
            <w:tabs>
              <w:tab w:val="right" w:leader="dot" w:pos="8306"/>
            </w:tabs>
            <w:ind w:left="0" w:leftChars="0" w:firstLine="0" w:firstLineChars="0"/>
          </w:pPr>
          <w:r>
            <w:fldChar w:fldCharType="begin"/>
          </w:r>
          <w:r>
            <w:instrText xml:space="preserve"> HYPERLINK \l _Toc1763 </w:instrText>
          </w:r>
          <w:r>
            <w:fldChar w:fldCharType="separate"/>
          </w:r>
          <w:r>
            <w:rPr>
              <w:rFonts w:hint="eastAsia" w:ascii="仿宋" w:hAnsi="仿宋" w:eastAsia="仿宋" w:cs="仿宋"/>
              <w:szCs w:val="30"/>
            </w:rPr>
            <w:t>附件-1 项目基本情况表</w:t>
          </w:r>
          <w:r>
            <w:tab/>
          </w:r>
          <w:r>
            <w:fldChar w:fldCharType="begin"/>
          </w:r>
          <w:r>
            <w:instrText xml:space="preserve"> PAGEREF _Toc1763 \h </w:instrText>
          </w:r>
          <w:r>
            <w:fldChar w:fldCharType="separate"/>
          </w:r>
          <w:r>
            <w:t>22</w:t>
          </w:r>
          <w:r>
            <w:fldChar w:fldCharType="end"/>
          </w:r>
          <w:r>
            <w:fldChar w:fldCharType="end"/>
          </w:r>
        </w:p>
        <w:p>
          <w:pPr>
            <w:pStyle w:val="8"/>
            <w:tabs>
              <w:tab w:val="right" w:leader="dot" w:pos="8306"/>
            </w:tabs>
          </w:pPr>
          <w:r>
            <w:fldChar w:fldCharType="begin"/>
          </w:r>
          <w:r>
            <w:instrText xml:space="preserve"> HYPERLINK \l _Toc31336 </w:instrText>
          </w:r>
          <w:r>
            <w:fldChar w:fldCharType="separate"/>
          </w:r>
          <w:r>
            <w:rPr>
              <w:rFonts w:hint="eastAsia" w:ascii="仿宋" w:hAnsi="仿宋" w:eastAsia="仿宋" w:cs="仿宋"/>
              <w:szCs w:val="30"/>
            </w:rPr>
            <w:t>附件-2 绩效评价方案</w:t>
          </w:r>
          <w:r>
            <w:tab/>
          </w:r>
          <w:r>
            <w:fldChar w:fldCharType="begin"/>
          </w:r>
          <w:r>
            <w:instrText xml:space="preserve"> PAGEREF _Toc31336 \h </w:instrText>
          </w:r>
          <w:r>
            <w:fldChar w:fldCharType="separate"/>
          </w:r>
          <w:r>
            <w:t>23</w:t>
          </w:r>
          <w:r>
            <w:fldChar w:fldCharType="end"/>
          </w:r>
          <w:r>
            <w:fldChar w:fldCharType="end"/>
          </w:r>
        </w:p>
        <w:p>
          <w:pPr>
            <w:pStyle w:val="8"/>
            <w:tabs>
              <w:tab w:val="right" w:leader="dot" w:pos="8306"/>
            </w:tabs>
          </w:pPr>
          <w:r>
            <w:fldChar w:fldCharType="begin"/>
          </w:r>
          <w:r>
            <w:instrText xml:space="preserve"> HYPERLINK \l _Toc18938 </w:instrText>
          </w:r>
          <w:r>
            <w:fldChar w:fldCharType="separate"/>
          </w:r>
          <w:r>
            <w:rPr>
              <w:rFonts w:hint="eastAsia" w:ascii="仿宋" w:hAnsi="仿宋" w:eastAsia="仿宋" w:cs="仿宋"/>
              <w:bCs/>
            </w:rPr>
            <w:t>附件-3 评价指标及标准设置</w:t>
          </w:r>
          <w:r>
            <w:tab/>
          </w:r>
          <w:r>
            <w:fldChar w:fldCharType="begin"/>
          </w:r>
          <w:r>
            <w:instrText xml:space="preserve"> PAGEREF _Toc18938 \h </w:instrText>
          </w:r>
          <w:r>
            <w:fldChar w:fldCharType="separate"/>
          </w:r>
          <w:r>
            <w:t>25</w:t>
          </w:r>
          <w:r>
            <w:fldChar w:fldCharType="end"/>
          </w:r>
          <w:r>
            <w:fldChar w:fldCharType="end"/>
          </w:r>
        </w:p>
        <w:p>
          <w:pPr>
            <w:rPr>
              <w:rFonts w:hint="default"/>
              <w:lang w:val="en-US"/>
            </w:rPr>
          </w:pPr>
          <w:r>
            <w:fldChar w:fldCharType="begin"/>
          </w:r>
          <w:r>
            <w:instrText xml:space="preserve"> HYPERLINK \l _Toc3792 </w:instrText>
          </w:r>
          <w:r>
            <w:fldChar w:fldCharType="separate"/>
          </w:r>
          <w:r>
            <w:rPr>
              <w:rFonts w:hint="eastAsia" w:ascii="仿宋" w:hAnsi="仿宋" w:eastAsia="仿宋" w:cs="仿宋"/>
              <w:szCs w:val="30"/>
            </w:rPr>
            <w:t>附件-</w:t>
          </w:r>
          <w:r>
            <w:rPr>
              <w:rFonts w:hint="eastAsia" w:ascii="仿宋" w:hAnsi="仿宋" w:eastAsia="仿宋" w:cs="仿宋"/>
              <w:szCs w:val="30"/>
              <w:lang w:val="en-US" w:eastAsia="zh-CN"/>
            </w:rPr>
            <w:t>4 项目绩效目标表</w:t>
          </w:r>
          <w:r>
            <w:rPr>
              <w:rFonts w:hint="default"/>
              <w:lang w:val="en-US"/>
            </w:rPr>
            <w:t>................................................................2</w:t>
          </w:r>
          <w:r>
            <w:fldChar w:fldCharType="end"/>
          </w:r>
          <w:r>
            <w:rPr>
              <w:rFonts w:hint="default"/>
              <w:lang w:val="en-US"/>
            </w:rPr>
            <w:t>9</w:t>
          </w:r>
        </w:p>
        <w:p>
          <w:pPr>
            <w:pStyle w:val="9"/>
            <w:tabs>
              <w:tab w:val="right" w:leader="dot" w:pos="8306"/>
            </w:tabs>
            <w:ind w:left="0" w:leftChars="0" w:firstLine="0" w:firstLineChars="0"/>
          </w:pPr>
          <w:r>
            <w:fldChar w:fldCharType="begin"/>
          </w:r>
          <w:r>
            <w:instrText xml:space="preserve"> HYPERLINK \l _Toc3792 </w:instrText>
          </w:r>
          <w:r>
            <w:fldChar w:fldCharType="separate"/>
          </w:r>
          <w:r>
            <w:rPr>
              <w:rFonts w:hint="eastAsia" w:ascii="仿宋" w:hAnsi="仿宋" w:eastAsia="仿宋" w:cs="仿宋"/>
              <w:szCs w:val="30"/>
            </w:rPr>
            <w:t>附件-</w:t>
          </w:r>
          <w:r>
            <w:rPr>
              <w:rFonts w:hint="eastAsia" w:ascii="仿宋" w:hAnsi="仿宋" w:eastAsia="仿宋" w:cs="仿宋"/>
              <w:szCs w:val="30"/>
              <w:lang w:val="en-US" w:eastAsia="zh-CN"/>
            </w:rPr>
            <w:t>5 项目问卷调查表</w:t>
          </w:r>
          <w:r>
            <w:tab/>
          </w:r>
          <w:r>
            <w:fldChar w:fldCharType="begin"/>
          </w:r>
          <w:r>
            <w:instrText xml:space="preserve"> PAGEREF _Toc3792 \h </w:instrText>
          </w:r>
          <w:r>
            <w:fldChar w:fldCharType="separate"/>
          </w:r>
          <w:r>
            <w:t>31</w:t>
          </w:r>
          <w:r>
            <w:fldChar w:fldCharType="end"/>
          </w:r>
          <w:r>
            <w:fldChar w:fldCharType="end"/>
          </w:r>
        </w:p>
        <w:p>
          <w:pPr>
            <w:pStyle w:val="9"/>
            <w:tabs>
              <w:tab w:val="right" w:leader="dot" w:pos="8306"/>
            </w:tabs>
            <w:ind w:left="0" w:leftChars="0" w:firstLine="0" w:firstLineChars="0"/>
          </w:pPr>
          <w:r>
            <w:fldChar w:fldCharType="begin"/>
          </w:r>
          <w:r>
            <w:instrText xml:space="preserve"> HYPERLINK \l _Toc27289 </w:instrText>
          </w:r>
          <w:r>
            <w:fldChar w:fldCharType="separate"/>
          </w:r>
          <w:r>
            <w:rPr>
              <w:rFonts w:hint="eastAsia" w:ascii="仿宋" w:hAnsi="仿宋" w:eastAsia="仿宋" w:cs="仿宋"/>
              <w:szCs w:val="30"/>
            </w:rPr>
            <w:t>附件-</w:t>
          </w:r>
          <w:r>
            <w:rPr>
              <w:rFonts w:hint="eastAsia" w:ascii="仿宋" w:hAnsi="仿宋" w:eastAsia="仿宋" w:cs="仿宋"/>
              <w:szCs w:val="30"/>
              <w:lang w:val="en-US" w:eastAsia="zh-CN"/>
            </w:rPr>
            <w:t>6 问卷调查结果统计表</w:t>
          </w:r>
          <w:r>
            <w:tab/>
          </w:r>
          <w:r>
            <w:fldChar w:fldCharType="begin"/>
          </w:r>
          <w:r>
            <w:instrText xml:space="preserve"> PAGEREF _Toc27289 \h </w:instrText>
          </w:r>
          <w:r>
            <w:fldChar w:fldCharType="separate"/>
          </w:r>
          <w:r>
            <w:t>34</w:t>
          </w:r>
          <w:r>
            <w:fldChar w:fldCharType="end"/>
          </w:r>
          <w:r>
            <w:fldChar w:fldCharType="end"/>
          </w:r>
        </w:p>
        <w:p>
          <w:pPr>
            <w:pStyle w:val="9"/>
            <w:tabs>
              <w:tab w:val="right" w:leader="dot" w:pos="8306"/>
            </w:tabs>
            <w:ind w:left="0" w:leftChars="0" w:firstLine="0" w:firstLineChars="0"/>
          </w:pPr>
          <w:r>
            <w:fldChar w:fldCharType="begin"/>
          </w:r>
          <w:r>
            <w:instrText xml:space="preserve"> HYPERLINK \l _Toc18832 </w:instrText>
          </w:r>
          <w:r>
            <w:fldChar w:fldCharType="separate"/>
          </w:r>
          <w:r>
            <w:rPr>
              <w:rFonts w:hint="eastAsia" w:ascii="仿宋" w:hAnsi="仿宋" w:eastAsia="仿宋" w:cs="仿宋"/>
              <w:szCs w:val="30"/>
            </w:rPr>
            <w:t>附件-</w:t>
          </w:r>
          <w:r>
            <w:rPr>
              <w:rFonts w:hint="eastAsia" w:ascii="仿宋" w:hAnsi="仿宋" w:eastAsia="仿宋" w:cs="仿宋"/>
              <w:szCs w:val="30"/>
              <w:lang w:val="en-US" w:eastAsia="zh-CN"/>
            </w:rPr>
            <w:t>7 评价</w:t>
          </w:r>
          <w:r>
            <w:rPr>
              <w:rFonts w:hint="eastAsia" w:ascii="仿宋" w:hAnsi="仿宋" w:eastAsia="仿宋" w:cs="仿宋"/>
              <w:szCs w:val="30"/>
            </w:rPr>
            <w:t>小组工作时间安排</w:t>
          </w:r>
          <w:r>
            <w:tab/>
          </w:r>
          <w:r>
            <w:fldChar w:fldCharType="begin"/>
          </w:r>
          <w:r>
            <w:instrText xml:space="preserve"> PAGEREF _Toc18832 \h </w:instrText>
          </w:r>
          <w:r>
            <w:fldChar w:fldCharType="separate"/>
          </w:r>
          <w:r>
            <w:t>40</w:t>
          </w:r>
          <w:r>
            <w:fldChar w:fldCharType="end"/>
          </w:r>
          <w:r>
            <w:fldChar w:fldCharType="end"/>
          </w:r>
        </w:p>
        <w:p>
          <w:pPr>
            <w:rPr>
              <w:b/>
            </w:rPr>
          </w:pPr>
          <w:r>
            <w:fldChar w:fldCharType="end"/>
          </w:r>
        </w:p>
      </w:sdtContent>
    </w:sdt>
    <w:p>
      <w:pPr>
        <w:rPr>
          <w:b/>
        </w:rPr>
      </w:pPr>
    </w:p>
    <w:p>
      <w:pPr>
        <w:rPr>
          <w:b/>
        </w:rPr>
      </w:pPr>
    </w:p>
    <w:p>
      <w:pPr>
        <w:rPr>
          <w:b/>
        </w:rPr>
      </w:pPr>
    </w:p>
    <w:p>
      <w:pPr>
        <w:rPr>
          <w:b/>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p>
    <w:p>
      <w:pPr>
        <w:numPr>
          <w:ilvl w:val="0"/>
          <w:numId w:val="0"/>
        </w:numPr>
        <w:spacing w:line="580" w:lineRule="exact"/>
        <w:jc w:val="center"/>
        <w:outlineLvl w:val="0"/>
        <w:rPr>
          <w:rFonts w:hint="eastAsia" w:asciiTheme="minorEastAsia" w:hAnsiTheme="minorEastAsia" w:eastAsiaTheme="minorEastAsia" w:cstheme="minorEastAsia"/>
          <w:b/>
          <w:bCs/>
          <w:sz w:val="44"/>
          <w:szCs w:val="44"/>
          <w:lang w:val="en-US" w:eastAsia="zh-CN"/>
        </w:rPr>
      </w:pPr>
      <w:bookmarkStart w:id="6" w:name="_Toc4568"/>
      <w:r>
        <w:rPr>
          <w:rFonts w:hint="eastAsia" w:asciiTheme="minorEastAsia" w:hAnsiTheme="minorEastAsia" w:eastAsiaTheme="minorEastAsia" w:cstheme="minorEastAsia"/>
          <w:b/>
          <w:bCs/>
          <w:sz w:val="44"/>
          <w:szCs w:val="44"/>
          <w:lang w:val="en-US" w:eastAsia="zh-CN"/>
        </w:rPr>
        <w:t>经济技术开发区2022年教育专项资金项目</w:t>
      </w:r>
      <w:bookmarkEnd w:id="3"/>
      <w:bookmarkEnd w:id="4"/>
      <w:bookmarkEnd w:id="5"/>
      <w:bookmarkEnd w:id="6"/>
    </w:p>
    <w:p>
      <w:pPr>
        <w:numPr>
          <w:ilvl w:val="0"/>
          <w:numId w:val="0"/>
        </w:numPr>
        <w:spacing w:line="580" w:lineRule="exact"/>
        <w:jc w:val="center"/>
        <w:outlineLvl w:val="0"/>
        <w:rPr>
          <w:rFonts w:hint="eastAsia" w:asciiTheme="minorEastAsia" w:hAnsiTheme="minorEastAsia" w:eastAsiaTheme="minorEastAsia" w:cstheme="minorEastAsia"/>
          <w:b/>
          <w:bCs/>
          <w:sz w:val="44"/>
          <w:szCs w:val="44"/>
          <w:lang w:val="en-US" w:eastAsia="zh-CN"/>
        </w:rPr>
      </w:pPr>
      <w:bookmarkStart w:id="7" w:name="_Toc14981"/>
      <w:bookmarkStart w:id="8" w:name="_Toc28256"/>
      <w:bookmarkStart w:id="9" w:name="_Toc29158"/>
      <w:bookmarkStart w:id="10" w:name="_Toc31862"/>
      <w:r>
        <w:rPr>
          <w:rFonts w:hint="eastAsia" w:asciiTheme="minorEastAsia" w:hAnsiTheme="minorEastAsia" w:eastAsiaTheme="minorEastAsia" w:cstheme="minorEastAsia"/>
          <w:b/>
          <w:bCs/>
          <w:sz w:val="44"/>
          <w:szCs w:val="44"/>
          <w:lang w:val="en-US" w:eastAsia="zh-CN"/>
        </w:rPr>
        <w:t>绩效评价报告</w:t>
      </w:r>
      <w:bookmarkEnd w:id="7"/>
      <w:bookmarkEnd w:id="8"/>
      <w:bookmarkEnd w:id="9"/>
      <w:bookmarkEnd w:id="10"/>
    </w:p>
    <w:p>
      <w:pPr>
        <w:numPr>
          <w:ilvl w:val="0"/>
          <w:numId w:val="0"/>
        </w:numPr>
        <w:spacing w:line="580" w:lineRule="exact"/>
        <w:ind w:firstLine="640" w:firstLineChars="200"/>
        <w:rPr>
          <w:rFonts w:hint="eastAsia" w:ascii="仿宋_GB2312" w:hAnsi="仿宋_GB2312" w:cs="仿宋_GB2312"/>
          <w:sz w:val="32"/>
          <w:szCs w:val="32"/>
          <w:lang w:val="en-US" w:eastAsia="zh-CN"/>
        </w:rPr>
      </w:pP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我们接受委托，于2023年5月5日至2023年6月30日对漯河经济技术开发区社会事业服务中心负责实施的教育专项资金项目运行情况进行了绩效评价。</w:t>
      </w: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漯河经济技术开发区社会事业服务中心对其提供的管理制度、业务资料和会计资料以及与绩效评价相关资料的真实性、完整性、合法性承担责任；我们对出具的绩效评价报告的独立性、客观性、公正性承担责任。我们评价的依据是 《中华人民共和国预算法》、财政部《项目支出绩效评价管理办法》（财预〔2020〕10号）、河南省财政厅《河南省省级预算项目支出绩效评价管理办法》（豫财效〔2020〕10号）、《漯河市市级预算项目支出绩效评价管理暂行办法》等文件。</w:t>
      </w: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在绩效评价过程中，我们遵守了中国注册会计师协会《会计师事务所财政支出绩效评价业务指引》的要求，得到了漯河经济技术开发区社会事业服务中心的配合。现将绩效评价情况和结果报告如下：</w:t>
      </w:r>
    </w:p>
    <w:p>
      <w:pPr>
        <w:numPr>
          <w:ilvl w:val="0"/>
          <w:numId w:val="0"/>
        </w:numPr>
        <w:spacing w:line="580" w:lineRule="exact"/>
        <w:ind w:firstLine="640" w:firstLineChars="200"/>
        <w:outlineLvl w:val="0"/>
        <w:rPr>
          <w:rFonts w:hint="eastAsia" w:ascii="黑体" w:hAnsi="黑体" w:eastAsia="黑体" w:cs="黑体"/>
          <w:b w:val="0"/>
          <w:bCs w:val="0"/>
          <w:sz w:val="32"/>
          <w:szCs w:val="32"/>
          <w:lang w:val="en-US" w:eastAsia="zh-CN"/>
        </w:rPr>
      </w:pPr>
      <w:bookmarkStart w:id="11" w:name="_Toc23379"/>
      <w:bookmarkStart w:id="12" w:name="_Toc16023"/>
      <w:r>
        <w:rPr>
          <w:rFonts w:hint="eastAsia" w:ascii="黑体" w:hAnsi="黑体" w:eastAsia="黑体" w:cs="黑体"/>
          <w:b w:val="0"/>
          <w:bCs w:val="0"/>
          <w:sz w:val="32"/>
          <w:szCs w:val="32"/>
          <w:lang w:val="en-US" w:eastAsia="zh-CN"/>
        </w:rPr>
        <w:t>一、基本情况</w:t>
      </w:r>
      <w:bookmarkEnd w:id="11"/>
      <w:bookmarkEnd w:id="12"/>
    </w:p>
    <w:p>
      <w:pPr>
        <w:numPr>
          <w:ilvl w:val="0"/>
          <w:numId w:val="0"/>
        </w:numPr>
        <w:spacing w:line="580" w:lineRule="exact"/>
        <w:ind w:firstLine="643" w:firstLineChars="200"/>
        <w:outlineLvl w:val="1"/>
        <w:rPr>
          <w:rFonts w:hint="eastAsia" w:ascii="楷体" w:hAnsi="楷体" w:eastAsia="楷体" w:cs="楷体"/>
          <w:b/>
          <w:bCs/>
          <w:sz w:val="32"/>
          <w:szCs w:val="22"/>
          <w:lang w:val="en-US" w:eastAsia="zh-CN"/>
        </w:rPr>
      </w:pPr>
      <w:bookmarkStart w:id="13" w:name="_Toc10885"/>
      <w:bookmarkStart w:id="14" w:name="_Toc3054"/>
      <w:r>
        <w:rPr>
          <w:rFonts w:hint="eastAsia" w:ascii="楷体" w:hAnsi="楷体" w:eastAsia="楷体" w:cs="楷体"/>
          <w:b/>
          <w:bCs/>
          <w:sz w:val="32"/>
          <w:szCs w:val="22"/>
          <w:lang w:val="en-US" w:eastAsia="zh-CN"/>
        </w:rPr>
        <w:t>（一）项目单位基本情况</w:t>
      </w:r>
      <w:bookmarkEnd w:id="13"/>
    </w:p>
    <w:p>
      <w:pPr>
        <w:numPr>
          <w:ilvl w:val="0"/>
          <w:numId w:val="0"/>
        </w:numPr>
        <w:spacing w:line="580" w:lineRule="exact"/>
        <w:ind w:firstLine="640" w:firstLineChars="200"/>
        <w:outlineLvl w:val="1"/>
        <w:rPr>
          <w:rFonts w:hint="eastAsia" w:ascii="楷体" w:hAnsi="楷体" w:eastAsia="楷体" w:cs="楷体"/>
          <w:b w:val="0"/>
          <w:bCs w:val="0"/>
          <w:sz w:val="32"/>
          <w:szCs w:val="22"/>
          <w:lang w:val="en-US" w:eastAsia="zh-CN"/>
        </w:rPr>
      </w:pPr>
      <w:bookmarkStart w:id="15" w:name="_Toc25017"/>
      <w:r>
        <w:rPr>
          <w:rFonts w:hint="eastAsia" w:ascii="仿宋_GB2312" w:hAnsi="仿宋_GB2312" w:cs="仿宋_GB2312"/>
          <w:sz w:val="32"/>
          <w:szCs w:val="32"/>
          <w:lang w:val="en-US" w:eastAsia="zh-CN"/>
        </w:rPr>
        <w:t>漯河经济技术开发区社会事业服务中心（以下简称“社会事业服务中心”）是“教育专项资金”经费项目预算和管理单位，社会事业服务中心为管委会的内设机构。社会事业服务中心共有办公室、文教科、信访办、宗教办、卫计办、爱卫办等内设机构。社会事业局主要职责包括：开发区社会事业发展规划的编制，并组织实施；负责计划生育、教育、民政、残联、人民武装工作；负责综合治理、信访稳定、依法治理工作;指导基层 政权建设、村民自治工作；负责全区卫生防疫、卫生保健及体育、文化、旅游和外事工作。</w:t>
      </w:r>
      <w:bookmarkEnd w:id="15"/>
    </w:p>
    <w:p>
      <w:pPr>
        <w:numPr>
          <w:ilvl w:val="0"/>
          <w:numId w:val="0"/>
        </w:numPr>
        <w:spacing w:line="580" w:lineRule="exact"/>
        <w:ind w:firstLine="643" w:firstLineChars="200"/>
        <w:outlineLvl w:val="1"/>
        <w:rPr>
          <w:rFonts w:hint="eastAsia" w:ascii="楷体" w:hAnsi="楷体" w:eastAsia="楷体" w:cs="楷体"/>
          <w:b/>
          <w:bCs/>
          <w:sz w:val="32"/>
          <w:szCs w:val="22"/>
          <w:lang w:val="en-US" w:eastAsia="zh-CN"/>
        </w:rPr>
      </w:pPr>
      <w:bookmarkStart w:id="16" w:name="_Toc22770"/>
      <w:r>
        <w:rPr>
          <w:rFonts w:hint="eastAsia" w:ascii="楷体" w:hAnsi="楷体" w:eastAsia="楷体" w:cs="楷体"/>
          <w:b/>
          <w:bCs/>
          <w:sz w:val="32"/>
          <w:szCs w:val="22"/>
          <w:lang w:val="en-US" w:eastAsia="zh-CN"/>
        </w:rPr>
        <w:t>（二）项目立项背景</w:t>
      </w:r>
      <w:bookmarkEnd w:id="14"/>
      <w:bookmarkEnd w:id="16"/>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以党的十九届四中全会精神为指导，贯彻落实中央和省、市、县对教育工作的部署，全面深化教育领域综合改革，以“育人为本、强化管理、改革创新、提升质量”为方针，按照“学前教育抓规范，义务教育抓均衡，高中教育促优质，职业教育促创新”的总体要求，加强管理，提高质量，谋划发展，促进公平，继续深化教育综合改革，以“办人民满意教育”为目标。</w:t>
      </w: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近年来，漯河经济技术开发区教育专项资金的管理使用不断规范，使用效益不断提高，有效促进了全区教育事业的健康发展。从</w:t>
      </w:r>
      <w:r>
        <w:rPr>
          <w:rFonts w:hint="eastAsia" w:ascii="仿宋_GB2312" w:hAnsi="仿宋_GB2312" w:cs="仿宋_GB2312"/>
          <w:sz w:val="32"/>
          <w:szCs w:val="32"/>
          <w:shd w:val="clear"/>
          <w:lang w:val="en-US" w:eastAsia="zh-CN"/>
        </w:rPr>
        <w:t>2021年</w:t>
      </w:r>
      <w:r>
        <w:rPr>
          <w:rFonts w:hint="eastAsia" w:ascii="仿宋_GB2312" w:hAnsi="仿宋_GB2312" w:cs="仿宋_GB2312"/>
          <w:sz w:val="32"/>
          <w:szCs w:val="32"/>
          <w:lang w:val="en-US" w:eastAsia="zh-CN"/>
        </w:rPr>
        <w:t>开始，建立了漯河经济技术开发区教育</w:t>
      </w:r>
      <w:r>
        <w:rPr>
          <w:rFonts w:hint="eastAsia" w:ascii="仿宋_GB2312" w:hAnsi="仿宋_GB2312" w:cs="仿宋_GB2312"/>
          <w:sz w:val="32"/>
          <w:szCs w:val="32"/>
          <w:shd w:val="clear"/>
          <w:lang w:val="en-US" w:eastAsia="zh-CN"/>
        </w:rPr>
        <w:t>专项资金项目</w:t>
      </w:r>
      <w:r>
        <w:rPr>
          <w:rFonts w:hint="eastAsia" w:ascii="仿宋_GB2312" w:hAnsi="仿宋_GB2312" w:cs="仿宋_GB2312"/>
          <w:sz w:val="32"/>
          <w:szCs w:val="32"/>
          <w:lang w:val="en-US" w:eastAsia="zh-CN"/>
        </w:rPr>
        <w:t>。</w:t>
      </w:r>
    </w:p>
    <w:p>
      <w:pPr>
        <w:numPr>
          <w:ilvl w:val="0"/>
          <w:numId w:val="0"/>
        </w:numPr>
        <w:spacing w:line="580" w:lineRule="exact"/>
        <w:ind w:firstLine="643" w:firstLineChars="200"/>
        <w:outlineLvl w:val="1"/>
        <w:rPr>
          <w:rFonts w:hint="eastAsia" w:ascii="楷体" w:hAnsi="楷体" w:eastAsia="楷体" w:cs="楷体"/>
          <w:b/>
          <w:bCs/>
          <w:sz w:val="32"/>
          <w:szCs w:val="32"/>
          <w:lang w:val="en-US" w:eastAsia="zh-CN"/>
        </w:rPr>
      </w:pPr>
      <w:bookmarkStart w:id="17" w:name="_Toc13559"/>
      <w:bookmarkStart w:id="18" w:name="_Toc15161"/>
      <w:r>
        <w:rPr>
          <w:rFonts w:hint="eastAsia" w:ascii="楷体" w:hAnsi="楷体" w:eastAsia="楷体" w:cs="楷体"/>
          <w:b/>
          <w:bCs/>
          <w:kern w:val="2"/>
          <w:sz w:val="32"/>
          <w:szCs w:val="32"/>
          <w:lang w:val="en-US" w:eastAsia="zh-CN" w:bidi="ar-SA"/>
        </w:rPr>
        <w:t>（三）</w:t>
      </w:r>
      <w:r>
        <w:rPr>
          <w:rFonts w:hint="eastAsia" w:ascii="楷体" w:hAnsi="楷体" w:eastAsia="楷体" w:cs="楷体"/>
          <w:b/>
          <w:bCs/>
          <w:sz w:val="32"/>
          <w:szCs w:val="32"/>
          <w:lang w:val="en-US" w:eastAsia="zh-CN"/>
        </w:rPr>
        <w:t>项目主要内容及实施情况</w:t>
      </w:r>
      <w:bookmarkEnd w:id="17"/>
      <w:bookmarkEnd w:id="18"/>
    </w:p>
    <w:p>
      <w:pPr>
        <w:numPr>
          <w:ilvl w:val="0"/>
          <w:numId w:val="0"/>
        </w:numPr>
        <w:spacing w:line="580" w:lineRule="exact"/>
        <w:ind w:firstLine="640" w:firstLineChars="200"/>
        <w:outlineLvl w:val="1"/>
        <w:rPr>
          <w:rFonts w:hint="eastAsia" w:ascii="仿宋_GB2312" w:hAnsi="仿宋_GB2312" w:cs="仿宋_GB2312"/>
          <w:sz w:val="32"/>
          <w:szCs w:val="32"/>
          <w:lang w:val="en-US" w:eastAsia="zh-CN"/>
        </w:rPr>
      </w:pPr>
      <w:bookmarkStart w:id="19" w:name="_Toc8510"/>
      <w:bookmarkStart w:id="20" w:name="_Toc28068"/>
      <w:r>
        <w:rPr>
          <w:rFonts w:hint="eastAsia" w:ascii="仿宋_GB2312" w:hAnsi="仿宋_GB2312" w:cs="仿宋_GB2312"/>
          <w:sz w:val="32"/>
          <w:szCs w:val="32"/>
          <w:lang w:val="en-US" w:eastAsia="zh-CN"/>
        </w:rPr>
        <w:t>专项资金安排使用坚持公共财政导向，着力推进教育领域综合改革，优先保障国家及省、市重大决策部署所需资金。教育专项资金项目主要内容包括：一是提升办学条件；二是突发性校舍维修；三是校园设备购置；四是学校办公楼装修；五是普惠性幼儿园奖补；六是用于解决教育突发性项目。</w:t>
      </w:r>
      <w:bookmarkEnd w:id="19"/>
      <w:r>
        <w:rPr>
          <w:rFonts w:hint="eastAsia" w:ascii="仿宋_GB2312" w:hAnsi="仿宋_GB2312" w:cs="仿宋_GB2312"/>
          <w:sz w:val="32"/>
          <w:szCs w:val="32"/>
          <w:lang w:val="en-US" w:eastAsia="zh-CN"/>
        </w:rPr>
        <w:t xml:space="preserve">      </w:t>
      </w:r>
    </w:p>
    <w:p>
      <w:pPr>
        <w:numPr>
          <w:ilvl w:val="0"/>
          <w:numId w:val="0"/>
        </w:numPr>
        <w:spacing w:line="580" w:lineRule="exact"/>
        <w:ind w:firstLine="640" w:firstLineChars="200"/>
        <w:outlineLvl w:val="1"/>
        <w:rPr>
          <w:rFonts w:hint="eastAsia" w:ascii="仿宋_GB2312" w:hAnsi="仿宋_GB2312" w:cs="仿宋_GB2312"/>
          <w:sz w:val="32"/>
          <w:szCs w:val="32"/>
          <w:shd w:val="clear" w:fill="FFC000" w:themeFill="accent4"/>
          <w:lang w:val="en-US" w:eastAsia="zh-CN"/>
        </w:rPr>
      </w:pPr>
      <w:bookmarkStart w:id="21" w:name="_Toc23181"/>
      <w:r>
        <w:rPr>
          <w:rFonts w:hint="eastAsia" w:ascii="仿宋_GB2312" w:hAnsi="仿宋_GB2312" w:cs="仿宋_GB2312"/>
          <w:sz w:val="32"/>
          <w:szCs w:val="32"/>
          <w:shd w:val="clear"/>
          <w:lang w:val="en-US" w:eastAsia="zh-CN"/>
        </w:rPr>
        <w:t>每年由各区直学校及相关业务科室上报下年度项目资金需求，按照轻重缓急的程度，由单位负责人审定，报分管领导批准后报管委会主任审批通过，最后由分管财政领导审批再拨付教育专项资金。</w:t>
      </w:r>
      <w:bookmarkEnd w:id="21"/>
    </w:p>
    <w:p>
      <w:pPr>
        <w:numPr>
          <w:ilvl w:val="0"/>
          <w:numId w:val="0"/>
        </w:numPr>
        <w:spacing w:line="580" w:lineRule="exact"/>
        <w:ind w:firstLine="643" w:firstLineChars="200"/>
        <w:outlineLvl w:val="1"/>
        <w:rPr>
          <w:rFonts w:hint="eastAsia" w:ascii="楷体" w:hAnsi="楷体" w:eastAsia="楷体" w:cs="楷体"/>
          <w:b/>
          <w:bCs/>
          <w:sz w:val="32"/>
          <w:szCs w:val="32"/>
          <w:lang w:val="en-US" w:eastAsia="zh-CN"/>
        </w:rPr>
      </w:pPr>
      <w:bookmarkStart w:id="22" w:name="_Toc30395"/>
      <w:r>
        <w:rPr>
          <w:rFonts w:hint="eastAsia" w:ascii="楷体" w:hAnsi="楷体" w:eastAsia="楷体" w:cs="楷体"/>
          <w:b/>
          <w:bCs/>
          <w:sz w:val="32"/>
          <w:szCs w:val="32"/>
          <w:lang w:val="en-US" w:eastAsia="zh-CN"/>
        </w:rPr>
        <w:t>（四）项目经费来源和使用情况</w:t>
      </w:r>
      <w:bookmarkEnd w:id="20"/>
      <w:bookmarkEnd w:id="22"/>
    </w:p>
    <w:p>
      <w:pPr>
        <w:numPr>
          <w:ilvl w:val="0"/>
          <w:numId w:val="0"/>
        </w:numPr>
        <w:spacing w:line="580" w:lineRule="exact"/>
        <w:ind w:firstLine="640" w:firstLineChars="200"/>
        <w:outlineLvl w:val="0"/>
        <w:rPr>
          <w:rFonts w:hint="default" w:ascii="仿宋" w:hAnsi="仿宋" w:eastAsia="仿宋" w:cs="仿宋"/>
          <w:sz w:val="28"/>
          <w:szCs w:val="28"/>
          <w:shd w:val="clear"/>
          <w:lang w:val="en-US" w:eastAsia="zh-CN"/>
        </w:rPr>
      </w:pPr>
      <w:r>
        <w:rPr>
          <w:rFonts w:hint="eastAsia" w:ascii="仿宋_GB2312" w:hAnsi="仿宋_GB2312" w:cs="仿宋_GB2312"/>
          <w:sz w:val="32"/>
          <w:szCs w:val="32"/>
          <w:lang w:val="en-US" w:eastAsia="zh-CN"/>
        </w:rPr>
        <w:t>教育专项资金主要来源于漯河经济技术开发区财政预算资金。根据《漯河经济技术开发区财政局关于批复2022年部门预算的通知》（漯开财〔2022〕7号），</w:t>
      </w:r>
      <w:r>
        <w:rPr>
          <w:rFonts w:hint="eastAsia" w:ascii="仿宋_GB2312" w:hAnsi="仿宋_GB2312" w:cs="仿宋_GB2312"/>
          <w:sz w:val="32"/>
          <w:szCs w:val="32"/>
          <w:shd w:val="clear"/>
          <w:lang w:val="en-US" w:eastAsia="zh-CN"/>
        </w:rPr>
        <w:t>2022年教育专项资金项目预算批复462.9万元，年终调减150.7万元，全年预算资金共计312.2万元,全年实际支出281.95万元，年底结余资金30.25万元。</w:t>
      </w:r>
    </w:p>
    <w:p>
      <w:pPr>
        <w:numPr>
          <w:ilvl w:val="0"/>
          <w:numId w:val="0"/>
        </w:numPr>
        <w:spacing w:line="580" w:lineRule="exact"/>
        <w:ind w:firstLine="643" w:firstLineChars="200"/>
        <w:outlineLvl w:val="1"/>
        <w:rPr>
          <w:rFonts w:hint="eastAsia" w:ascii="楷体" w:hAnsi="楷体" w:eastAsia="楷体" w:cs="楷体"/>
          <w:b/>
          <w:bCs/>
          <w:sz w:val="32"/>
          <w:szCs w:val="32"/>
          <w:lang w:val="en-US" w:eastAsia="zh-CN"/>
        </w:rPr>
      </w:pPr>
      <w:bookmarkStart w:id="23" w:name="_Toc13170"/>
      <w:bookmarkStart w:id="24" w:name="_Toc27477"/>
      <w:r>
        <w:rPr>
          <w:rFonts w:hint="eastAsia" w:ascii="楷体" w:hAnsi="楷体" w:eastAsia="楷体" w:cs="楷体"/>
          <w:b/>
          <w:bCs/>
          <w:sz w:val="32"/>
          <w:szCs w:val="32"/>
          <w:lang w:val="en-US" w:eastAsia="zh-CN"/>
        </w:rPr>
        <w:t>（五）项目绩效目标</w:t>
      </w:r>
      <w:bookmarkEnd w:id="23"/>
      <w:bookmarkEnd w:id="24"/>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28"/>
          <w:szCs w:val="28"/>
          <w:lang w:val="en-US" w:eastAsia="zh-CN"/>
        </w:rPr>
      </w:pPr>
      <w:r>
        <w:rPr>
          <w:rFonts w:hint="eastAsia" w:ascii="仿宋_GB2312" w:hAnsi="仿宋_GB2312" w:cs="仿宋_GB2312"/>
          <w:sz w:val="32"/>
          <w:szCs w:val="32"/>
          <w:lang w:val="en-US" w:eastAsia="zh-CN"/>
        </w:rPr>
        <w:t>年度绩效目标：一是湘江路小学办公楼装修；二是突发性校舍维修；三是普惠性幼儿园奖补。</w:t>
      </w:r>
    </w:p>
    <w:p>
      <w:pPr>
        <w:numPr>
          <w:ilvl w:val="0"/>
          <w:numId w:val="0"/>
        </w:numPr>
        <w:spacing w:line="580" w:lineRule="exact"/>
        <w:ind w:firstLine="640" w:firstLineChars="200"/>
        <w:outlineLvl w:val="0"/>
        <w:rPr>
          <w:rFonts w:hint="eastAsia" w:ascii="黑体" w:hAnsi="黑体" w:eastAsia="黑体" w:cs="Times New Roman"/>
          <w:b w:val="0"/>
          <w:bCs w:val="0"/>
          <w:sz w:val="32"/>
          <w:szCs w:val="22"/>
          <w:lang w:val="en-US" w:eastAsia="zh-CN"/>
        </w:rPr>
      </w:pPr>
      <w:bookmarkStart w:id="25" w:name="_Toc3533"/>
      <w:bookmarkStart w:id="26" w:name="_Toc12537"/>
      <w:r>
        <w:rPr>
          <w:rFonts w:hint="eastAsia" w:ascii="黑体" w:hAnsi="黑体" w:eastAsia="黑体" w:cs="Times New Roman"/>
          <w:b w:val="0"/>
          <w:bCs w:val="0"/>
          <w:sz w:val="32"/>
          <w:szCs w:val="22"/>
          <w:lang w:val="en-US" w:eastAsia="zh-CN"/>
        </w:rPr>
        <w:t>二、绩效评价工作开展施情况</w:t>
      </w:r>
      <w:bookmarkEnd w:id="25"/>
      <w:bookmarkEnd w:id="26"/>
    </w:p>
    <w:p>
      <w:pPr>
        <w:numPr>
          <w:ilvl w:val="0"/>
          <w:numId w:val="0"/>
        </w:numPr>
        <w:spacing w:line="580" w:lineRule="exact"/>
        <w:ind w:firstLine="643" w:firstLineChars="200"/>
        <w:outlineLvl w:val="1"/>
        <w:rPr>
          <w:rFonts w:hint="eastAsia" w:ascii="楷体" w:hAnsi="楷体" w:eastAsia="楷体" w:cs="楷体"/>
          <w:b/>
          <w:bCs/>
          <w:sz w:val="32"/>
          <w:szCs w:val="32"/>
          <w:lang w:val="en-US" w:eastAsia="zh-CN"/>
        </w:rPr>
      </w:pPr>
      <w:bookmarkStart w:id="27" w:name="_Toc12353"/>
      <w:bookmarkStart w:id="28" w:name="_Toc21120"/>
      <w:r>
        <w:rPr>
          <w:rFonts w:hint="eastAsia" w:ascii="楷体" w:hAnsi="楷体" w:eastAsia="楷体" w:cs="楷体"/>
          <w:b/>
          <w:bCs/>
          <w:sz w:val="32"/>
          <w:szCs w:val="32"/>
          <w:lang w:val="en-US" w:eastAsia="zh-CN"/>
        </w:rPr>
        <w:t>（一）绩效评价目的</w:t>
      </w:r>
      <w:bookmarkEnd w:id="27"/>
      <w:bookmarkEnd w:id="28"/>
    </w:p>
    <w:p>
      <w:pPr>
        <w:numPr>
          <w:ilvl w:val="0"/>
          <w:numId w:val="0"/>
        </w:numPr>
        <w:spacing w:line="580" w:lineRule="exact"/>
        <w:ind w:firstLine="640" w:firstLineChars="200"/>
        <w:outlineLvl w:val="1"/>
        <w:rPr>
          <w:rFonts w:hint="eastAsia" w:ascii="仿宋_GB2312" w:hAnsi="仿宋_GB2312" w:cs="仿宋_GB2312"/>
          <w:sz w:val="32"/>
          <w:szCs w:val="32"/>
          <w:lang w:val="en-US" w:eastAsia="zh-CN"/>
        </w:rPr>
      </w:pPr>
      <w:bookmarkStart w:id="29" w:name="_Toc14657"/>
      <w:bookmarkStart w:id="30" w:name="_Toc23748"/>
      <w:r>
        <w:rPr>
          <w:rFonts w:hint="eastAsia" w:ascii="仿宋_GB2312" w:hAnsi="仿宋_GB2312" w:cs="仿宋_GB2312"/>
          <w:sz w:val="32"/>
          <w:szCs w:val="32"/>
          <w:lang w:val="en-US" w:eastAsia="zh-CN"/>
        </w:rPr>
        <w:t>本次绩效评价的目的是通过对2022年教育专项经费项目的预算执行、管理和绩效目标实现情况进行评价，发现问题并督促社会事业服务中心及时采取有效措施进行纠正，确保财政资金使用能充分体现效率性和效果性，确保绩效目标的实现。重点是从项目支付情况、绩效目标完成情况和目标进度的偏差性以及资金使用合理性等方面进行评价，对年度绩效目标是否完成进行评价，提出问题整改意见，促使区财政局能够及时掌握预算部门资金使用情况，并督促社会事业服务中心及时进行纠偏。</w:t>
      </w:r>
      <w:bookmarkEnd w:id="29"/>
    </w:p>
    <w:p>
      <w:pPr>
        <w:numPr>
          <w:ilvl w:val="0"/>
          <w:numId w:val="0"/>
        </w:numPr>
        <w:spacing w:line="580" w:lineRule="exact"/>
        <w:ind w:firstLine="643" w:firstLineChars="200"/>
        <w:outlineLvl w:val="1"/>
        <w:rPr>
          <w:rFonts w:hint="eastAsia" w:ascii="楷体" w:hAnsi="楷体" w:eastAsia="楷体" w:cs="楷体"/>
          <w:b/>
          <w:bCs/>
          <w:sz w:val="32"/>
          <w:szCs w:val="32"/>
          <w:lang w:val="en-US" w:eastAsia="zh-CN"/>
        </w:rPr>
      </w:pPr>
      <w:bookmarkStart w:id="31" w:name="_Toc31457"/>
      <w:r>
        <w:rPr>
          <w:rFonts w:hint="eastAsia" w:ascii="楷体" w:hAnsi="楷体" w:eastAsia="楷体" w:cs="楷体"/>
          <w:b/>
          <w:bCs/>
          <w:sz w:val="32"/>
          <w:szCs w:val="32"/>
          <w:lang w:val="en-US" w:eastAsia="zh-CN"/>
        </w:rPr>
        <w:t>（二）绩效评价内容</w:t>
      </w:r>
      <w:bookmarkEnd w:id="30"/>
      <w:bookmarkEnd w:id="31"/>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sz w:val="32"/>
          <w:szCs w:val="32"/>
          <w:lang w:val="en-US" w:eastAsia="zh-CN"/>
        </w:rPr>
      </w:pPr>
      <w:bookmarkStart w:id="32" w:name="_Toc25172"/>
      <w:r>
        <w:rPr>
          <w:rFonts w:hint="eastAsia" w:ascii="仿宋_GB2312" w:hAnsi="仿宋_GB2312" w:cs="仿宋_GB2312"/>
          <w:sz w:val="32"/>
          <w:szCs w:val="32"/>
          <w:lang w:val="en-US" w:eastAsia="zh-CN"/>
        </w:rPr>
        <w:t>绩效评价内容主要包括以下内容：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1.绩效目标完成情况，一是预计产出的完成进度及趋势，包括数量、质量、时效、成本等；二是预计效果的实现进度及趋势，包括经济效益、社会效益和可持续影响等；三是跟踪服务对象满意度及趋势。</w:t>
      </w:r>
    </w:p>
    <w:p>
      <w:pPr>
        <w:numPr>
          <w:ilvl w:val="0"/>
          <w:numId w:val="0"/>
        </w:numPr>
        <w:spacing w:line="580" w:lineRule="exact"/>
        <w:ind w:firstLine="640" w:firstLineChars="200"/>
        <w:outlineLvl w:val="1"/>
        <w:rPr>
          <w:rFonts w:hint="eastAsia" w:ascii="仿宋_GB2312" w:hAnsi="仿宋_GB2312" w:cs="仿宋_GB2312"/>
          <w:sz w:val="32"/>
          <w:szCs w:val="32"/>
          <w:lang w:val="en-US" w:eastAsia="zh-CN"/>
        </w:rPr>
      </w:pPr>
      <w:bookmarkStart w:id="33" w:name="_Toc22286"/>
      <w:r>
        <w:rPr>
          <w:rFonts w:hint="eastAsia" w:ascii="仿宋_GB2312" w:hAnsi="仿宋_GB2312" w:cs="仿宋_GB2312"/>
          <w:sz w:val="32"/>
          <w:szCs w:val="32"/>
          <w:lang w:val="en-US" w:eastAsia="zh-CN"/>
        </w:rPr>
        <w:t>2.预算执行情况，包括预算资金拨付情况，预算单位实际支出情况以及预计结转结余情况。</w:t>
      </w:r>
      <w:bookmarkEnd w:id="33"/>
    </w:p>
    <w:p>
      <w:pPr>
        <w:numPr>
          <w:ilvl w:val="0"/>
          <w:numId w:val="0"/>
        </w:numPr>
        <w:spacing w:line="580" w:lineRule="exact"/>
        <w:ind w:firstLine="643" w:firstLineChars="200"/>
        <w:outlineLvl w:val="1"/>
        <w:rPr>
          <w:rFonts w:hint="eastAsia" w:ascii="楷体" w:hAnsi="楷体" w:eastAsia="楷体" w:cs="楷体"/>
          <w:b/>
          <w:bCs/>
          <w:sz w:val="32"/>
          <w:szCs w:val="32"/>
          <w:lang w:val="en-US" w:eastAsia="zh-CN"/>
        </w:rPr>
      </w:pPr>
      <w:bookmarkStart w:id="34" w:name="_Toc5967"/>
      <w:r>
        <w:rPr>
          <w:rFonts w:hint="eastAsia" w:ascii="楷体" w:hAnsi="楷体" w:eastAsia="楷体" w:cs="楷体"/>
          <w:b/>
          <w:bCs/>
          <w:sz w:val="32"/>
          <w:szCs w:val="32"/>
          <w:lang w:val="en-US" w:eastAsia="zh-CN"/>
        </w:rPr>
        <w:t>（三）绩效评价实施过程与流程</w:t>
      </w:r>
      <w:bookmarkEnd w:id="32"/>
      <w:bookmarkEnd w:id="34"/>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绩效评价分为前期准备阶段、评价执行阶段、报告撰写与提交阶段三个阶段，具体实施计划详见如下：</w:t>
      </w: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前期准备阶段：初步了解评价基本事项，组建项目内部工作团队，拟定专家名单并提交审核。同时了解项目的基本情况，进行绩效评价框架开发与设计，并制订绩效评价初步方案报区财政局审核完善。</w:t>
      </w: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评价实施阶段：对项目单位填报的绩效运行数据进行收集、分类整理，审核材料的完整性、准确性，记录审核过程中发现的问题，并出具初步审核意见。同时筛选服务对象，通过询问、查阅、核对、检查、访谈、问卷调查等方式进行调查，汇总收集的绩效运行数据，并对评价指标完成情况进行核实分析，出具绩效评价综合意见。</w:t>
      </w: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报告撰写与提交阶段：根据报告框架要求编写绩效评价报告初稿并提交，并征集委托方、项目单位等多方</w:t>
      </w:r>
      <w:r>
        <w:rPr>
          <w:rFonts w:hint="eastAsia" w:ascii="仿宋_GB2312" w:hAnsi="仿宋_GB2312" w:cs="仿宋_GB2312"/>
          <w:color w:val="auto"/>
          <w:sz w:val="32"/>
          <w:szCs w:val="32"/>
          <w:lang w:val="en-US" w:eastAsia="zh-CN"/>
        </w:rPr>
        <w:t>反馈</w:t>
      </w:r>
      <w:r>
        <w:rPr>
          <w:rFonts w:hint="eastAsia" w:ascii="仿宋_GB2312" w:hAnsi="仿宋_GB2312" w:cs="仿宋_GB2312"/>
          <w:sz w:val="32"/>
          <w:szCs w:val="32"/>
          <w:lang w:val="en-US" w:eastAsia="zh-CN"/>
        </w:rPr>
        <w:t>意见，最后完善形成正式绩效评价报告。</w:t>
      </w:r>
    </w:p>
    <w:p>
      <w:pPr>
        <w:numPr>
          <w:ilvl w:val="0"/>
          <w:numId w:val="0"/>
        </w:numPr>
        <w:spacing w:line="580" w:lineRule="exact"/>
        <w:ind w:firstLine="643" w:firstLineChars="200"/>
        <w:outlineLvl w:val="1"/>
        <w:rPr>
          <w:rFonts w:hint="eastAsia" w:ascii="楷体" w:hAnsi="楷体" w:eastAsia="楷体" w:cs="楷体"/>
          <w:b/>
          <w:bCs/>
          <w:sz w:val="32"/>
          <w:szCs w:val="32"/>
          <w:lang w:val="en-US" w:eastAsia="zh-CN"/>
        </w:rPr>
      </w:pPr>
      <w:bookmarkStart w:id="35" w:name="_Toc28771"/>
      <w:bookmarkStart w:id="36" w:name="_Toc20937"/>
      <w:r>
        <w:rPr>
          <w:rFonts w:hint="eastAsia" w:ascii="楷体" w:hAnsi="楷体" w:eastAsia="楷体" w:cs="楷体"/>
          <w:b/>
          <w:bCs/>
          <w:sz w:val="32"/>
          <w:szCs w:val="32"/>
          <w:lang w:val="en-US" w:eastAsia="zh-CN"/>
        </w:rPr>
        <w:t>（四）绩效评价指标体系设计</w:t>
      </w:r>
      <w:bookmarkEnd w:id="35"/>
      <w:bookmarkEnd w:id="36"/>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指标体系设计思路：本次评价针对漯河经济技术开发区教育专项资金项目绩效评价指标体系，评价指标体系按照逻辑分析法设计，包括项目决策、项目过程、项目产出、项目效益四个部分内容。根据评价目的和评价重点，结合本项目具体运行情况以及各种评价方法，通过对项目立项、组织实施、产出数量、产出质量、项目效果等客观方面进行系统分析，对该项目绩效目标的完成情况作出评价，及时发现项目存在的问题，并提出有针对性的建议。</w:t>
      </w: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指标整体框架说明：根据财政部《项目支出绩效评价管理办法》（财预〔2020〕10号）以及《漯河经济技术开发区财政局关于开展2022年度区级预算绩效自评和项目支出部门绩效评价工作》的通知(漯开财〔2023〕9号)中的指标体系及要求，结合项目的具体情况，评价小组确定了4项一级指标、8项二级目标、22项三级指标。本次绩效评价指标体系中各部分权重如下：</w:t>
      </w: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项目决策：占权重分15分，用于考察项目立项的充分性、程序的规范性、目标的合理性、指标的明确性等情况。</w:t>
      </w: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项目实施过程：占权重分25分，主要用于考察项目管理制度是否完善，执行是否有效。</w:t>
      </w: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项目产出：占权重分35分，通过产出数量、产出质量、产出时效和产出成本四个方面综合评价资金投入使用后的产出是否达到了预期值。</w:t>
      </w: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项目效益：占权重分25分，用于评估本项目的实施带来的社会效益、经济效益，可持续发展性以及项目服务对象对该项目的满意程度。</w:t>
      </w: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3、评分等级设定</w:t>
      </w: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项目最终评价等级分为以下四级：</w:t>
      </w: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优：得分高于90分（含90分）</w:t>
      </w: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良：得分80分—90分（含80分）</w:t>
      </w: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中：得分60分—80分（含60分）</w:t>
      </w:r>
    </w:p>
    <w:p>
      <w:pPr>
        <w:numPr>
          <w:ilvl w:val="0"/>
          <w:numId w:val="0"/>
        </w:numPr>
        <w:spacing w:line="580" w:lineRule="exact"/>
        <w:ind w:firstLine="640" w:firstLineChars="200"/>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差：得分60分以下。</w:t>
      </w:r>
    </w:p>
    <w:p>
      <w:pPr>
        <w:numPr>
          <w:ilvl w:val="0"/>
          <w:numId w:val="0"/>
        </w:numPr>
        <w:spacing w:line="580" w:lineRule="exact"/>
        <w:ind w:firstLine="640" w:firstLineChars="200"/>
        <w:outlineLvl w:val="0"/>
        <w:rPr>
          <w:rFonts w:hint="eastAsia" w:ascii="黑体" w:hAnsi="黑体" w:eastAsia="黑体" w:cs="黑体"/>
          <w:b w:val="0"/>
          <w:bCs w:val="0"/>
          <w:sz w:val="32"/>
          <w:szCs w:val="32"/>
          <w:lang w:val="en-US" w:eastAsia="zh-CN"/>
        </w:rPr>
      </w:pPr>
      <w:bookmarkStart w:id="37" w:name="_Toc24241"/>
      <w:bookmarkStart w:id="38" w:name="_Toc3857"/>
      <w:r>
        <w:rPr>
          <w:rFonts w:hint="eastAsia" w:ascii="黑体" w:hAnsi="黑体" w:eastAsia="黑体" w:cs="黑体"/>
          <w:b w:val="0"/>
          <w:bCs w:val="0"/>
          <w:sz w:val="32"/>
          <w:szCs w:val="32"/>
          <w:lang w:val="en-US" w:eastAsia="zh-CN"/>
        </w:rPr>
        <w:t>三、综合评价情况及评价结论</w:t>
      </w:r>
      <w:bookmarkEnd w:id="37"/>
      <w:bookmarkEnd w:id="38"/>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评价小组以《中华人民共和国预算法》、《项目支出绩效评价管理办法》（财预〔2020〕10号）、《河南省省级预算项目支出绩效评价管理办法》（豫财效〔2020〕10号）以及评价过程中收集到的各种资料为基础，采用查阅、核对、检查、访谈、问卷调查，对漯河经济技术开发区教育专项资金项目进行评价。该项目本次绩效评价综合得分70.91分，整体评价结果为“中”。</w:t>
      </w:r>
    </w:p>
    <w:p>
      <w:pPr>
        <w:pStyle w:val="2"/>
        <w:jc w:val="center"/>
        <w:outlineLvl w:val="1"/>
        <w:rPr>
          <w:rFonts w:hint="eastAsia"/>
          <w:b/>
          <w:bCs/>
          <w:lang w:val="en-US" w:eastAsia="zh-CN"/>
        </w:rPr>
      </w:pPr>
      <w:bookmarkStart w:id="39" w:name="_Toc3831"/>
      <w:r>
        <w:rPr>
          <w:rFonts w:hint="eastAsia" w:eastAsia="仿宋"/>
          <w:b/>
          <w:bCs/>
          <w:kern w:val="44"/>
          <w:sz w:val="32"/>
          <w:szCs w:val="32"/>
          <w:lang w:val="en-US" w:eastAsia="zh-CN"/>
        </w:rPr>
        <w:t>教育专项资金项目绩效评分</w:t>
      </w:r>
      <w:bookmarkEnd w:id="39"/>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1700"/>
        <w:gridCol w:w="1716"/>
        <w:gridCol w:w="1725"/>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tcPr>
          <w:p>
            <w:pPr>
              <w:keepNext w:val="0"/>
              <w:keepLines w:val="0"/>
              <w:suppressLineNumbers w:val="0"/>
              <w:spacing w:before="0" w:beforeAutospacing="0" w:after="0" w:afterAutospacing="0"/>
              <w:ind w:left="0" w:right="0"/>
              <w:jc w:val="center"/>
              <w:rPr>
                <w:rFonts w:hint="default"/>
                <w:b/>
                <w:bCs/>
                <w:sz w:val="28"/>
                <w:szCs w:val="28"/>
                <w:vertAlign w:val="baseline"/>
                <w:lang w:val="en-US" w:eastAsia="zh-CN"/>
              </w:rPr>
            </w:pPr>
            <w:r>
              <w:rPr>
                <w:rFonts w:hint="eastAsia"/>
                <w:b/>
                <w:bCs/>
                <w:sz w:val="28"/>
                <w:szCs w:val="28"/>
                <w:vertAlign w:val="baseline"/>
                <w:lang w:val="en-US" w:eastAsia="zh-CN"/>
              </w:rPr>
              <w:t>一级指标</w:t>
            </w:r>
          </w:p>
        </w:tc>
        <w:tc>
          <w:tcPr>
            <w:tcW w:w="1767" w:type="dxa"/>
          </w:tcPr>
          <w:p>
            <w:pPr>
              <w:keepNext w:val="0"/>
              <w:keepLines w:val="0"/>
              <w:suppressLineNumbers w:val="0"/>
              <w:spacing w:before="0" w:beforeAutospacing="0" w:after="0" w:afterAutospacing="0"/>
              <w:ind w:left="0" w:right="0"/>
              <w:jc w:val="center"/>
              <w:rPr>
                <w:rFonts w:hint="default"/>
                <w:b/>
                <w:bCs/>
                <w:sz w:val="28"/>
                <w:szCs w:val="28"/>
                <w:vertAlign w:val="baseline"/>
                <w:lang w:val="en-US" w:eastAsia="zh-CN"/>
              </w:rPr>
            </w:pPr>
            <w:r>
              <w:rPr>
                <w:rFonts w:hint="eastAsia"/>
                <w:b/>
                <w:bCs/>
                <w:sz w:val="28"/>
                <w:szCs w:val="28"/>
                <w:vertAlign w:val="baseline"/>
                <w:lang w:val="en-US" w:eastAsia="zh-CN"/>
              </w:rPr>
              <w:t>分值</w:t>
            </w:r>
          </w:p>
        </w:tc>
        <w:tc>
          <w:tcPr>
            <w:tcW w:w="1767" w:type="dxa"/>
          </w:tcPr>
          <w:p>
            <w:pPr>
              <w:keepNext w:val="0"/>
              <w:keepLines w:val="0"/>
              <w:suppressLineNumbers w:val="0"/>
              <w:spacing w:before="0" w:beforeAutospacing="0" w:after="0" w:afterAutospacing="0"/>
              <w:ind w:left="0" w:right="0"/>
              <w:jc w:val="center"/>
              <w:rPr>
                <w:rFonts w:hint="default"/>
                <w:b/>
                <w:bCs/>
                <w:sz w:val="28"/>
                <w:szCs w:val="28"/>
                <w:vertAlign w:val="baseline"/>
                <w:lang w:val="en-US" w:eastAsia="zh-CN"/>
              </w:rPr>
            </w:pPr>
            <w:r>
              <w:rPr>
                <w:rFonts w:hint="eastAsia"/>
                <w:b/>
                <w:bCs/>
                <w:sz w:val="28"/>
                <w:szCs w:val="28"/>
                <w:vertAlign w:val="baseline"/>
                <w:lang w:val="en-US" w:eastAsia="zh-CN"/>
              </w:rPr>
              <w:t>得分</w:t>
            </w:r>
          </w:p>
        </w:tc>
        <w:tc>
          <w:tcPr>
            <w:tcW w:w="1767" w:type="dxa"/>
          </w:tcPr>
          <w:p>
            <w:pPr>
              <w:keepNext w:val="0"/>
              <w:keepLines w:val="0"/>
              <w:suppressLineNumbers w:val="0"/>
              <w:spacing w:before="0" w:beforeAutospacing="0" w:after="0" w:afterAutospacing="0"/>
              <w:ind w:left="0" w:right="0"/>
              <w:jc w:val="center"/>
              <w:rPr>
                <w:rFonts w:hint="default"/>
                <w:b/>
                <w:bCs/>
                <w:sz w:val="28"/>
                <w:szCs w:val="28"/>
                <w:vertAlign w:val="baseline"/>
                <w:lang w:val="en-US" w:eastAsia="zh-CN"/>
              </w:rPr>
            </w:pPr>
            <w:r>
              <w:rPr>
                <w:rFonts w:hint="eastAsia"/>
                <w:b/>
                <w:bCs/>
                <w:sz w:val="28"/>
                <w:szCs w:val="28"/>
                <w:vertAlign w:val="baseline"/>
                <w:lang w:val="en-US" w:eastAsia="zh-CN"/>
              </w:rPr>
              <w:t>得分率</w:t>
            </w:r>
          </w:p>
        </w:tc>
        <w:tc>
          <w:tcPr>
            <w:tcW w:w="1767" w:type="dxa"/>
          </w:tcPr>
          <w:p>
            <w:pPr>
              <w:keepNext w:val="0"/>
              <w:keepLines w:val="0"/>
              <w:suppressLineNumbers w:val="0"/>
              <w:spacing w:before="0" w:beforeAutospacing="0" w:after="0" w:afterAutospacing="0"/>
              <w:ind w:left="0" w:right="0"/>
              <w:jc w:val="center"/>
              <w:rPr>
                <w:rFonts w:hint="default"/>
                <w:b/>
                <w:bCs/>
                <w:sz w:val="28"/>
                <w:szCs w:val="28"/>
                <w:vertAlign w:val="baseline"/>
                <w:lang w:val="en-US" w:eastAsia="zh-CN"/>
              </w:rPr>
            </w:pPr>
            <w:r>
              <w:rPr>
                <w:rFonts w:hint="eastAsia"/>
                <w:b/>
                <w:bCs/>
                <w:sz w:val="28"/>
                <w:szCs w:val="28"/>
                <w:vertAlign w:val="baseline"/>
                <w:lang w:val="en-US" w:eastAsia="zh-CN"/>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shd w:val="clear" w:color="auto" w:fill="F1F1F1" w:themeFill="background1" w:themeFillShade="F2"/>
          </w:tcPr>
          <w:p>
            <w:pPr>
              <w:keepNext w:val="0"/>
              <w:keepLines w:val="0"/>
              <w:suppressLineNumbers w:val="0"/>
              <w:spacing w:before="0" w:beforeAutospacing="0" w:after="0" w:afterAutospacing="0"/>
              <w:ind w:left="0" w:right="0"/>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决策类</w:t>
            </w:r>
          </w:p>
        </w:tc>
        <w:tc>
          <w:tcPr>
            <w:tcW w:w="1767" w:type="dxa"/>
            <w:shd w:val="clear" w:color="auto" w:fill="F1F1F1" w:themeFill="background1" w:themeFillShade="F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15</w:t>
            </w:r>
          </w:p>
        </w:tc>
        <w:tc>
          <w:tcPr>
            <w:tcW w:w="1767" w:type="dxa"/>
            <w:shd w:val="clear" w:color="auto" w:fill="F1F1F1" w:themeFill="background1" w:themeFillShade="F2"/>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3.2</w:t>
            </w:r>
          </w:p>
        </w:tc>
        <w:tc>
          <w:tcPr>
            <w:tcW w:w="1767" w:type="dxa"/>
            <w:shd w:val="clear" w:color="auto" w:fill="F1F1F1" w:themeFill="background1" w:themeFillShade="F2"/>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21.33%</w:t>
            </w:r>
          </w:p>
        </w:tc>
        <w:tc>
          <w:tcPr>
            <w:tcW w:w="1767" w:type="dxa"/>
            <w:shd w:val="clear" w:color="auto" w:fill="F1F1F1" w:themeFill="background1" w:themeFillShade="F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tcPr>
          <w:p>
            <w:pPr>
              <w:keepNext w:val="0"/>
              <w:keepLines w:val="0"/>
              <w:suppressLineNumbers w:val="0"/>
              <w:spacing w:before="0" w:beforeAutospacing="0" w:after="0" w:afterAutospacing="0"/>
              <w:ind w:left="0" w:right="0"/>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过程类</w:t>
            </w:r>
          </w:p>
        </w:tc>
        <w:tc>
          <w:tcPr>
            <w:tcW w:w="176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25</w:t>
            </w:r>
          </w:p>
        </w:tc>
        <w:tc>
          <w:tcPr>
            <w:tcW w:w="176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16.71</w:t>
            </w:r>
          </w:p>
        </w:tc>
        <w:tc>
          <w:tcPr>
            <w:tcW w:w="176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66.84%</w:t>
            </w:r>
          </w:p>
        </w:tc>
        <w:tc>
          <w:tcPr>
            <w:tcW w:w="176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shd w:val="clear" w:color="auto" w:fill="F1F1F1" w:themeFill="background1" w:themeFillShade="F2"/>
          </w:tcPr>
          <w:p>
            <w:pPr>
              <w:keepNext w:val="0"/>
              <w:keepLines w:val="0"/>
              <w:suppressLineNumbers w:val="0"/>
              <w:spacing w:before="0" w:beforeAutospacing="0" w:after="0" w:afterAutospacing="0"/>
              <w:ind w:left="0" w:right="0"/>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产出类</w:t>
            </w:r>
          </w:p>
        </w:tc>
        <w:tc>
          <w:tcPr>
            <w:tcW w:w="1767" w:type="dxa"/>
            <w:shd w:val="clear" w:color="auto" w:fill="F1F1F1" w:themeFill="background1" w:themeFillShade="F2"/>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35</w:t>
            </w:r>
          </w:p>
        </w:tc>
        <w:tc>
          <w:tcPr>
            <w:tcW w:w="1767" w:type="dxa"/>
            <w:shd w:val="clear" w:color="auto" w:fill="F1F1F1" w:themeFill="background1" w:themeFillShade="F2"/>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30</w:t>
            </w:r>
          </w:p>
        </w:tc>
        <w:tc>
          <w:tcPr>
            <w:tcW w:w="1767" w:type="dxa"/>
            <w:shd w:val="clear" w:color="auto" w:fill="F1F1F1" w:themeFill="background1" w:themeFillShade="F2"/>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85.71%</w:t>
            </w:r>
          </w:p>
        </w:tc>
        <w:tc>
          <w:tcPr>
            <w:tcW w:w="1767" w:type="dxa"/>
            <w:shd w:val="clear" w:color="auto" w:fill="F1F1F1" w:themeFill="background1" w:themeFillShade="F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tcPr>
          <w:p>
            <w:pPr>
              <w:keepNext w:val="0"/>
              <w:keepLines w:val="0"/>
              <w:suppressLineNumbers w:val="0"/>
              <w:spacing w:before="0" w:beforeAutospacing="0" w:after="0" w:afterAutospacing="0"/>
              <w:ind w:left="0" w:right="0"/>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效益类</w:t>
            </w:r>
          </w:p>
        </w:tc>
        <w:tc>
          <w:tcPr>
            <w:tcW w:w="176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25</w:t>
            </w:r>
          </w:p>
        </w:tc>
        <w:tc>
          <w:tcPr>
            <w:tcW w:w="1767"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21</w:t>
            </w:r>
          </w:p>
        </w:tc>
        <w:tc>
          <w:tcPr>
            <w:tcW w:w="176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84.00%</w:t>
            </w:r>
          </w:p>
        </w:tc>
        <w:tc>
          <w:tcPr>
            <w:tcW w:w="176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shd w:val="clear" w:color="auto" w:fill="F1F1F1" w:themeFill="background1" w:themeFillShade="F2"/>
          </w:tcPr>
          <w:p>
            <w:pPr>
              <w:keepNext w:val="0"/>
              <w:keepLines w:val="0"/>
              <w:suppressLineNumbers w:val="0"/>
              <w:spacing w:before="0" w:beforeAutospacing="0" w:after="0" w:afterAutospacing="0"/>
              <w:ind w:left="0" w:right="0"/>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总计</w:t>
            </w:r>
          </w:p>
        </w:tc>
        <w:tc>
          <w:tcPr>
            <w:tcW w:w="1767" w:type="dxa"/>
            <w:shd w:val="clear" w:color="auto" w:fill="F1F1F1" w:themeFill="background1" w:themeFillShade="F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100</w:t>
            </w:r>
          </w:p>
        </w:tc>
        <w:tc>
          <w:tcPr>
            <w:tcW w:w="1767" w:type="dxa"/>
            <w:shd w:val="clear" w:color="auto" w:fill="F1F1F1" w:themeFill="background1" w:themeFillShade="F2"/>
            <w:vAlign w:val="center"/>
          </w:tcPr>
          <w:p>
            <w:pPr>
              <w:keepNext w:val="0"/>
              <w:keepLines w:val="0"/>
              <w:suppressLineNumbers w:val="0"/>
              <w:spacing w:before="0" w:beforeAutospacing="0" w:after="0" w:afterAutospacing="0"/>
              <w:ind w:left="0" w:right="0"/>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70.91</w:t>
            </w:r>
          </w:p>
        </w:tc>
        <w:tc>
          <w:tcPr>
            <w:tcW w:w="1767" w:type="dxa"/>
            <w:shd w:val="clear" w:color="auto" w:fill="F1F1F1" w:themeFill="background1" w:themeFillShade="F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70.91%</w:t>
            </w:r>
          </w:p>
        </w:tc>
        <w:tc>
          <w:tcPr>
            <w:tcW w:w="1767" w:type="dxa"/>
            <w:shd w:val="clear" w:color="auto" w:fill="F1F1F1" w:themeFill="background1" w:themeFillShade="F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中</w:t>
            </w:r>
          </w:p>
        </w:tc>
      </w:tr>
    </w:tbl>
    <w:p>
      <w:pPr>
        <w:numPr>
          <w:ilvl w:val="0"/>
          <w:numId w:val="0"/>
        </w:numPr>
        <w:spacing w:line="580" w:lineRule="exact"/>
        <w:ind w:firstLine="640" w:firstLineChars="200"/>
        <w:outlineLvl w:val="0"/>
        <w:rPr>
          <w:rFonts w:hint="eastAsia" w:ascii="黑体" w:hAnsi="黑体" w:eastAsia="黑体" w:cs="黑体"/>
          <w:b w:val="0"/>
          <w:bCs w:val="0"/>
          <w:sz w:val="32"/>
          <w:szCs w:val="32"/>
          <w:lang w:val="en-US" w:eastAsia="zh-CN"/>
        </w:rPr>
      </w:pPr>
      <w:bookmarkStart w:id="40" w:name="_Toc21269"/>
      <w:bookmarkStart w:id="41" w:name="_Toc11876"/>
      <w:r>
        <w:rPr>
          <w:rFonts w:hint="eastAsia" w:ascii="黑体" w:hAnsi="黑体" w:eastAsia="黑体" w:cs="黑体"/>
          <w:b w:val="0"/>
          <w:bCs w:val="0"/>
          <w:sz w:val="32"/>
          <w:szCs w:val="32"/>
          <w:lang w:val="en-US" w:eastAsia="zh-CN"/>
        </w:rPr>
        <w:t>四、绩效评价指标分析</w:t>
      </w:r>
      <w:bookmarkEnd w:id="40"/>
      <w:bookmarkEnd w:id="41"/>
    </w:p>
    <w:p>
      <w:pPr>
        <w:numPr>
          <w:ilvl w:val="0"/>
          <w:numId w:val="0"/>
        </w:numPr>
        <w:spacing w:line="580" w:lineRule="exact"/>
        <w:ind w:firstLine="643" w:firstLineChars="200"/>
        <w:outlineLvl w:val="1"/>
        <w:rPr>
          <w:rFonts w:hint="eastAsia" w:ascii="楷体" w:hAnsi="楷体" w:eastAsia="楷体" w:cs="楷体"/>
          <w:b/>
          <w:bCs/>
          <w:sz w:val="32"/>
          <w:szCs w:val="32"/>
          <w:lang w:val="en-US" w:eastAsia="zh-CN"/>
        </w:rPr>
      </w:pPr>
      <w:bookmarkStart w:id="42" w:name="_Toc24003"/>
      <w:bookmarkStart w:id="43" w:name="_Toc6637"/>
      <w:r>
        <w:rPr>
          <w:rFonts w:hint="eastAsia" w:ascii="楷体" w:hAnsi="楷体" w:eastAsia="楷体" w:cs="楷体"/>
          <w:b/>
          <w:bCs/>
          <w:sz w:val="32"/>
          <w:szCs w:val="32"/>
          <w:lang w:val="en-US" w:eastAsia="zh-CN"/>
        </w:rPr>
        <w:t>（一）项目决策情况</w:t>
      </w:r>
      <w:bookmarkEnd w:id="42"/>
      <w:bookmarkEnd w:id="43"/>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项目决策情况分析包括项目立项、绩效目标、资金投入三个二级指标和6个三级指标构成，权重为15分，实际得分</w:t>
      </w:r>
      <w:r>
        <w:rPr>
          <w:rFonts w:hint="eastAsia" w:ascii="仿宋_GB2312" w:hAnsi="仿宋_GB2312" w:cs="仿宋_GB2312"/>
          <w:sz w:val="32"/>
          <w:szCs w:val="32"/>
          <w:highlight w:val="none"/>
          <w:lang w:val="en-US" w:eastAsia="zh-CN"/>
        </w:rPr>
        <w:t>3.2</w:t>
      </w:r>
      <w:r>
        <w:rPr>
          <w:rFonts w:hint="eastAsia" w:ascii="仿宋_GB2312" w:hAnsi="仿宋_GB2312" w:cs="仿宋_GB2312"/>
          <w:sz w:val="32"/>
          <w:szCs w:val="32"/>
          <w:lang w:val="en-US" w:eastAsia="zh-CN"/>
        </w:rPr>
        <w:t>分，得分率21.33%。各指标的业绩值和得分详见“表4-1项目决策类指标评分结果汇总表”。</w:t>
      </w:r>
    </w:p>
    <w:p>
      <w:pPr>
        <w:numPr>
          <w:ilvl w:val="0"/>
          <w:numId w:val="0"/>
        </w:numPr>
        <w:spacing w:line="580" w:lineRule="exact"/>
        <w:jc w:val="center"/>
        <w:rPr>
          <w:rFonts w:hint="eastAsia" w:ascii="仿宋_GB2312" w:hAnsi="仿宋_GB2312" w:cs="仿宋_GB2312"/>
          <w:sz w:val="32"/>
          <w:szCs w:val="32"/>
          <w:lang w:val="en-US" w:eastAsia="zh-CN"/>
        </w:rPr>
      </w:pPr>
      <w:r>
        <w:rPr>
          <w:rFonts w:hint="eastAsia" w:ascii="仿宋_GB2312" w:hAnsi="仿宋_GB2312" w:cs="仿宋_GB2312"/>
          <w:sz w:val="28"/>
          <w:szCs w:val="28"/>
          <w:lang w:val="en-US" w:eastAsia="zh-CN"/>
        </w:rPr>
        <w:t>表4-1项目决策类指标评分结果汇总表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7"/>
        <w:gridCol w:w="3019"/>
        <w:gridCol w:w="907"/>
        <w:gridCol w:w="1173"/>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shd w:val="clear" w:color="auto" w:fill="CFCECE" w:themeFill="background2" w:themeFillShade="E5"/>
          </w:tcPr>
          <w:p>
            <w:pPr>
              <w:widowControl w:val="0"/>
              <w:numPr>
                <w:ilvl w:val="0"/>
                <w:numId w:val="0"/>
              </w:numPr>
              <w:ind w:firstLine="442" w:firstLineChars="200"/>
              <w:jc w:val="both"/>
              <w:rPr>
                <w:rFonts w:hint="eastAsia" w:ascii="仿宋" w:hAnsi="仿宋" w:eastAsia="仿宋" w:cs="仿宋"/>
                <w:b/>
                <w:bCs/>
                <w:sz w:val="22"/>
                <w:szCs w:val="22"/>
                <w:vertAlign w:val="baseline"/>
                <w:lang w:val="en-US" w:eastAsia="zh-CN"/>
              </w:rPr>
            </w:pPr>
            <w:r>
              <w:rPr>
                <w:rFonts w:hint="eastAsia" w:ascii="仿宋_GB2312" w:hAnsi="仿宋_GB2312" w:cs="仿宋_GB2312"/>
                <w:b/>
                <w:bCs/>
                <w:sz w:val="22"/>
                <w:szCs w:val="22"/>
                <w:lang w:val="en-US" w:eastAsia="zh-CN"/>
              </w:rPr>
              <w:t>二级指标</w:t>
            </w:r>
          </w:p>
        </w:tc>
        <w:tc>
          <w:tcPr>
            <w:tcW w:w="3019" w:type="dxa"/>
            <w:shd w:val="clear" w:color="auto" w:fill="CFCECE" w:themeFill="background2" w:themeFillShade="E5"/>
          </w:tcPr>
          <w:p>
            <w:pPr>
              <w:widowControl w:val="0"/>
              <w:numPr>
                <w:ilvl w:val="0"/>
                <w:numId w:val="0"/>
              </w:numPr>
              <w:ind w:firstLine="663" w:firstLineChars="300"/>
              <w:jc w:val="both"/>
              <w:rPr>
                <w:rFonts w:hint="default" w:ascii="仿宋" w:hAnsi="仿宋" w:eastAsia="仿宋" w:cs="仿宋"/>
                <w:b/>
                <w:bCs/>
                <w:sz w:val="22"/>
                <w:szCs w:val="22"/>
                <w:vertAlign w:val="baseline"/>
                <w:lang w:val="en-US" w:eastAsia="zh-CN"/>
              </w:rPr>
            </w:pPr>
            <w:r>
              <w:rPr>
                <w:rFonts w:hint="eastAsia" w:ascii="仿宋_GB2312" w:hAnsi="仿宋_GB2312" w:cs="仿宋_GB2312"/>
                <w:b/>
                <w:bCs/>
                <w:sz w:val="22"/>
                <w:szCs w:val="22"/>
                <w:lang w:val="en-US" w:eastAsia="zh-CN"/>
              </w:rPr>
              <w:t>三级指标</w:t>
            </w:r>
          </w:p>
        </w:tc>
        <w:tc>
          <w:tcPr>
            <w:tcW w:w="907" w:type="dxa"/>
            <w:shd w:val="clear" w:color="auto" w:fill="CFCECE" w:themeFill="background2" w:themeFillShade="E5"/>
          </w:tcPr>
          <w:p>
            <w:pPr>
              <w:widowControl w:val="0"/>
              <w:numPr>
                <w:ilvl w:val="0"/>
                <w:numId w:val="0"/>
              </w:numPr>
              <w:jc w:val="center"/>
              <w:rPr>
                <w:rFonts w:hint="default" w:ascii="仿宋_GB2312" w:hAnsi="仿宋_GB2312" w:cs="仿宋_GB2312"/>
                <w:b/>
                <w:bCs/>
                <w:sz w:val="22"/>
                <w:szCs w:val="22"/>
                <w:lang w:val="en-US" w:eastAsia="zh-CN"/>
              </w:rPr>
            </w:pPr>
            <w:r>
              <w:rPr>
                <w:rFonts w:hint="eastAsia" w:ascii="仿宋_GB2312" w:hAnsi="仿宋_GB2312" w:cs="仿宋_GB2312"/>
                <w:b/>
                <w:bCs/>
                <w:sz w:val="22"/>
                <w:szCs w:val="22"/>
                <w:lang w:val="en-US" w:eastAsia="zh-CN"/>
              </w:rPr>
              <w:t>权重</w:t>
            </w:r>
          </w:p>
        </w:tc>
        <w:tc>
          <w:tcPr>
            <w:tcW w:w="1173" w:type="dxa"/>
            <w:shd w:val="clear" w:color="auto" w:fill="CFCECE" w:themeFill="background2" w:themeFillShade="E5"/>
          </w:tcPr>
          <w:p>
            <w:pPr>
              <w:widowControl w:val="0"/>
              <w:numPr>
                <w:ilvl w:val="0"/>
                <w:numId w:val="0"/>
              </w:numPr>
              <w:jc w:val="center"/>
              <w:rPr>
                <w:rFonts w:hint="default" w:ascii="仿宋_GB2312" w:hAnsi="仿宋_GB2312" w:cs="仿宋_GB2312"/>
                <w:b/>
                <w:bCs/>
                <w:sz w:val="22"/>
                <w:szCs w:val="22"/>
                <w:lang w:val="en-US" w:eastAsia="zh-CN"/>
              </w:rPr>
            </w:pPr>
            <w:r>
              <w:rPr>
                <w:rFonts w:hint="eastAsia" w:ascii="仿宋_GB2312" w:hAnsi="仿宋_GB2312" w:cs="仿宋_GB2312"/>
                <w:b/>
                <w:bCs/>
                <w:sz w:val="22"/>
                <w:szCs w:val="22"/>
                <w:lang w:val="en-US" w:eastAsia="zh-CN"/>
              </w:rPr>
              <w:t>业绩值</w:t>
            </w:r>
          </w:p>
        </w:tc>
        <w:tc>
          <w:tcPr>
            <w:tcW w:w="1156" w:type="dxa"/>
            <w:shd w:val="clear" w:color="auto" w:fill="CFCECE" w:themeFill="background2" w:themeFillShade="E5"/>
          </w:tcPr>
          <w:p>
            <w:pPr>
              <w:widowControl w:val="0"/>
              <w:numPr>
                <w:ilvl w:val="0"/>
                <w:numId w:val="0"/>
              </w:numPr>
              <w:jc w:val="center"/>
              <w:rPr>
                <w:rFonts w:hint="default" w:ascii="仿宋_GB2312" w:hAnsi="仿宋_GB2312" w:cs="仿宋_GB2312"/>
                <w:b/>
                <w:bCs/>
                <w:sz w:val="22"/>
                <w:szCs w:val="22"/>
                <w:lang w:val="en-US" w:eastAsia="zh-CN"/>
              </w:rPr>
            </w:pPr>
            <w:r>
              <w:rPr>
                <w:rFonts w:hint="eastAsia" w:ascii="仿宋_GB2312" w:hAnsi="仿宋_GB2312" w:cs="仿宋_GB2312"/>
                <w:b/>
                <w:bCs/>
                <w:sz w:val="22"/>
                <w:szCs w:val="22"/>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vMerge w:val="restart"/>
            <w:shd w:val="clear" w:color="auto" w:fill="auto"/>
            <w:vAlign w:val="center"/>
          </w:tcPr>
          <w:p>
            <w:pPr>
              <w:widowControl w:val="0"/>
              <w:numPr>
                <w:ilvl w:val="0"/>
                <w:numId w:val="0"/>
              </w:numPr>
              <w:jc w:val="both"/>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（A1）项目立项</w:t>
            </w:r>
          </w:p>
        </w:tc>
        <w:tc>
          <w:tcPr>
            <w:tcW w:w="3019" w:type="dxa"/>
            <w:shd w:val="clear" w:color="auto" w:fill="auto"/>
          </w:tcPr>
          <w:p>
            <w:pPr>
              <w:widowControl w:val="0"/>
              <w:numPr>
                <w:ilvl w:val="0"/>
                <w:numId w:val="0"/>
              </w:numPr>
              <w:jc w:val="left"/>
              <w:rPr>
                <w:rFonts w:hint="default" w:ascii="仿宋" w:hAnsi="仿宋" w:eastAsia="仿宋" w:cs="仿宋"/>
                <w:sz w:val="22"/>
                <w:szCs w:val="22"/>
                <w:vertAlign w:val="baseline"/>
                <w:lang w:val="en-US" w:eastAsia="zh-CN"/>
              </w:rPr>
            </w:pPr>
            <w:r>
              <w:rPr>
                <w:rFonts w:hint="eastAsia" w:ascii="仿宋_GB2312" w:hAnsi="仿宋_GB2312" w:cs="仿宋_GB2312"/>
                <w:sz w:val="22"/>
                <w:szCs w:val="22"/>
                <w:lang w:val="en-US" w:eastAsia="zh-CN"/>
              </w:rPr>
              <w:t>（A11）立项依据充分性</w:t>
            </w:r>
          </w:p>
        </w:tc>
        <w:tc>
          <w:tcPr>
            <w:tcW w:w="907" w:type="dxa"/>
            <w:shd w:val="clear" w:color="auto" w:fill="auto"/>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2</w:t>
            </w:r>
          </w:p>
        </w:tc>
        <w:tc>
          <w:tcPr>
            <w:tcW w:w="1173" w:type="dxa"/>
            <w:shd w:val="clear" w:color="auto" w:fill="auto"/>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充分</w:t>
            </w:r>
          </w:p>
        </w:tc>
        <w:tc>
          <w:tcPr>
            <w:tcW w:w="1156" w:type="dxa"/>
            <w:shd w:val="clear" w:color="auto" w:fill="auto"/>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vMerge w:val="continue"/>
            <w:shd w:val="clear" w:color="auto" w:fill="auto"/>
            <w:vAlign w:val="center"/>
          </w:tcPr>
          <w:p>
            <w:pPr>
              <w:widowControl w:val="0"/>
              <w:numPr>
                <w:ilvl w:val="0"/>
                <w:numId w:val="0"/>
              </w:numPr>
              <w:ind w:firstLine="440" w:firstLineChars="200"/>
              <w:jc w:val="both"/>
              <w:rPr>
                <w:rFonts w:hint="default" w:ascii="仿宋_GB2312" w:hAnsi="仿宋_GB2312" w:cs="仿宋_GB2312"/>
                <w:sz w:val="22"/>
                <w:szCs w:val="22"/>
                <w:lang w:val="en-US" w:eastAsia="zh-CN"/>
              </w:rPr>
            </w:pPr>
          </w:p>
        </w:tc>
        <w:tc>
          <w:tcPr>
            <w:tcW w:w="3019" w:type="dxa"/>
            <w:shd w:val="clear" w:color="auto" w:fill="auto"/>
          </w:tcPr>
          <w:p>
            <w:pPr>
              <w:widowControl w:val="0"/>
              <w:numPr>
                <w:ilvl w:val="0"/>
                <w:numId w:val="0"/>
              </w:numPr>
              <w:jc w:val="left"/>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（A12）立项程序规范性</w:t>
            </w:r>
          </w:p>
        </w:tc>
        <w:tc>
          <w:tcPr>
            <w:tcW w:w="907" w:type="dxa"/>
            <w:shd w:val="clear" w:color="auto" w:fill="auto"/>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2</w:t>
            </w:r>
          </w:p>
        </w:tc>
        <w:tc>
          <w:tcPr>
            <w:tcW w:w="1173" w:type="dxa"/>
            <w:shd w:val="clear" w:color="auto" w:fill="auto"/>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基本规范</w:t>
            </w:r>
          </w:p>
        </w:tc>
        <w:tc>
          <w:tcPr>
            <w:tcW w:w="1156" w:type="dxa"/>
            <w:shd w:val="clear" w:color="auto" w:fill="auto"/>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vMerge w:val="restart"/>
            <w:shd w:val="clear" w:color="auto" w:fill="auto"/>
            <w:vAlign w:val="center"/>
          </w:tcPr>
          <w:p>
            <w:pPr>
              <w:widowControl w:val="0"/>
              <w:numPr>
                <w:ilvl w:val="0"/>
                <w:numId w:val="0"/>
              </w:numPr>
              <w:jc w:val="both"/>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（A2）绩效目标</w:t>
            </w:r>
          </w:p>
        </w:tc>
        <w:tc>
          <w:tcPr>
            <w:tcW w:w="3019" w:type="dxa"/>
            <w:shd w:val="clear" w:color="auto" w:fill="auto"/>
          </w:tcPr>
          <w:p>
            <w:pPr>
              <w:widowControl w:val="0"/>
              <w:numPr>
                <w:ilvl w:val="0"/>
                <w:numId w:val="0"/>
              </w:numPr>
              <w:jc w:val="left"/>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（A21）绩效目标合理性</w:t>
            </w:r>
          </w:p>
        </w:tc>
        <w:tc>
          <w:tcPr>
            <w:tcW w:w="907" w:type="dxa"/>
            <w:shd w:val="clear" w:color="auto" w:fill="auto"/>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3</w:t>
            </w:r>
          </w:p>
        </w:tc>
        <w:tc>
          <w:tcPr>
            <w:tcW w:w="1173" w:type="dxa"/>
            <w:shd w:val="clear" w:color="auto" w:fill="auto"/>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不合理</w:t>
            </w:r>
          </w:p>
        </w:tc>
        <w:tc>
          <w:tcPr>
            <w:tcW w:w="1156" w:type="dxa"/>
            <w:shd w:val="clear" w:color="auto" w:fill="auto"/>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vMerge w:val="continue"/>
            <w:shd w:val="clear" w:color="auto" w:fill="auto"/>
            <w:vAlign w:val="center"/>
          </w:tcPr>
          <w:p>
            <w:pPr>
              <w:widowControl w:val="0"/>
              <w:numPr>
                <w:ilvl w:val="0"/>
                <w:numId w:val="0"/>
              </w:numPr>
              <w:ind w:firstLine="440" w:firstLineChars="200"/>
              <w:jc w:val="both"/>
              <w:rPr>
                <w:rFonts w:hint="default" w:ascii="仿宋_GB2312" w:hAnsi="仿宋_GB2312" w:cs="仿宋_GB2312"/>
                <w:sz w:val="22"/>
                <w:szCs w:val="22"/>
                <w:lang w:val="en-US" w:eastAsia="zh-CN"/>
              </w:rPr>
            </w:pPr>
          </w:p>
        </w:tc>
        <w:tc>
          <w:tcPr>
            <w:tcW w:w="3019" w:type="dxa"/>
            <w:shd w:val="clear" w:color="auto" w:fill="auto"/>
          </w:tcPr>
          <w:p>
            <w:pPr>
              <w:widowControl w:val="0"/>
              <w:numPr>
                <w:ilvl w:val="0"/>
                <w:numId w:val="0"/>
              </w:numPr>
              <w:jc w:val="left"/>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（A22）绩效指标明确性</w:t>
            </w:r>
          </w:p>
        </w:tc>
        <w:tc>
          <w:tcPr>
            <w:tcW w:w="907" w:type="dxa"/>
            <w:shd w:val="clear" w:color="auto" w:fill="auto"/>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3</w:t>
            </w:r>
          </w:p>
        </w:tc>
        <w:tc>
          <w:tcPr>
            <w:tcW w:w="1173" w:type="dxa"/>
            <w:shd w:val="clear" w:color="auto" w:fill="auto"/>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不明确</w:t>
            </w:r>
          </w:p>
        </w:tc>
        <w:tc>
          <w:tcPr>
            <w:tcW w:w="1156" w:type="dxa"/>
            <w:shd w:val="clear" w:color="auto" w:fill="auto"/>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vMerge w:val="restart"/>
            <w:shd w:val="clear" w:color="auto" w:fill="auto"/>
            <w:vAlign w:val="center"/>
          </w:tcPr>
          <w:p>
            <w:pPr>
              <w:widowControl w:val="0"/>
              <w:numPr>
                <w:ilvl w:val="0"/>
                <w:numId w:val="0"/>
              </w:numPr>
              <w:jc w:val="both"/>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（A3）资金投入</w:t>
            </w:r>
          </w:p>
        </w:tc>
        <w:tc>
          <w:tcPr>
            <w:tcW w:w="3019" w:type="dxa"/>
            <w:shd w:val="clear" w:color="auto" w:fill="auto"/>
          </w:tcPr>
          <w:p>
            <w:pPr>
              <w:widowControl w:val="0"/>
              <w:numPr>
                <w:ilvl w:val="0"/>
                <w:numId w:val="0"/>
              </w:numPr>
              <w:jc w:val="left"/>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（A31）预算编制科学性</w:t>
            </w:r>
          </w:p>
        </w:tc>
        <w:tc>
          <w:tcPr>
            <w:tcW w:w="907" w:type="dxa"/>
            <w:shd w:val="clear" w:color="auto" w:fill="auto"/>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3</w:t>
            </w:r>
          </w:p>
        </w:tc>
        <w:tc>
          <w:tcPr>
            <w:tcW w:w="1173" w:type="dxa"/>
            <w:shd w:val="clear" w:color="auto" w:fill="auto"/>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不确定</w:t>
            </w:r>
          </w:p>
        </w:tc>
        <w:tc>
          <w:tcPr>
            <w:tcW w:w="1156" w:type="dxa"/>
            <w:shd w:val="clear" w:color="auto" w:fill="auto"/>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vMerge w:val="continue"/>
            <w:shd w:val="clear" w:color="auto" w:fill="auto"/>
          </w:tcPr>
          <w:p>
            <w:pPr>
              <w:widowControl w:val="0"/>
              <w:numPr>
                <w:ilvl w:val="0"/>
                <w:numId w:val="0"/>
              </w:numPr>
              <w:jc w:val="both"/>
              <w:rPr>
                <w:rFonts w:hint="default" w:ascii="仿宋" w:hAnsi="仿宋" w:eastAsia="仿宋" w:cs="仿宋"/>
                <w:sz w:val="22"/>
                <w:szCs w:val="22"/>
                <w:vertAlign w:val="baseline"/>
                <w:lang w:val="en-US" w:eastAsia="zh-CN"/>
              </w:rPr>
            </w:pPr>
          </w:p>
        </w:tc>
        <w:tc>
          <w:tcPr>
            <w:tcW w:w="3019" w:type="dxa"/>
            <w:shd w:val="clear" w:color="auto" w:fill="auto"/>
          </w:tcPr>
          <w:p>
            <w:pPr>
              <w:widowControl w:val="0"/>
              <w:numPr>
                <w:ilvl w:val="0"/>
                <w:numId w:val="0"/>
              </w:numPr>
              <w:jc w:val="left"/>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（A32）资金分配合理性</w:t>
            </w:r>
          </w:p>
        </w:tc>
        <w:tc>
          <w:tcPr>
            <w:tcW w:w="907" w:type="dxa"/>
            <w:shd w:val="clear" w:color="auto" w:fill="auto"/>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2</w:t>
            </w:r>
          </w:p>
        </w:tc>
        <w:tc>
          <w:tcPr>
            <w:tcW w:w="1173" w:type="dxa"/>
            <w:shd w:val="clear" w:color="auto" w:fill="auto"/>
          </w:tcPr>
          <w:p>
            <w:pPr>
              <w:widowControl w:val="0"/>
              <w:numPr>
                <w:ilvl w:val="0"/>
                <w:numId w:val="0"/>
              </w:numPr>
              <w:jc w:val="center"/>
              <w:rPr>
                <w:rFonts w:hint="eastAsia" w:ascii="仿宋_GB2312" w:hAnsi="仿宋_GB2312" w:eastAsia="仿宋_GB2312" w:cs="仿宋_GB2312"/>
                <w:sz w:val="22"/>
                <w:szCs w:val="22"/>
                <w:lang w:val="en-US" w:eastAsia="zh-CN"/>
              </w:rPr>
            </w:pPr>
            <w:r>
              <w:rPr>
                <w:rFonts w:hint="eastAsia" w:ascii="仿宋_GB2312" w:hAnsi="仿宋_GB2312" w:cs="仿宋_GB2312"/>
                <w:sz w:val="22"/>
                <w:szCs w:val="22"/>
                <w:lang w:val="en-US" w:eastAsia="zh-CN"/>
              </w:rPr>
              <w:t>不确定</w:t>
            </w:r>
          </w:p>
        </w:tc>
        <w:tc>
          <w:tcPr>
            <w:tcW w:w="1156" w:type="dxa"/>
            <w:shd w:val="clear" w:color="auto" w:fill="auto"/>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6" w:type="dxa"/>
            <w:gridSpan w:val="2"/>
            <w:shd w:val="clear" w:color="auto" w:fill="auto"/>
          </w:tcPr>
          <w:p>
            <w:pPr>
              <w:widowControl w:val="0"/>
              <w:numPr>
                <w:ilvl w:val="0"/>
                <w:numId w:val="0"/>
              </w:numPr>
              <w:jc w:val="center"/>
              <w:rPr>
                <w:rFonts w:hint="default" w:ascii="仿宋" w:hAnsi="仿宋" w:eastAsia="仿宋" w:cs="仿宋"/>
                <w:sz w:val="22"/>
                <w:szCs w:val="22"/>
                <w:vertAlign w:val="baseline"/>
                <w:lang w:val="en-US" w:eastAsia="zh-CN"/>
              </w:rPr>
            </w:pPr>
            <w:r>
              <w:rPr>
                <w:rFonts w:hint="eastAsia" w:ascii="仿宋_GB2312" w:hAnsi="仿宋_GB2312" w:cs="仿宋_GB2312"/>
                <w:sz w:val="22"/>
                <w:szCs w:val="22"/>
                <w:lang w:val="en-US" w:eastAsia="zh-CN"/>
              </w:rPr>
              <w:t>小计</w:t>
            </w:r>
          </w:p>
        </w:tc>
        <w:tc>
          <w:tcPr>
            <w:tcW w:w="907" w:type="dxa"/>
            <w:shd w:val="clear" w:color="auto" w:fill="auto"/>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15</w:t>
            </w:r>
          </w:p>
        </w:tc>
        <w:tc>
          <w:tcPr>
            <w:tcW w:w="1173" w:type="dxa"/>
            <w:shd w:val="clear" w:color="auto" w:fill="auto"/>
          </w:tcPr>
          <w:p>
            <w:pPr>
              <w:widowControl w:val="0"/>
              <w:numPr>
                <w:ilvl w:val="0"/>
                <w:numId w:val="0"/>
              </w:numPr>
              <w:jc w:val="center"/>
              <w:rPr>
                <w:rFonts w:hint="default" w:ascii="仿宋_GB2312" w:hAnsi="仿宋_GB2312" w:cs="仿宋_GB2312"/>
                <w:sz w:val="22"/>
                <w:szCs w:val="22"/>
                <w:lang w:val="en-US" w:eastAsia="zh-CN"/>
              </w:rPr>
            </w:pPr>
          </w:p>
        </w:tc>
        <w:tc>
          <w:tcPr>
            <w:tcW w:w="1156" w:type="dxa"/>
            <w:shd w:val="clear" w:color="auto" w:fill="auto"/>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3.2</w:t>
            </w:r>
          </w:p>
        </w:tc>
      </w:tr>
    </w:tbl>
    <w:p>
      <w:pPr>
        <w:numPr>
          <w:ilvl w:val="0"/>
          <w:numId w:val="0"/>
        </w:numPr>
        <w:spacing w:line="580" w:lineRule="exact"/>
        <w:ind w:firstLine="640" w:firstLineChars="200"/>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（A11）立项依据充分性 权重2分，得2分</w:t>
      </w: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评价小组核查了漯河市机构编制委员会关于印发《中共漯河经济技术开发区工作委员会 漯河经济技术开发区管理委员会机构编制方案的通知》漯编</w:t>
      </w:r>
      <w:r>
        <w:rPr>
          <w:rFonts w:hint="eastAsia" w:ascii="仿宋" w:hAnsi="仿宋" w:eastAsia="仿宋" w:cs="仿宋"/>
          <w:sz w:val="32"/>
          <w:szCs w:val="32"/>
          <w:lang w:val="en-US" w:eastAsia="zh-CN"/>
        </w:rPr>
        <w:t>〔2016〕54号</w:t>
      </w:r>
      <w:r>
        <w:rPr>
          <w:rFonts w:hint="eastAsia" w:ascii="仿宋_GB2312" w:hAnsi="仿宋_GB2312" w:cs="仿宋_GB2312"/>
          <w:sz w:val="32"/>
          <w:szCs w:val="32"/>
          <w:lang w:val="en-US" w:eastAsia="zh-CN"/>
        </w:rPr>
        <w:t>、《中共漯河市委机构编制委员会关于划分市属各功能区教育管理事权的通知》漯编</w:t>
      </w:r>
      <w:r>
        <w:rPr>
          <w:rFonts w:hint="eastAsia" w:ascii="仿宋" w:hAnsi="仿宋" w:eastAsia="仿宋" w:cs="仿宋"/>
          <w:sz w:val="32"/>
          <w:szCs w:val="32"/>
          <w:lang w:val="en-US" w:eastAsia="zh-CN"/>
        </w:rPr>
        <w:t>〔2019〕197号</w:t>
      </w:r>
      <w:r>
        <w:rPr>
          <w:rFonts w:hint="eastAsia" w:ascii="仿宋_GB2312" w:hAnsi="仿宋_GB2312" w:cs="仿宋_GB2312"/>
          <w:sz w:val="32"/>
          <w:szCs w:val="32"/>
          <w:lang w:val="en-US" w:eastAsia="zh-CN"/>
        </w:rPr>
        <w:t>等文件，与社会事业服务中心职责密切相关，为促进教育事业发展所必需，确认了项目立项依据的充分性；该项目属于公共财政支持范围，符合中央、地方事权支出责任划分原则，及行业发展规划和政策要求。本项目立项依据充分，符合相关法律法规的规定。因此，根据指标评分标准，该指标得2分。</w:t>
      </w: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（A12）</w:t>
      </w:r>
      <w:r>
        <w:rPr>
          <w:rFonts w:hint="eastAsia" w:ascii="仿宋_GB2312" w:hAnsi="仿宋_GB2312" w:cs="仿宋_GB2312"/>
          <w:sz w:val="32"/>
          <w:szCs w:val="32"/>
          <w:highlight w:val="none"/>
          <w:lang w:val="en-US" w:eastAsia="zh-CN"/>
        </w:rPr>
        <w:t>立项程序规范性</w:t>
      </w:r>
      <w:r>
        <w:rPr>
          <w:rFonts w:hint="eastAsia" w:ascii="仿宋_GB2312" w:hAnsi="仿宋_GB2312" w:cs="仿宋_GB2312"/>
          <w:sz w:val="32"/>
          <w:szCs w:val="32"/>
          <w:lang w:val="en-US" w:eastAsia="zh-CN"/>
        </w:rPr>
        <w:t xml:space="preserve"> 权重2分，得1.2分</w:t>
      </w: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根据漯河市机构编制委员会关于印发《中共漯河经济技术开发区工作委员会 漯河经济技术开发区管理委员会机构编制方案的通知》漯编</w:t>
      </w:r>
      <w:r>
        <w:rPr>
          <w:rFonts w:hint="eastAsia" w:ascii="仿宋" w:hAnsi="仿宋" w:eastAsia="仿宋" w:cs="仿宋"/>
          <w:sz w:val="32"/>
          <w:szCs w:val="32"/>
          <w:lang w:val="en-US" w:eastAsia="zh-CN"/>
        </w:rPr>
        <w:t>〔2016〕54号</w:t>
      </w:r>
      <w:r>
        <w:rPr>
          <w:rFonts w:hint="eastAsia" w:ascii="仿宋_GB2312" w:hAnsi="仿宋_GB2312" w:cs="仿宋_GB2312"/>
          <w:sz w:val="32"/>
          <w:szCs w:val="32"/>
          <w:lang w:val="en-US" w:eastAsia="zh-CN"/>
        </w:rPr>
        <w:t>，结合社会事业服务中心部门职责，该项目按照规定的程序申请设立，审批文件、材料符合相关要求；但社会事业服务中心未提供该项目事前绩效评估、集体决策等相关资料。因此，根据指标评分标准，该指标得1.2分。</w:t>
      </w: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（A21）绩效目标合理性 权重3分，得0分</w:t>
      </w: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社会事业服务中心针对教育专项资金2022年度填写有预算项目绩效目标申报表。实施期绩效目标和年度绩效目标相差较大，与本项目实际内容不太相关，预期产出和效果的目标值也有所偏差。因此，根据指标评分标准，该指标得分0分。</w:t>
      </w: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（A22）绩效指标明确性 权重3分，得0分</w:t>
      </w: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虽然社会事业服务中心提供的本项目2022年度预算项目绩效目标申报表中根据年度绩效目标设置有成本、产出、效益、满意度指标，但指标值与实施期绩效目标不太相关，基本不能有效评价项目年度运行情况是否达到预期目标。因此，根据指标评分标准，该指标得分0分。</w:t>
      </w:r>
    </w:p>
    <w:p>
      <w:pPr>
        <w:numPr>
          <w:ilvl w:val="0"/>
          <w:numId w:val="0"/>
        </w:numPr>
        <w:spacing w:line="580" w:lineRule="exact"/>
        <w:ind w:firstLine="560" w:firstLineChars="200"/>
        <w:rPr>
          <w:rFonts w:hint="eastAsia" w:ascii="仿宋_GB2312" w:hAnsi="仿宋_GB2312" w:cs="仿宋_GB2312"/>
          <w:sz w:val="32"/>
          <w:szCs w:val="32"/>
          <w:lang w:val="en-US" w:eastAsia="zh-CN"/>
        </w:rPr>
      </w:pPr>
      <w:r>
        <w:rPr>
          <w:rFonts w:hint="eastAsia" w:ascii="仿宋" w:hAnsi="仿宋" w:eastAsia="仿宋" w:cs="仿宋"/>
          <w:sz w:val="28"/>
          <w:szCs w:val="28"/>
          <w:lang w:val="en-US" w:eastAsia="zh-CN"/>
        </w:rPr>
        <w:t>（</w:t>
      </w:r>
      <w:r>
        <w:rPr>
          <w:rFonts w:hint="eastAsia" w:ascii="仿宋_GB2312" w:hAnsi="仿宋_GB2312" w:cs="仿宋_GB2312"/>
          <w:sz w:val="32"/>
          <w:szCs w:val="32"/>
          <w:lang w:val="en-US" w:eastAsia="zh-CN"/>
        </w:rPr>
        <w:t>A31）</w:t>
      </w:r>
      <w:r>
        <w:rPr>
          <w:rFonts w:hint="eastAsia" w:ascii="仿宋_GB2312" w:hAnsi="仿宋_GB2312" w:cs="仿宋_GB2312"/>
          <w:sz w:val="32"/>
          <w:szCs w:val="32"/>
          <w:highlight w:val="none"/>
          <w:lang w:val="en-US" w:eastAsia="zh-CN"/>
        </w:rPr>
        <w:t>预算编制科学性</w:t>
      </w:r>
      <w:r>
        <w:rPr>
          <w:rFonts w:hint="eastAsia" w:ascii="仿宋_GB2312" w:hAnsi="仿宋_GB2312" w:cs="仿宋_GB2312"/>
          <w:sz w:val="32"/>
          <w:szCs w:val="32"/>
          <w:lang w:val="en-US" w:eastAsia="zh-CN"/>
        </w:rPr>
        <w:t xml:space="preserve"> 权重3分，得0分</w:t>
      </w: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评价小组查阅了社会事业服务中心提供的资料，未列示与预算编制科学论证依据及预算额度的测算过程相关的内容。2022年教育专项资金项目预算批复462.9万元，年终调减150.7万元，全年预算资金共计312.2万元,全年实际支出281.95万元，年底结余资金30.25万元，预算资金额度偏高，预算确定的资金量与预期工作量不匹配。因此，根据指标评分标准，该指标得分0分。</w:t>
      </w: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（A32)资金分配合理性 权重2分，得0分</w:t>
      </w:r>
    </w:p>
    <w:p>
      <w:pPr>
        <w:numPr>
          <w:ilvl w:val="0"/>
          <w:numId w:val="0"/>
        </w:numPr>
        <w:spacing w:line="580" w:lineRule="exact"/>
        <w:ind w:firstLine="640" w:firstLineChars="200"/>
        <w:rPr>
          <w:rFonts w:hint="eastAsia" w:ascii="仿宋" w:hAnsi="仿宋" w:eastAsia="仿宋" w:cs="仿宋"/>
          <w:sz w:val="28"/>
          <w:szCs w:val="28"/>
          <w:lang w:val="en-US" w:eastAsia="zh-CN"/>
        </w:rPr>
      </w:pPr>
      <w:r>
        <w:rPr>
          <w:rFonts w:hint="eastAsia" w:ascii="仿宋_GB2312" w:hAnsi="仿宋_GB2312" w:cs="仿宋_GB2312"/>
          <w:sz w:val="32"/>
          <w:szCs w:val="32"/>
          <w:lang w:val="en-US" w:eastAsia="zh-CN"/>
        </w:rPr>
        <w:t>评价小组查阅了项目实施单位提供的资料，未列示该项目预算资金测算依据的相关内容，无法判断预算资金依据是否充分，资金分配额度是否合理，与项目单位是否相适应。因此，根据指标评分标准，该指标得分0分。</w:t>
      </w:r>
    </w:p>
    <w:p>
      <w:pPr>
        <w:numPr>
          <w:ilvl w:val="0"/>
          <w:numId w:val="0"/>
        </w:numPr>
        <w:spacing w:line="580" w:lineRule="exact"/>
        <w:ind w:firstLine="643" w:firstLineChars="200"/>
        <w:outlineLvl w:val="1"/>
        <w:rPr>
          <w:rFonts w:hint="eastAsia" w:ascii="楷体" w:hAnsi="楷体" w:eastAsia="楷体" w:cs="楷体"/>
          <w:b/>
          <w:bCs/>
          <w:sz w:val="32"/>
          <w:szCs w:val="32"/>
          <w:lang w:val="en-US" w:eastAsia="zh-CN"/>
        </w:rPr>
      </w:pPr>
      <w:bookmarkStart w:id="44" w:name="_Toc17492"/>
      <w:bookmarkStart w:id="45" w:name="_Toc6810"/>
      <w:r>
        <w:rPr>
          <w:rFonts w:hint="eastAsia" w:ascii="楷体" w:hAnsi="楷体" w:eastAsia="楷体" w:cs="楷体"/>
          <w:b/>
          <w:bCs/>
          <w:sz w:val="32"/>
          <w:szCs w:val="32"/>
          <w:lang w:val="en-US" w:eastAsia="zh-CN"/>
        </w:rPr>
        <w:t>（二）过程实施情况</w:t>
      </w:r>
      <w:bookmarkEnd w:id="44"/>
      <w:bookmarkEnd w:id="45"/>
    </w:p>
    <w:p>
      <w:pPr>
        <w:numPr>
          <w:ilvl w:val="0"/>
          <w:numId w:val="0"/>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2022年教育专项资金项目由经开区社会事业服务中心</w:t>
      </w:r>
      <w:bookmarkStart w:id="92" w:name="_GoBack"/>
      <w:bookmarkEnd w:id="92"/>
      <w:r>
        <w:rPr>
          <w:rFonts w:hint="eastAsia" w:ascii="仿宋_GB2312" w:hAnsi="仿宋_GB2312" w:cs="仿宋_GB2312"/>
          <w:sz w:val="32"/>
          <w:szCs w:val="32"/>
          <w:lang w:val="en-US" w:eastAsia="zh-CN"/>
        </w:rPr>
        <w:t>管理，本项目</w:t>
      </w:r>
      <w:r>
        <w:rPr>
          <w:rFonts w:hint="eastAsia" w:ascii="仿宋_GB2312" w:hAnsi="仿宋_GB2312" w:cs="仿宋_GB2312"/>
          <w:color w:val="auto"/>
          <w:sz w:val="32"/>
          <w:szCs w:val="32"/>
          <w:lang w:val="en-US" w:eastAsia="zh-CN"/>
        </w:rPr>
        <w:t>过程</w:t>
      </w:r>
      <w:r>
        <w:rPr>
          <w:rFonts w:hint="eastAsia" w:ascii="仿宋_GB2312" w:hAnsi="仿宋_GB2312" w:cs="仿宋_GB2312"/>
          <w:sz w:val="32"/>
          <w:szCs w:val="32"/>
          <w:lang w:val="en-US" w:eastAsia="zh-CN"/>
        </w:rPr>
        <w:t>实施情况分析包括资金管理、组织实施3个二级指标，和8个三级指标构成，权重25分，实际得</w:t>
      </w:r>
      <w:r>
        <w:rPr>
          <w:rFonts w:hint="eastAsia" w:ascii="仿宋_GB2312" w:hAnsi="仿宋_GB2312" w:cs="仿宋_GB2312"/>
          <w:sz w:val="32"/>
          <w:szCs w:val="32"/>
          <w:highlight w:val="none"/>
          <w:lang w:val="en-US" w:eastAsia="zh-CN"/>
        </w:rPr>
        <w:t>16.71</w:t>
      </w:r>
      <w:r>
        <w:rPr>
          <w:rFonts w:hint="eastAsia" w:ascii="仿宋_GB2312" w:hAnsi="仿宋_GB2312" w:cs="仿宋_GB2312"/>
          <w:sz w:val="32"/>
          <w:szCs w:val="32"/>
          <w:lang w:val="en-US" w:eastAsia="zh-CN"/>
        </w:rPr>
        <w:t>分，得分率</w:t>
      </w:r>
      <w:r>
        <w:rPr>
          <w:rFonts w:hint="eastAsia" w:ascii="仿宋_GB2312" w:hAnsi="仿宋_GB2312" w:cs="仿宋_GB2312"/>
          <w:sz w:val="32"/>
          <w:szCs w:val="32"/>
          <w:highlight w:val="none"/>
          <w:lang w:val="en-US" w:eastAsia="zh-CN"/>
        </w:rPr>
        <w:t>66.84%</w:t>
      </w:r>
      <w:r>
        <w:rPr>
          <w:rFonts w:hint="eastAsia" w:ascii="仿宋_GB2312" w:hAnsi="仿宋_GB2312" w:cs="仿宋_GB2312"/>
          <w:sz w:val="32"/>
          <w:szCs w:val="32"/>
          <w:lang w:val="en-US" w:eastAsia="zh-CN"/>
        </w:rPr>
        <w:t>。各指标的业务值和得分详见“表4-2过程管理指标评分结果汇总表”。</w:t>
      </w:r>
    </w:p>
    <w:p>
      <w:pPr>
        <w:numPr>
          <w:ilvl w:val="0"/>
          <w:numId w:val="0"/>
        </w:numPr>
        <w:spacing w:line="580" w:lineRule="exact"/>
        <w:jc w:val="center"/>
        <w:rPr>
          <w:rFonts w:hint="eastAsia" w:ascii="仿宋_GB2312" w:hAnsi="仿宋_GB2312" w:cs="仿宋_GB2312"/>
          <w:sz w:val="32"/>
          <w:szCs w:val="32"/>
          <w:lang w:val="en-US" w:eastAsia="zh-CN"/>
        </w:rPr>
      </w:pPr>
      <w:r>
        <w:rPr>
          <w:rFonts w:hint="eastAsia" w:ascii="仿宋_GB2312" w:hAnsi="仿宋_GB2312" w:cs="仿宋_GB2312"/>
          <w:sz w:val="28"/>
          <w:szCs w:val="28"/>
          <w:lang w:val="en-US" w:eastAsia="zh-CN"/>
        </w:rPr>
        <w:t>表4-2过程管理指标评分结果汇总表</w:t>
      </w:r>
    </w:p>
    <w:tbl>
      <w:tblPr>
        <w:tblStyle w:val="1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3497"/>
        <w:gridCol w:w="862"/>
        <w:gridCol w:w="135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shd w:val="clear" w:color="auto" w:fill="CFCECE" w:themeFill="background2" w:themeFillShade="E5"/>
            <w:vAlign w:val="top"/>
          </w:tcPr>
          <w:p>
            <w:pPr>
              <w:widowControl w:val="0"/>
              <w:numPr>
                <w:ilvl w:val="0"/>
                <w:numId w:val="0"/>
              </w:numPr>
              <w:jc w:val="center"/>
              <w:rPr>
                <w:rFonts w:hint="default" w:ascii="仿宋_GB2312" w:hAnsi="仿宋_GB2312" w:cs="仿宋_GB2312"/>
                <w:b/>
                <w:bCs/>
                <w:sz w:val="22"/>
                <w:szCs w:val="22"/>
                <w:lang w:val="en-US" w:eastAsia="zh-CN"/>
              </w:rPr>
            </w:pPr>
            <w:r>
              <w:rPr>
                <w:rFonts w:hint="eastAsia" w:ascii="仿宋_GB2312" w:hAnsi="仿宋_GB2312" w:cs="仿宋_GB2312"/>
                <w:b/>
                <w:bCs/>
                <w:sz w:val="22"/>
                <w:szCs w:val="22"/>
                <w:lang w:val="en-US" w:eastAsia="zh-CN"/>
              </w:rPr>
              <w:t>二级指标</w:t>
            </w:r>
          </w:p>
        </w:tc>
        <w:tc>
          <w:tcPr>
            <w:tcW w:w="3497" w:type="dxa"/>
            <w:shd w:val="clear" w:color="auto" w:fill="CFCECE" w:themeFill="background2" w:themeFillShade="E5"/>
            <w:vAlign w:val="top"/>
          </w:tcPr>
          <w:p>
            <w:pPr>
              <w:widowControl w:val="0"/>
              <w:numPr>
                <w:ilvl w:val="0"/>
                <w:numId w:val="0"/>
              </w:numPr>
              <w:jc w:val="center"/>
              <w:rPr>
                <w:rFonts w:hint="default" w:ascii="仿宋_GB2312" w:hAnsi="仿宋_GB2312" w:cs="仿宋_GB2312"/>
                <w:b/>
                <w:bCs/>
                <w:sz w:val="22"/>
                <w:szCs w:val="22"/>
                <w:lang w:val="en-US" w:eastAsia="zh-CN"/>
              </w:rPr>
            </w:pPr>
            <w:r>
              <w:rPr>
                <w:rFonts w:hint="eastAsia" w:ascii="仿宋_GB2312" w:hAnsi="仿宋_GB2312" w:cs="仿宋_GB2312"/>
                <w:b/>
                <w:bCs/>
                <w:sz w:val="22"/>
                <w:szCs w:val="22"/>
                <w:lang w:val="en-US" w:eastAsia="zh-CN"/>
              </w:rPr>
              <w:t>三级指标</w:t>
            </w:r>
          </w:p>
        </w:tc>
        <w:tc>
          <w:tcPr>
            <w:tcW w:w="862" w:type="dxa"/>
            <w:shd w:val="clear" w:color="auto" w:fill="CFCECE" w:themeFill="background2" w:themeFillShade="E5"/>
            <w:vAlign w:val="top"/>
          </w:tcPr>
          <w:p>
            <w:pPr>
              <w:widowControl w:val="0"/>
              <w:numPr>
                <w:ilvl w:val="0"/>
                <w:numId w:val="0"/>
              </w:numPr>
              <w:jc w:val="center"/>
              <w:rPr>
                <w:rFonts w:hint="default" w:ascii="仿宋_GB2312" w:hAnsi="仿宋_GB2312" w:cs="仿宋_GB2312"/>
                <w:b/>
                <w:bCs/>
                <w:sz w:val="22"/>
                <w:szCs w:val="22"/>
                <w:lang w:val="en-US" w:eastAsia="zh-CN"/>
              </w:rPr>
            </w:pPr>
            <w:r>
              <w:rPr>
                <w:rFonts w:hint="eastAsia" w:ascii="仿宋_GB2312" w:hAnsi="仿宋_GB2312" w:cs="仿宋_GB2312"/>
                <w:b/>
                <w:bCs/>
                <w:sz w:val="22"/>
                <w:szCs w:val="22"/>
                <w:lang w:val="en-US" w:eastAsia="zh-CN"/>
              </w:rPr>
              <w:t>权重</w:t>
            </w:r>
          </w:p>
        </w:tc>
        <w:tc>
          <w:tcPr>
            <w:tcW w:w="1350" w:type="dxa"/>
            <w:shd w:val="clear" w:color="auto" w:fill="CFCECE" w:themeFill="background2" w:themeFillShade="E5"/>
            <w:vAlign w:val="top"/>
          </w:tcPr>
          <w:p>
            <w:pPr>
              <w:widowControl w:val="0"/>
              <w:numPr>
                <w:ilvl w:val="0"/>
                <w:numId w:val="0"/>
              </w:numPr>
              <w:jc w:val="center"/>
              <w:rPr>
                <w:rFonts w:hint="default" w:ascii="仿宋_GB2312" w:hAnsi="仿宋_GB2312" w:cs="仿宋_GB2312"/>
                <w:b/>
                <w:bCs/>
                <w:sz w:val="22"/>
                <w:szCs w:val="22"/>
                <w:lang w:val="en-US" w:eastAsia="zh-CN"/>
              </w:rPr>
            </w:pPr>
            <w:r>
              <w:rPr>
                <w:rFonts w:hint="eastAsia" w:ascii="仿宋_GB2312" w:hAnsi="仿宋_GB2312" w:cs="仿宋_GB2312"/>
                <w:b/>
                <w:bCs/>
                <w:sz w:val="22"/>
                <w:szCs w:val="22"/>
                <w:lang w:val="en-US" w:eastAsia="zh-CN"/>
              </w:rPr>
              <w:t>业绩值</w:t>
            </w:r>
          </w:p>
        </w:tc>
        <w:tc>
          <w:tcPr>
            <w:tcW w:w="977" w:type="dxa"/>
            <w:shd w:val="clear" w:color="auto" w:fill="CFCECE" w:themeFill="background2" w:themeFillShade="E5"/>
            <w:vAlign w:val="top"/>
          </w:tcPr>
          <w:p>
            <w:pPr>
              <w:widowControl w:val="0"/>
              <w:numPr>
                <w:ilvl w:val="0"/>
                <w:numId w:val="0"/>
              </w:numPr>
              <w:jc w:val="center"/>
              <w:rPr>
                <w:rFonts w:hint="default" w:ascii="仿宋_GB2312" w:hAnsi="仿宋_GB2312" w:cs="仿宋_GB2312"/>
                <w:b/>
                <w:bCs/>
                <w:sz w:val="22"/>
                <w:szCs w:val="22"/>
                <w:lang w:val="en-US" w:eastAsia="zh-CN"/>
              </w:rPr>
            </w:pPr>
            <w:r>
              <w:rPr>
                <w:rFonts w:hint="eastAsia" w:ascii="仿宋_GB2312" w:hAnsi="仿宋_GB2312" w:cs="仿宋_GB2312"/>
                <w:b/>
                <w:bCs/>
                <w:sz w:val="22"/>
                <w:szCs w:val="22"/>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vMerge w:val="restart"/>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（B1）资金管理</w:t>
            </w:r>
          </w:p>
        </w:tc>
        <w:tc>
          <w:tcPr>
            <w:tcW w:w="3497" w:type="dxa"/>
            <w:vAlign w:val="center"/>
          </w:tcPr>
          <w:p>
            <w:pPr>
              <w:widowControl w:val="0"/>
              <w:numPr>
                <w:ilvl w:val="0"/>
                <w:numId w:val="0"/>
              </w:numPr>
              <w:jc w:val="left"/>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（B11）资金到位率</w:t>
            </w:r>
          </w:p>
        </w:tc>
        <w:tc>
          <w:tcPr>
            <w:tcW w:w="862" w:type="dxa"/>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3</w:t>
            </w:r>
          </w:p>
        </w:tc>
        <w:tc>
          <w:tcPr>
            <w:tcW w:w="1350" w:type="dxa"/>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90.31%</w:t>
            </w:r>
          </w:p>
        </w:tc>
        <w:tc>
          <w:tcPr>
            <w:tcW w:w="977" w:type="dxa"/>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vMerge w:val="continue"/>
            <w:vAlign w:val="center"/>
          </w:tcPr>
          <w:p>
            <w:pPr>
              <w:widowControl w:val="0"/>
              <w:numPr>
                <w:ilvl w:val="0"/>
                <w:numId w:val="0"/>
              </w:numPr>
              <w:jc w:val="center"/>
              <w:rPr>
                <w:rFonts w:hint="default" w:ascii="仿宋_GB2312" w:hAnsi="仿宋_GB2312" w:cs="仿宋_GB2312"/>
                <w:sz w:val="22"/>
                <w:szCs w:val="22"/>
                <w:lang w:val="en-US" w:eastAsia="zh-CN"/>
              </w:rPr>
            </w:pPr>
          </w:p>
        </w:tc>
        <w:tc>
          <w:tcPr>
            <w:tcW w:w="3497" w:type="dxa"/>
            <w:vAlign w:val="center"/>
          </w:tcPr>
          <w:p>
            <w:pPr>
              <w:widowControl w:val="0"/>
              <w:numPr>
                <w:ilvl w:val="0"/>
                <w:numId w:val="0"/>
              </w:numPr>
              <w:jc w:val="left"/>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（B12）预算执行率</w:t>
            </w:r>
          </w:p>
        </w:tc>
        <w:tc>
          <w:tcPr>
            <w:tcW w:w="862" w:type="dxa"/>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3</w:t>
            </w:r>
          </w:p>
        </w:tc>
        <w:tc>
          <w:tcPr>
            <w:tcW w:w="1350" w:type="dxa"/>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100%</w:t>
            </w:r>
          </w:p>
        </w:tc>
        <w:tc>
          <w:tcPr>
            <w:tcW w:w="977" w:type="dxa"/>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vMerge w:val="continue"/>
            <w:vAlign w:val="center"/>
          </w:tcPr>
          <w:p>
            <w:pPr>
              <w:widowControl w:val="0"/>
              <w:numPr>
                <w:ilvl w:val="0"/>
                <w:numId w:val="0"/>
              </w:numPr>
              <w:jc w:val="center"/>
              <w:rPr>
                <w:rFonts w:hint="default" w:ascii="仿宋_GB2312" w:hAnsi="仿宋_GB2312" w:cs="仿宋_GB2312"/>
                <w:sz w:val="22"/>
                <w:szCs w:val="22"/>
                <w:lang w:val="en-US" w:eastAsia="zh-CN"/>
              </w:rPr>
            </w:pPr>
          </w:p>
        </w:tc>
        <w:tc>
          <w:tcPr>
            <w:tcW w:w="3497" w:type="dxa"/>
            <w:vAlign w:val="center"/>
          </w:tcPr>
          <w:p>
            <w:pPr>
              <w:widowControl w:val="0"/>
              <w:numPr>
                <w:ilvl w:val="0"/>
                <w:numId w:val="0"/>
              </w:numPr>
              <w:jc w:val="left"/>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（B13）资金使用合规性</w:t>
            </w:r>
          </w:p>
        </w:tc>
        <w:tc>
          <w:tcPr>
            <w:tcW w:w="862" w:type="dxa"/>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3</w:t>
            </w:r>
          </w:p>
        </w:tc>
        <w:tc>
          <w:tcPr>
            <w:tcW w:w="1350" w:type="dxa"/>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不合规</w:t>
            </w:r>
          </w:p>
        </w:tc>
        <w:tc>
          <w:tcPr>
            <w:tcW w:w="977" w:type="dxa"/>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vMerge w:val="restart"/>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（B2）业务管理</w:t>
            </w:r>
          </w:p>
        </w:tc>
        <w:tc>
          <w:tcPr>
            <w:tcW w:w="3497" w:type="dxa"/>
            <w:vAlign w:val="center"/>
          </w:tcPr>
          <w:p>
            <w:pPr>
              <w:widowControl w:val="0"/>
              <w:numPr>
                <w:ilvl w:val="0"/>
                <w:numId w:val="0"/>
              </w:numPr>
              <w:jc w:val="left"/>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（B21）管理制度健全性</w:t>
            </w:r>
          </w:p>
        </w:tc>
        <w:tc>
          <w:tcPr>
            <w:tcW w:w="862" w:type="dxa"/>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3</w:t>
            </w:r>
          </w:p>
        </w:tc>
        <w:tc>
          <w:tcPr>
            <w:tcW w:w="1350" w:type="dxa"/>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不健全</w:t>
            </w:r>
          </w:p>
        </w:tc>
        <w:tc>
          <w:tcPr>
            <w:tcW w:w="977" w:type="dxa"/>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vMerge w:val="continue"/>
            <w:vAlign w:val="center"/>
          </w:tcPr>
          <w:p>
            <w:pPr>
              <w:widowControl w:val="0"/>
              <w:numPr>
                <w:ilvl w:val="0"/>
                <w:numId w:val="0"/>
              </w:numPr>
              <w:jc w:val="center"/>
              <w:rPr>
                <w:rFonts w:hint="default" w:ascii="仿宋_GB2312" w:hAnsi="仿宋_GB2312" w:cs="仿宋_GB2312"/>
                <w:sz w:val="22"/>
                <w:szCs w:val="22"/>
                <w:lang w:val="en-US" w:eastAsia="zh-CN"/>
              </w:rPr>
            </w:pPr>
          </w:p>
        </w:tc>
        <w:tc>
          <w:tcPr>
            <w:tcW w:w="3497" w:type="dxa"/>
            <w:vAlign w:val="center"/>
          </w:tcPr>
          <w:p>
            <w:pPr>
              <w:widowControl w:val="0"/>
              <w:numPr>
                <w:ilvl w:val="0"/>
                <w:numId w:val="0"/>
              </w:numPr>
              <w:jc w:val="left"/>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（B22）制度执行有效性</w:t>
            </w:r>
          </w:p>
        </w:tc>
        <w:tc>
          <w:tcPr>
            <w:tcW w:w="862" w:type="dxa"/>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3</w:t>
            </w:r>
          </w:p>
        </w:tc>
        <w:tc>
          <w:tcPr>
            <w:tcW w:w="1350" w:type="dxa"/>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无效</w:t>
            </w:r>
          </w:p>
        </w:tc>
        <w:tc>
          <w:tcPr>
            <w:tcW w:w="977" w:type="dxa"/>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vMerge w:val="restart"/>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（B3）实施管理</w:t>
            </w:r>
          </w:p>
        </w:tc>
        <w:tc>
          <w:tcPr>
            <w:tcW w:w="3497" w:type="dxa"/>
            <w:vAlign w:val="center"/>
          </w:tcPr>
          <w:p>
            <w:pPr>
              <w:widowControl w:val="0"/>
              <w:numPr>
                <w:ilvl w:val="0"/>
                <w:numId w:val="0"/>
              </w:numPr>
              <w:jc w:val="left"/>
              <w:rPr>
                <w:rFonts w:hint="eastAsia" w:ascii="仿宋_GB2312" w:hAnsi="仿宋_GB2312" w:cs="仿宋_GB2312"/>
                <w:sz w:val="22"/>
                <w:szCs w:val="22"/>
                <w:lang w:val="en-US" w:eastAsia="zh-CN"/>
              </w:rPr>
            </w:pPr>
            <w:r>
              <w:rPr>
                <w:rFonts w:hint="eastAsia" w:ascii="仿宋_GB2312" w:hAnsi="仿宋_GB2312" w:cs="仿宋_GB2312"/>
                <w:sz w:val="22"/>
                <w:szCs w:val="22"/>
                <w:lang w:val="en-US" w:eastAsia="zh-CN"/>
              </w:rPr>
              <w:t>（B31）政府采购规范性</w:t>
            </w:r>
          </w:p>
        </w:tc>
        <w:tc>
          <w:tcPr>
            <w:tcW w:w="862" w:type="dxa"/>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5</w:t>
            </w:r>
          </w:p>
        </w:tc>
        <w:tc>
          <w:tcPr>
            <w:tcW w:w="1350" w:type="dxa"/>
            <w:vAlign w:val="center"/>
          </w:tcPr>
          <w:p>
            <w:pPr>
              <w:widowControl w:val="0"/>
              <w:numPr>
                <w:ilvl w:val="0"/>
                <w:numId w:val="0"/>
              </w:numPr>
              <w:jc w:val="center"/>
              <w:rPr>
                <w:rFonts w:hint="eastAsia" w:ascii="仿宋_GB2312" w:hAnsi="仿宋_GB2312" w:cs="仿宋_GB2312"/>
                <w:sz w:val="22"/>
                <w:szCs w:val="22"/>
                <w:lang w:val="en-US" w:eastAsia="zh-CN"/>
              </w:rPr>
            </w:pPr>
            <w:r>
              <w:rPr>
                <w:rFonts w:hint="eastAsia" w:ascii="仿宋_GB2312" w:hAnsi="仿宋_GB2312" w:cs="仿宋_GB2312"/>
                <w:sz w:val="22"/>
                <w:szCs w:val="22"/>
                <w:lang w:val="en-US" w:eastAsia="zh-CN"/>
              </w:rPr>
              <w:t>规范</w:t>
            </w:r>
          </w:p>
        </w:tc>
        <w:tc>
          <w:tcPr>
            <w:tcW w:w="977" w:type="dxa"/>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vMerge w:val="continue"/>
            <w:vAlign w:val="center"/>
          </w:tcPr>
          <w:p>
            <w:pPr>
              <w:widowControl w:val="0"/>
              <w:numPr>
                <w:ilvl w:val="0"/>
                <w:numId w:val="0"/>
              </w:numPr>
              <w:jc w:val="center"/>
              <w:rPr>
                <w:rFonts w:hint="default" w:ascii="仿宋_GB2312" w:hAnsi="仿宋_GB2312" w:cs="仿宋_GB2312"/>
                <w:sz w:val="22"/>
                <w:szCs w:val="22"/>
                <w:lang w:val="en-US" w:eastAsia="zh-CN"/>
              </w:rPr>
            </w:pPr>
          </w:p>
        </w:tc>
        <w:tc>
          <w:tcPr>
            <w:tcW w:w="3497" w:type="dxa"/>
            <w:vAlign w:val="center"/>
          </w:tcPr>
          <w:p>
            <w:pPr>
              <w:widowControl w:val="0"/>
              <w:numPr>
                <w:ilvl w:val="0"/>
                <w:numId w:val="0"/>
              </w:numPr>
              <w:jc w:val="left"/>
              <w:rPr>
                <w:rFonts w:hint="eastAsia" w:ascii="仿宋_GB2312" w:hAnsi="仿宋_GB2312" w:cs="仿宋_GB2312"/>
                <w:sz w:val="22"/>
                <w:szCs w:val="22"/>
                <w:lang w:val="en-US" w:eastAsia="zh-CN"/>
              </w:rPr>
            </w:pPr>
            <w:r>
              <w:rPr>
                <w:rFonts w:hint="eastAsia" w:ascii="仿宋_GB2312" w:hAnsi="仿宋_GB2312" w:cs="仿宋_GB2312"/>
                <w:sz w:val="22"/>
                <w:szCs w:val="22"/>
                <w:lang w:val="en-US" w:eastAsia="zh-CN"/>
              </w:rPr>
              <w:t>（B32）合同管理完备性</w:t>
            </w:r>
          </w:p>
        </w:tc>
        <w:tc>
          <w:tcPr>
            <w:tcW w:w="862" w:type="dxa"/>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3</w:t>
            </w:r>
          </w:p>
        </w:tc>
        <w:tc>
          <w:tcPr>
            <w:tcW w:w="1350" w:type="dxa"/>
            <w:vAlign w:val="center"/>
          </w:tcPr>
          <w:p>
            <w:pPr>
              <w:widowControl w:val="0"/>
              <w:numPr>
                <w:ilvl w:val="0"/>
                <w:numId w:val="0"/>
              </w:numPr>
              <w:jc w:val="center"/>
              <w:rPr>
                <w:rFonts w:hint="eastAsia" w:ascii="仿宋_GB2312" w:hAnsi="仿宋_GB2312" w:cs="仿宋_GB2312"/>
                <w:sz w:val="22"/>
                <w:szCs w:val="22"/>
                <w:lang w:val="en-US" w:eastAsia="zh-CN"/>
              </w:rPr>
            </w:pPr>
            <w:r>
              <w:rPr>
                <w:rFonts w:hint="eastAsia" w:ascii="仿宋_GB2312" w:hAnsi="仿宋_GB2312" w:cs="仿宋_GB2312"/>
                <w:sz w:val="22"/>
                <w:szCs w:val="22"/>
                <w:lang w:val="en-US" w:eastAsia="zh-CN"/>
              </w:rPr>
              <w:t>完备</w:t>
            </w:r>
          </w:p>
        </w:tc>
        <w:tc>
          <w:tcPr>
            <w:tcW w:w="977" w:type="dxa"/>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vMerge w:val="continue"/>
            <w:vAlign w:val="center"/>
          </w:tcPr>
          <w:p>
            <w:pPr>
              <w:widowControl w:val="0"/>
              <w:numPr>
                <w:ilvl w:val="0"/>
                <w:numId w:val="0"/>
              </w:numPr>
              <w:jc w:val="center"/>
              <w:rPr>
                <w:rFonts w:hint="default" w:ascii="仿宋_GB2312" w:hAnsi="仿宋_GB2312" w:cs="仿宋_GB2312"/>
                <w:sz w:val="22"/>
                <w:szCs w:val="22"/>
                <w:lang w:val="en-US" w:eastAsia="zh-CN"/>
              </w:rPr>
            </w:pPr>
          </w:p>
        </w:tc>
        <w:tc>
          <w:tcPr>
            <w:tcW w:w="3497" w:type="dxa"/>
            <w:vAlign w:val="center"/>
          </w:tcPr>
          <w:p>
            <w:pPr>
              <w:widowControl w:val="0"/>
              <w:numPr>
                <w:ilvl w:val="0"/>
                <w:numId w:val="0"/>
              </w:numPr>
              <w:jc w:val="left"/>
              <w:rPr>
                <w:rFonts w:hint="eastAsia" w:ascii="仿宋_GB2312" w:hAnsi="仿宋_GB2312" w:cs="仿宋_GB2312"/>
                <w:sz w:val="22"/>
                <w:szCs w:val="22"/>
                <w:lang w:val="en-US" w:eastAsia="zh-CN"/>
              </w:rPr>
            </w:pPr>
            <w:r>
              <w:rPr>
                <w:rFonts w:hint="eastAsia" w:ascii="仿宋_GB2312" w:hAnsi="仿宋_GB2312" w:cs="仿宋_GB2312"/>
                <w:sz w:val="22"/>
                <w:szCs w:val="22"/>
                <w:lang w:val="en-US" w:eastAsia="zh-CN"/>
              </w:rPr>
              <w:t>（B33）项目验收规范性</w:t>
            </w:r>
          </w:p>
        </w:tc>
        <w:tc>
          <w:tcPr>
            <w:tcW w:w="862" w:type="dxa"/>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2</w:t>
            </w:r>
          </w:p>
        </w:tc>
        <w:tc>
          <w:tcPr>
            <w:tcW w:w="1350" w:type="dxa"/>
            <w:vAlign w:val="center"/>
          </w:tcPr>
          <w:p>
            <w:pPr>
              <w:widowControl w:val="0"/>
              <w:numPr>
                <w:ilvl w:val="0"/>
                <w:numId w:val="0"/>
              </w:numPr>
              <w:jc w:val="center"/>
              <w:rPr>
                <w:rFonts w:hint="eastAsia" w:ascii="仿宋_GB2312" w:hAnsi="仿宋_GB2312" w:cs="仿宋_GB2312"/>
                <w:sz w:val="22"/>
                <w:szCs w:val="22"/>
                <w:lang w:val="en-US" w:eastAsia="zh-CN"/>
              </w:rPr>
            </w:pPr>
            <w:r>
              <w:rPr>
                <w:rFonts w:hint="eastAsia" w:ascii="仿宋_GB2312" w:hAnsi="仿宋_GB2312" w:cs="仿宋_GB2312"/>
                <w:sz w:val="22"/>
                <w:szCs w:val="22"/>
                <w:lang w:val="en-US" w:eastAsia="zh-CN"/>
              </w:rPr>
              <w:t>规范</w:t>
            </w:r>
          </w:p>
        </w:tc>
        <w:tc>
          <w:tcPr>
            <w:tcW w:w="977" w:type="dxa"/>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1" w:type="dxa"/>
            <w:gridSpan w:val="2"/>
            <w:vAlign w:val="center"/>
          </w:tcPr>
          <w:p>
            <w:pPr>
              <w:widowControl w:val="0"/>
              <w:numPr>
                <w:ilvl w:val="0"/>
                <w:numId w:val="0"/>
              </w:numPr>
              <w:jc w:val="center"/>
              <w:rPr>
                <w:rFonts w:hint="eastAsia" w:ascii="仿宋_GB2312" w:hAnsi="仿宋_GB2312" w:cs="仿宋_GB2312"/>
                <w:sz w:val="22"/>
                <w:szCs w:val="22"/>
                <w:lang w:val="en-US" w:eastAsia="zh-CN"/>
              </w:rPr>
            </w:pPr>
            <w:r>
              <w:rPr>
                <w:rFonts w:hint="eastAsia" w:ascii="仿宋_GB2312" w:hAnsi="仿宋_GB2312" w:cs="仿宋_GB2312"/>
                <w:sz w:val="22"/>
                <w:szCs w:val="22"/>
                <w:lang w:val="en-US" w:eastAsia="zh-CN"/>
              </w:rPr>
              <w:t>小计</w:t>
            </w:r>
          </w:p>
        </w:tc>
        <w:tc>
          <w:tcPr>
            <w:tcW w:w="862" w:type="dxa"/>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25</w:t>
            </w:r>
          </w:p>
        </w:tc>
        <w:tc>
          <w:tcPr>
            <w:tcW w:w="1350" w:type="dxa"/>
            <w:vAlign w:val="center"/>
          </w:tcPr>
          <w:p>
            <w:pPr>
              <w:widowControl w:val="0"/>
              <w:numPr>
                <w:ilvl w:val="0"/>
                <w:numId w:val="0"/>
              </w:numPr>
              <w:jc w:val="center"/>
              <w:rPr>
                <w:rFonts w:hint="eastAsia" w:ascii="仿宋_GB2312" w:hAnsi="仿宋_GB2312" w:cs="仿宋_GB2312"/>
                <w:sz w:val="22"/>
                <w:szCs w:val="22"/>
                <w:lang w:val="en-US" w:eastAsia="zh-CN"/>
              </w:rPr>
            </w:pPr>
          </w:p>
        </w:tc>
        <w:tc>
          <w:tcPr>
            <w:tcW w:w="977" w:type="dxa"/>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16.71</w:t>
            </w:r>
          </w:p>
        </w:tc>
      </w:tr>
    </w:tbl>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（B11）资金到位率 权重3分，得2.71分</w:t>
      </w:r>
    </w:p>
    <w:p>
      <w:pPr>
        <w:numPr>
          <w:ilvl w:val="0"/>
          <w:numId w:val="0"/>
        </w:numPr>
        <w:spacing w:line="580" w:lineRule="exact"/>
        <w:ind w:firstLine="640" w:firstLineChars="200"/>
        <w:rPr>
          <w:rFonts w:hint="eastAsia" w:ascii="仿宋_GB2312" w:hAnsi="仿宋_GB2312" w:cs="仿宋_GB2312"/>
          <w:sz w:val="32"/>
          <w:szCs w:val="32"/>
          <w:highlight w:val="yellow"/>
          <w:lang w:val="en-US" w:eastAsia="zh-CN"/>
        </w:rPr>
      </w:pPr>
      <w:r>
        <w:rPr>
          <w:rFonts w:hint="eastAsia" w:ascii="仿宋_GB2312" w:hAnsi="仿宋_GB2312" w:cs="仿宋_GB2312"/>
          <w:sz w:val="32"/>
          <w:szCs w:val="32"/>
          <w:highlight w:val="none"/>
          <w:shd w:val="clear"/>
          <w:lang w:val="en-US" w:eastAsia="zh-CN"/>
        </w:rPr>
        <w:t>评价小组通过查阅社会事业服务中心相关财务资料，2022年1月1日至2022年12月31日教育专项资金项目计划投入资金462.9万元，年终调减150.7万元，全年预算资金共计312.2万元,实际到位资金281.95万元，资金到位率为90.31%。因此，根据指标评分标准，该指标得分2.71分。</w:t>
      </w: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（B12）预算执行率 权重3分，得3分</w:t>
      </w:r>
    </w:p>
    <w:p>
      <w:pPr>
        <w:numPr>
          <w:ilvl w:val="0"/>
          <w:numId w:val="0"/>
        </w:numPr>
        <w:spacing w:line="580" w:lineRule="exact"/>
        <w:ind w:firstLine="640" w:firstLineChars="200"/>
        <w:rPr>
          <w:rFonts w:hint="eastAsia" w:ascii="仿宋_GB2312" w:hAnsi="仿宋_GB2312" w:cs="仿宋_GB2312"/>
          <w:sz w:val="32"/>
          <w:szCs w:val="32"/>
          <w:highlight w:val="yellow"/>
          <w:lang w:val="en-US" w:eastAsia="zh-CN"/>
        </w:rPr>
      </w:pPr>
      <w:r>
        <w:rPr>
          <w:rFonts w:hint="eastAsia" w:ascii="仿宋_GB2312" w:hAnsi="仿宋_GB2312" w:cs="仿宋_GB2312"/>
          <w:sz w:val="32"/>
          <w:szCs w:val="32"/>
          <w:highlight w:val="none"/>
          <w:lang w:val="en-US" w:eastAsia="zh-CN"/>
        </w:rPr>
        <w:t>评价小组通过查阅社会事业服务中心相关财务资料，2022年1月1日至2022年12月31日该项目实际到位资金为281.95万元，实际支出资金281.95万元，执行率100%。因此，根据指标评分标准，该指标得分3分。</w:t>
      </w: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（B13）资金使用合规性 权重3分，得0分</w:t>
      </w: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评价小组通过查阅社会事业服务中心相关财务资料，结合预算批复文件，该项目使用财政性资金未做到专款专用。因此，根据指标评分标准，该指标得分0分。</w:t>
      </w: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（B21）</w:t>
      </w:r>
      <w:r>
        <w:rPr>
          <w:rFonts w:hint="eastAsia" w:ascii="仿宋_GB2312" w:hAnsi="仿宋_GB2312" w:cs="仿宋_GB2312"/>
          <w:sz w:val="32"/>
          <w:szCs w:val="32"/>
          <w:highlight w:val="none"/>
          <w:lang w:val="en-US" w:eastAsia="zh-CN"/>
        </w:rPr>
        <w:t xml:space="preserve">管理制度健全性 </w:t>
      </w:r>
      <w:r>
        <w:rPr>
          <w:rFonts w:hint="eastAsia" w:ascii="仿宋_GB2312" w:hAnsi="仿宋_GB2312" w:cs="仿宋_GB2312"/>
          <w:sz w:val="32"/>
          <w:szCs w:val="32"/>
          <w:lang w:val="en-US" w:eastAsia="zh-CN"/>
        </w:rPr>
        <w:t>权重3分，得1分</w:t>
      </w: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评价小组获取了项目实施单位提供的《中小学校财务制度》，资料中显示项目单位财务管理制度合法、合规、完整，但是没有结合本项目特点制定有针对性的财务管理办法。社会事业服务中心主要负责本项目的监督管理工作，但未建立相应的业务管理制度。因此，根据指标评分标准，该指标得分1分。</w:t>
      </w: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（B22）制度执行有效性 权重3分，得0分</w:t>
      </w: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评价小组通过询问社会事业服务中心相关人员，并查阅相关文件资料等，了解到社会事业服务中心在教育专项资金管理中未做到专款专用。因此，根据指标评分标准，该指标得分0分。</w:t>
      </w:r>
    </w:p>
    <w:p>
      <w:pPr>
        <w:pStyle w:val="2"/>
        <w:ind w:left="0" w:leftChars="0" w:firstLine="640" w:firstLineChars="200"/>
        <w:jc w:val="left"/>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（B31）政府采购规范性 权重5分，得5分</w:t>
      </w: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评价小组获取了相关政府采购资料，该项目按照政府采购规定程序进行了申报；政府采购的主体范围明确，资金来源、规模、范围、契约形式等明确；符合政府采购时限要求，并依法进行了备案或者审批；按照政府采购法律法规规定发布政府采购项目信息，且及时发布项目信息，按照采购相关法律法规流程执行。因此，根据指标评分标准，该指标得分5分。</w:t>
      </w:r>
    </w:p>
    <w:p>
      <w:pPr>
        <w:pStyle w:val="2"/>
        <w:ind w:left="0" w:leftChars="0" w:firstLine="640" w:firstLineChars="200"/>
        <w:jc w:val="left"/>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（B32）合同管理完备性 权重3分，得3分</w:t>
      </w: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评价小组获取了相关合同资料，该项目按规定签署了相关合同，合同标的物及价格、履约期限清晰，并且有明确的质量标准；合同双方责任界定清晰；合同支付方式和支付时间明确、清晰、完整。因此，根据指标评分标准，该指标得分3分。</w:t>
      </w:r>
    </w:p>
    <w:p>
      <w:pPr>
        <w:pStyle w:val="2"/>
        <w:ind w:left="0" w:leftChars="0" w:firstLine="640" w:firstLineChars="200"/>
        <w:jc w:val="left"/>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（B33）项目验收规范性 权重2分，得2分</w:t>
      </w: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评价小组获取了相关验收资料，漯河经济技术开发区实验中学在规定的时间内按验收流程组织验收工作；相关验收文件及其内容齐全、有效。因此，根据指标评分标准，该指标得分2分。</w:t>
      </w:r>
    </w:p>
    <w:p>
      <w:pPr>
        <w:numPr>
          <w:ilvl w:val="0"/>
          <w:numId w:val="0"/>
        </w:numPr>
        <w:spacing w:line="580" w:lineRule="exact"/>
        <w:ind w:firstLine="643" w:firstLineChars="200"/>
        <w:outlineLvl w:val="1"/>
        <w:rPr>
          <w:rFonts w:hint="eastAsia" w:ascii="楷体" w:hAnsi="楷体" w:eastAsia="楷体" w:cs="楷体"/>
          <w:b/>
          <w:bCs/>
          <w:sz w:val="32"/>
          <w:szCs w:val="32"/>
          <w:lang w:val="en-US" w:eastAsia="zh-CN"/>
        </w:rPr>
      </w:pPr>
      <w:bookmarkStart w:id="46" w:name="_Toc20515"/>
      <w:bookmarkStart w:id="47" w:name="_Toc24270"/>
      <w:r>
        <w:rPr>
          <w:rFonts w:hint="eastAsia" w:ascii="楷体" w:hAnsi="楷体" w:eastAsia="楷体" w:cs="楷体"/>
          <w:b/>
          <w:bCs/>
          <w:sz w:val="32"/>
          <w:szCs w:val="32"/>
          <w:lang w:val="en-US" w:eastAsia="zh-CN"/>
        </w:rPr>
        <w:t>（三）项目产出情况</w:t>
      </w:r>
      <w:bookmarkEnd w:id="46"/>
      <w:bookmarkEnd w:id="47"/>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项目产出指标包括产出数量、产出质量、产出时效、产出成本4个二级级指标，权重35分，实际</w:t>
      </w:r>
      <w:r>
        <w:rPr>
          <w:rFonts w:hint="eastAsia" w:ascii="仿宋_GB2312" w:hAnsi="仿宋_GB2312" w:cs="仿宋_GB2312"/>
          <w:sz w:val="32"/>
          <w:szCs w:val="32"/>
          <w:highlight w:val="none"/>
          <w:lang w:val="en-US" w:eastAsia="zh-CN"/>
        </w:rPr>
        <w:t>得30分，得分率85.71%。</w:t>
      </w:r>
      <w:r>
        <w:rPr>
          <w:rFonts w:hint="eastAsia" w:ascii="仿宋_GB2312" w:hAnsi="仿宋_GB2312" w:cs="仿宋_GB2312"/>
          <w:sz w:val="32"/>
          <w:szCs w:val="32"/>
          <w:lang w:val="en-US" w:eastAsia="zh-CN"/>
        </w:rPr>
        <w:t>各指标的业务值和得分详见“表4-3项目产出指标评分结果汇总表”。</w:t>
      </w:r>
    </w:p>
    <w:p>
      <w:pPr>
        <w:numPr>
          <w:ilvl w:val="0"/>
          <w:numId w:val="0"/>
        </w:numPr>
        <w:spacing w:line="580" w:lineRule="exact"/>
        <w:jc w:val="center"/>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表4-3项目产出指标评分结果汇总表</w:t>
      </w:r>
    </w:p>
    <w:p>
      <w:pPr>
        <w:pStyle w:val="5"/>
        <w:rPr>
          <w:rFonts w:hint="default"/>
          <w:lang w:val="en-US" w:eastAsia="zh-CN"/>
        </w:rPr>
      </w:pPr>
    </w:p>
    <w:tbl>
      <w:tblPr>
        <w:tblStyle w:val="12"/>
        <w:tblW w:w="9232"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3472"/>
        <w:gridCol w:w="989"/>
        <w:gridCol w:w="1492"/>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9" w:type="dxa"/>
            <w:shd w:val="clear" w:color="auto" w:fill="CFCECE" w:themeFill="background2" w:themeFillShade="E5"/>
          </w:tcPr>
          <w:p>
            <w:pPr>
              <w:widowControl w:val="0"/>
              <w:numPr>
                <w:ilvl w:val="0"/>
                <w:numId w:val="0"/>
              </w:numPr>
              <w:jc w:val="center"/>
              <w:rPr>
                <w:rFonts w:hint="default" w:ascii="仿宋_GB2312" w:hAnsi="仿宋_GB2312" w:cs="仿宋_GB2312"/>
                <w:b/>
                <w:bCs/>
                <w:sz w:val="22"/>
                <w:szCs w:val="22"/>
                <w:lang w:val="en-US" w:eastAsia="zh-CN"/>
              </w:rPr>
            </w:pPr>
            <w:r>
              <w:rPr>
                <w:rFonts w:hint="eastAsia" w:ascii="仿宋_GB2312" w:hAnsi="仿宋_GB2312" w:cs="仿宋_GB2312"/>
                <w:b/>
                <w:bCs/>
                <w:sz w:val="22"/>
                <w:szCs w:val="22"/>
                <w:lang w:val="en-US" w:eastAsia="zh-CN"/>
              </w:rPr>
              <w:t>二级指标</w:t>
            </w:r>
          </w:p>
        </w:tc>
        <w:tc>
          <w:tcPr>
            <w:tcW w:w="3472" w:type="dxa"/>
            <w:shd w:val="clear" w:color="auto" w:fill="CFCECE" w:themeFill="background2" w:themeFillShade="E5"/>
          </w:tcPr>
          <w:p>
            <w:pPr>
              <w:widowControl w:val="0"/>
              <w:numPr>
                <w:ilvl w:val="0"/>
                <w:numId w:val="0"/>
              </w:numPr>
              <w:jc w:val="center"/>
              <w:rPr>
                <w:rFonts w:hint="default" w:ascii="仿宋_GB2312" w:hAnsi="仿宋_GB2312" w:cs="仿宋_GB2312"/>
                <w:b/>
                <w:bCs/>
                <w:sz w:val="22"/>
                <w:szCs w:val="22"/>
                <w:lang w:val="en-US" w:eastAsia="zh-CN"/>
              </w:rPr>
            </w:pPr>
            <w:r>
              <w:rPr>
                <w:rFonts w:hint="eastAsia" w:ascii="仿宋_GB2312" w:hAnsi="仿宋_GB2312" w:cs="仿宋_GB2312"/>
                <w:b/>
                <w:bCs/>
                <w:sz w:val="22"/>
                <w:szCs w:val="22"/>
                <w:lang w:val="en-US" w:eastAsia="zh-CN"/>
              </w:rPr>
              <w:t>三级指标</w:t>
            </w:r>
          </w:p>
        </w:tc>
        <w:tc>
          <w:tcPr>
            <w:tcW w:w="989" w:type="dxa"/>
            <w:shd w:val="clear" w:color="auto" w:fill="CFCECE" w:themeFill="background2" w:themeFillShade="E5"/>
          </w:tcPr>
          <w:p>
            <w:pPr>
              <w:widowControl w:val="0"/>
              <w:numPr>
                <w:ilvl w:val="0"/>
                <w:numId w:val="0"/>
              </w:numPr>
              <w:jc w:val="center"/>
              <w:rPr>
                <w:rFonts w:hint="default" w:ascii="仿宋_GB2312" w:hAnsi="仿宋_GB2312" w:cs="仿宋_GB2312"/>
                <w:b/>
                <w:bCs/>
                <w:sz w:val="22"/>
                <w:szCs w:val="22"/>
                <w:lang w:val="en-US" w:eastAsia="zh-CN"/>
              </w:rPr>
            </w:pPr>
            <w:r>
              <w:rPr>
                <w:rFonts w:hint="eastAsia" w:ascii="仿宋_GB2312" w:hAnsi="仿宋_GB2312" w:cs="仿宋_GB2312"/>
                <w:b/>
                <w:bCs/>
                <w:sz w:val="22"/>
                <w:szCs w:val="22"/>
                <w:lang w:val="en-US" w:eastAsia="zh-CN"/>
              </w:rPr>
              <w:t>权重</w:t>
            </w:r>
          </w:p>
        </w:tc>
        <w:tc>
          <w:tcPr>
            <w:tcW w:w="1492" w:type="dxa"/>
            <w:shd w:val="clear" w:color="auto" w:fill="CFCECE" w:themeFill="background2" w:themeFillShade="E5"/>
          </w:tcPr>
          <w:p>
            <w:pPr>
              <w:widowControl w:val="0"/>
              <w:numPr>
                <w:ilvl w:val="0"/>
                <w:numId w:val="0"/>
              </w:numPr>
              <w:jc w:val="center"/>
              <w:rPr>
                <w:rFonts w:hint="default" w:ascii="仿宋_GB2312" w:hAnsi="仿宋_GB2312" w:cs="仿宋_GB2312"/>
                <w:b/>
                <w:bCs/>
                <w:sz w:val="22"/>
                <w:szCs w:val="22"/>
                <w:lang w:val="en-US" w:eastAsia="zh-CN"/>
              </w:rPr>
            </w:pPr>
            <w:r>
              <w:rPr>
                <w:rFonts w:hint="eastAsia" w:ascii="仿宋_GB2312" w:hAnsi="仿宋_GB2312" w:cs="仿宋_GB2312"/>
                <w:b/>
                <w:bCs/>
                <w:sz w:val="22"/>
                <w:szCs w:val="22"/>
                <w:lang w:val="en-US" w:eastAsia="zh-CN"/>
              </w:rPr>
              <w:t>业绩值</w:t>
            </w:r>
          </w:p>
        </w:tc>
        <w:tc>
          <w:tcPr>
            <w:tcW w:w="930" w:type="dxa"/>
            <w:shd w:val="clear" w:color="auto" w:fill="CFCECE" w:themeFill="background2" w:themeFillShade="E5"/>
          </w:tcPr>
          <w:p>
            <w:pPr>
              <w:widowControl w:val="0"/>
              <w:numPr>
                <w:ilvl w:val="0"/>
                <w:numId w:val="0"/>
              </w:numPr>
              <w:jc w:val="center"/>
              <w:rPr>
                <w:rFonts w:hint="default" w:ascii="仿宋_GB2312" w:hAnsi="仿宋_GB2312" w:cs="仿宋_GB2312"/>
                <w:b/>
                <w:bCs/>
                <w:sz w:val="22"/>
                <w:szCs w:val="22"/>
                <w:lang w:val="en-US" w:eastAsia="zh-CN"/>
              </w:rPr>
            </w:pPr>
            <w:r>
              <w:rPr>
                <w:rFonts w:hint="eastAsia" w:ascii="仿宋_GB2312" w:hAnsi="仿宋_GB2312" w:cs="仿宋_GB2312"/>
                <w:b/>
                <w:bCs/>
                <w:sz w:val="22"/>
                <w:szCs w:val="22"/>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349" w:type="dxa"/>
            <w:vMerge w:val="restart"/>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（C1）产出数量</w:t>
            </w:r>
          </w:p>
        </w:tc>
        <w:tc>
          <w:tcPr>
            <w:tcW w:w="3472" w:type="dxa"/>
          </w:tcPr>
          <w:p>
            <w:pPr>
              <w:widowControl w:val="0"/>
              <w:numPr>
                <w:ilvl w:val="0"/>
                <w:numId w:val="0"/>
              </w:numPr>
              <w:jc w:val="left"/>
              <w:rPr>
                <w:rFonts w:hint="default" w:ascii="仿宋_GB2312" w:hAnsi="仿宋_GB2312" w:cs="仿宋_GB2312"/>
                <w:sz w:val="22"/>
                <w:szCs w:val="22"/>
                <w:lang w:val="en-US" w:eastAsia="zh-CN"/>
              </w:rPr>
            </w:pPr>
            <w:r>
              <w:rPr>
                <w:rFonts w:hint="default" w:ascii="仿宋_GB2312" w:hAnsi="仿宋_GB2312" w:cs="仿宋_GB2312"/>
                <w:sz w:val="22"/>
                <w:szCs w:val="22"/>
                <w:lang w:val="en-US" w:eastAsia="zh-CN"/>
              </w:rPr>
              <w:t>（C</w:t>
            </w:r>
            <w:r>
              <w:rPr>
                <w:rFonts w:hint="eastAsia" w:ascii="仿宋_GB2312" w:hAnsi="仿宋_GB2312" w:cs="仿宋_GB2312"/>
                <w:sz w:val="22"/>
                <w:szCs w:val="22"/>
                <w:lang w:val="en-US" w:eastAsia="zh-CN"/>
              </w:rPr>
              <w:t>1</w:t>
            </w:r>
            <w:r>
              <w:rPr>
                <w:rFonts w:hint="default" w:ascii="仿宋_GB2312" w:hAnsi="仿宋_GB2312" w:cs="仿宋_GB2312"/>
                <w:sz w:val="22"/>
                <w:szCs w:val="22"/>
                <w:lang w:val="en-US" w:eastAsia="zh-CN"/>
              </w:rPr>
              <w:t>1）解决属地调整教师工资发放人数</w:t>
            </w:r>
          </w:p>
        </w:tc>
        <w:tc>
          <w:tcPr>
            <w:tcW w:w="989" w:type="dxa"/>
            <w:vMerge w:val="restart"/>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5</w:t>
            </w:r>
          </w:p>
        </w:tc>
        <w:tc>
          <w:tcPr>
            <w:tcW w:w="1492" w:type="dxa"/>
            <w:vAlign w:val="center"/>
          </w:tcPr>
          <w:p>
            <w:pPr>
              <w:widowControl w:val="0"/>
              <w:numPr>
                <w:ilvl w:val="0"/>
                <w:numId w:val="0"/>
              </w:numPr>
              <w:jc w:val="center"/>
              <w:rPr>
                <w:rFonts w:hint="default" w:ascii="仿宋_GB2312" w:hAnsi="仿宋_GB2312" w:cs="仿宋_GB2312"/>
                <w:sz w:val="22"/>
                <w:szCs w:val="22"/>
                <w:lang w:val="en-US" w:eastAsia="zh-CN"/>
              </w:rPr>
            </w:pPr>
            <w:r>
              <w:rPr>
                <w:rFonts w:hint="default" w:ascii="仿宋_GB2312" w:hAnsi="仿宋_GB2312" w:cs="仿宋_GB2312"/>
                <w:sz w:val="22"/>
                <w:szCs w:val="22"/>
                <w:lang w:val="en-US" w:eastAsia="zh-CN"/>
              </w:rPr>
              <w:t>≥100人</w:t>
            </w:r>
          </w:p>
        </w:tc>
        <w:tc>
          <w:tcPr>
            <w:tcW w:w="930" w:type="dxa"/>
            <w:vMerge w:val="restart"/>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349" w:type="dxa"/>
            <w:vMerge w:val="continue"/>
            <w:vAlign w:val="center"/>
          </w:tcPr>
          <w:p>
            <w:pPr>
              <w:widowControl w:val="0"/>
              <w:jc w:val="left"/>
              <w:rPr>
                <w:sz w:val="22"/>
                <w:szCs w:val="22"/>
              </w:rPr>
            </w:pPr>
          </w:p>
        </w:tc>
        <w:tc>
          <w:tcPr>
            <w:tcW w:w="3472" w:type="dxa"/>
            <w:vAlign w:val="center"/>
          </w:tcPr>
          <w:p>
            <w:pPr>
              <w:widowControl w:val="0"/>
              <w:numPr>
                <w:ilvl w:val="0"/>
                <w:numId w:val="0"/>
              </w:numPr>
              <w:jc w:val="both"/>
              <w:rPr>
                <w:rFonts w:hint="eastAsia" w:ascii="仿宋_GB2312" w:hAnsi="仿宋_GB2312" w:cs="仿宋_GB2312"/>
                <w:sz w:val="22"/>
                <w:szCs w:val="22"/>
                <w:lang w:val="en-US" w:eastAsia="zh-CN"/>
              </w:rPr>
            </w:pPr>
            <w:r>
              <w:rPr>
                <w:rFonts w:hint="eastAsia" w:ascii="仿宋_GB2312" w:hAnsi="仿宋_GB2312" w:cs="仿宋_GB2312"/>
                <w:sz w:val="22"/>
                <w:szCs w:val="22"/>
                <w:lang w:val="en-US" w:eastAsia="zh-CN"/>
              </w:rPr>
              <w:t>（C12）购置教学设施设备总数</w:t>
            </w:r>
          </w:p>
        </w:tc>
        <w:tc>
          <w:tcPr>
            <w:tcW w:w="989" w:type="dxa"/>
            <w:vMerge w:val="continue"/>
            <w:vAlign w:val="center"/>
          </w:tcPr>
          <w:p>
            <w:pPr>
              <w:widowControl w:val="0"/>
              <w:jc w:val="left"/>
              <w:rPr>
                <w:rFonts w:hint="eastAsia" w:ascii="仿宋_GB2312" w:hAnsi="仿宋_GB2312" w:cs="仿宋_GB2312"/>
                <w:sz w:val="22"/>
                <w:szCs w:val="22"/>
                <w:lang w:val="en-US" w:eastAsia="zh-CN"/>
              </w:rPr>
            </w:pPr>
          </w:p>
        </w:tc>
        <w:tc>
          <w:tcPr>
            <w:tcW w:w="1492" w:type="dxa"/>
            <w:vAlign w:val="center"/>
          </w:tcPr>
          <w:p>
            <w:pPr>
              <w:widowControl w:val="0"/>
              <w:ind w:firstLine="220" w:firstLineChars="100"/>
              <w:jc w:val="left"/>
              <w:rPr>
                <w:rFonts w:hint="eastAsia" w:ascii="仿宋_GB2312" w:hAnsi="仿宋_GB2312" w:cs="仿宋_GB2312"/>
                <w:sz w:val="22"/>
                <w:szCs w:val="22"/>
                <w:lang w:val="en-US" w:eastAsia="zh-CN"/>
              </w:rPr>
            </w:pPr>
            <w:r>
              <w:rPr>
                <w:rFonts w:hint="eastAsia" w:ascii="仿宋_GB2312" w:hAnsi="仿宋_GB2312" w:cs="仿宋_GB2312"/>
                <w:sz w:val="22"/>
                <w:szCs w:val="22"/>
                <w:lang w:val="en-US" w:eastAsia="zh-CN"/>
              </w:rPr>
              <w:t>≥50台</w:t>
            </w:r>
          </w:p>
        </w:tc>
        <w:tc>
          <w:tcPr>
            <w:tcW w:w="930" w:type="dxa"/>
            <w:vMerge w:val="continue"/>
            <w:vAlign w:val="center"/>
          </w:tcPr>
          <w:p>
            <w:pPr>
              <w:widowControl w:val="0"/>
              <w:jc w:val="left"/>
              <w:rPr>
                <w:rFonts w:hint="eastAsia" w:ascii="仿宋_GB2312" w:hAnsi="仿宋_GB2312" w:cs="仿宋_GB2312"/>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349" w:type="dxa"/>
            <w:vMerge w:val="restart"/>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（C2）产出质量</w:t>
            </w:r>
          </w:p>
        </w:tc>
        <w:tc>
          <w:tcPr>
            <w:tcW w:w="3472" w:type="dxa"/>
          </w:tcPr>
          <w:p>
            <w:pPr>
              <w:widowControl w:val="0"/>
              <w:numPr>
                <w:ilvl w:val="0"/>
                <w:numId w:val="0"/>
              </w:numPr>
              <w:jc w:val="left"/>
              <w:rPr>
                <w:rFonts w:hint="default" w:ascii="仿宋_GB2312" w:hAnsi="仿宋_GB2312" w:cs="仿宋_GB2312"/>
                <w:sz w:val="22"/>
                <w:szCs w:val="22"/>
                <w:lang w:val="en-US" w:eastAsia="zh-CN"/>
              </w:rPr>
            </w:pPr>
            <w:r>
              <w:rPr>
                <w:rFonts w:hint="default" w:ascii="仿宋_GB2312" w:hAnsi="仿宋_GB2312" w:cs="仿宋_GB2312"/>
                <w:sz w:val="22"/>
                <w:szCs w:val="22"/>
                <w:lang w:val="en-US" w:eastAsia="zh-CN"/>
              </w:rPr>
              <w:t>（C21）采购产品合格率</w:t>
            </w:r>
          </w:p>
        </w:tc>
        <w:tc>
          <w:tcPr>
            <w:tcW w:w="989" w:type="dxa"/>
            <w:vMerge w:val="restart"/>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12.5</w:t>
            </w:r>
          </w:p>
        </w:tc>
        <w:tc>
          <w:tcPr>
            <w:tcW w:w="1492" w:type="dxa"/>
            <w:vAlign w:val="center"/>
          </w:tcPr>
          <w:p>
            <w:pPr>
              <w:widowControl w:val="0"/>
              <w:numPr>
                <w:ilvl w:val="0"/>
                <w:numId w:val="0"/>
              </w:numPr>
              <w:jc w:val="center"/>
              <w:rPr>
                <w:rFonts w:hint="default" w:ascii="仿宋_GB2312" w:hAnsi="仿宋_GB2312" w:cs="仿宋_GB2312"/>
                <w:sz w:val="22"/>
                <w:szCs w:val="22"/>
                <w:lang w:val="en-US" w:eastAsia="zh-CN"/>
              </w:rPr>
            </w:pPr>
            <w:r>
              <w:rPr>
                <w:rFonts w:hint="default" w:ascii="仿宋_GB2312" w:hAnsi="仿宋_GB2312" w:cs="仿宋_GB2312"/>
                <w:sz w:val="22"/>
                <w:szCs w:val="22"/>
                <w:lang w:val="en-US" w:eastAsia="zh-CN"/>
              </w:rPr>
              <w:t>≥100</w:t>
            </w:r>
            <w:r>
              <w:rPr>
                <w:rFonts w:hint="eastAsia" w:ascii="仿宋_GB2312" w:hAnsi="仿宋_GB2312" w:cs="仿宋_GB2312"/>
                <w:sz w:val="22"/>
                <w:szCs w:val="22"/>
                <w:lang w:val="en-US" w:eastAsia="zh-CN"/>
              </w:rPr>
              <w:t>%</w:t>
            </w:r>
          </w:p>
        </w:tc>
        <w:tc>
          <w:tcPr>
            <w:tcW w:w="930" w:type="dxa"/>
            <w:vMerge w:val="restart"/>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349" w:type="dxa"/>
            <w:vMerge w:val="continue"/>
            <w:vAlign w:val="center"/>
          </w:tcPr>
          <w:p>
            <w:pPr>
              <w:widowControl w:val="0"/>
              <w:jc w:val="left"/>
              <w:rPr>
                <w:sz w:val="22"/>
                <w:szCs w:val="22"/>
              </w:rPr>
            </w:pPr>
          </w:p>
        </w:tc>
        <w:tc>
          <w:tcPr>
            <w:tcW w:w="3472" w:type="dxa"/>
          </w:tcPr>
          <w:p>
            <w:pPr>
              <w:widowControl w:val="0"/>
              <w:numPr>
                <w:ilvl w:val="0"/>
                <w:numId w:val="0"/>
              </w:numPr>
              <w:jc w:val="left"/>
              <w:rPr>
                <w:rFonts w:hint="default" w:ascii="仿宋_GB2312" w:hAnsi="仿宋_GB2312" w:cs="仿宋_GB2312"/>
                <w:sz w:val="22"/>
                <w:szCs w:val="22"/>
                <w:lang w:val="en-US" w:eastAsia="zh-CN"/>
              </w:rPr>
            </w:pPr>
            <w:r>
              <w:rPr>
                <w:rFonts w:hint="default" w:ascii="仿宋_GB2312" w:hAnsi="仿宋_GB2312" w:cs="仿宋_GB2312"/>
                <w:sz w:val="22"/>
                <w:szCs w:val="22"/>
                <w:lang w:val="en-US" w:eastAsia="zh-CN"/>
              </w:rPr>
              <w:t>（C22）采购项目一次验收通过率</w:t>
            </w:r>
          </w:p>
        </w:tc>
        <w:tc>
          <w:tcPr>
            <w:tcW w:w="989" w:type="dxa"/>
            <w:vMerge w:val="continue"/>
            <w:vAlign w:val="center"/>
          </w:tcPr>
          <w:p>
            <w:pPr>
              <w:widowControl w:val="0"/>
              <w:jc w:val="left"/>
              <w:rPr>
                <w:rFonts w:hint="default" w:ascii="仿宋_GB2312" w:hAnsi="仿宋_GB2312" w:cs="仿宋_GB2312"/>
                <w:sz w:val="22"/>
                <w:szCs w:val="22"/>
                <w:lang w:val="en-US" w:eastAsia="zh-CN"/>
              </w:rPr>
            </w:pPr>
          </w:p>
        </w:tc>
        <w:tc>
          <w:tcPr>
            <w:tcW w:w="1492" w:type="dxa"/>
            <w:vAlign w:val="center"/>
          </w:tcPr>
          <w:p>
            <w:pPr>
              <w:widowControl w:val="0"/>
              <w:jc w:val="center"/>
              <w:rPr>
                <w:rFonts w:hint="default" w:ascii="仿宋_GB2312" w:hAnsi="仿宋_GB2312" w:cs="仿宋_GB2312"/>
                <w:sz w:val="22"/>
                <w:szCs w:val="22"/>
                <w:lang w:val="en-US" w:eastAsia="zh-CN"/>
              </w:rPr>
            </w:pPr>
            <w:r>
              <w:rPr>
                <w:rFonts w:hint="default" w:ascii="仿宋_GB2312" w:hAnsi="仿宋_GB2312" w:cs="仿宋_GB2312"/>
                <w:sz w:val="22"/>
                <w:szCs w:val="22"/>
                <w:lang w:val="en-US" w:eastAsia="zh-CN"/>
              </w:rPr>
              <w:t>≥100</w:t>
            </w:r>
            <w:r>
              <w:rPr>
                <w:rFonts w:hint="eastAsia" w:ascii="仿宋_GB2312" w:hAnsi="仿宋_GB2312" w:cs="仿宋_GB2312"/>
                <w:sz w:val="22"/>
                <w:szCs w:val="22"/>
                <w:lang w:val="en-US" w:eastAsia="zh-CN"/>
              </w:rPr>
              <w:t>%</w:t>
            </w:r>
          </w:p>
        </w:tc>
        <w:tc>
          <w:tcPr>
            <w:tcW w:w="930" w:type="dxa"/>
            <w:vMerge w:val="continue"/>
            <w:vAlign w:val="center"/>
          </w:tcPr>
          <w:p>
            <w:pPr>
              <w:widowControl w:val="0"/>
              <w:jc w:val="left"/>
              <w:rPr>
                <w:rFonts w:hint="default" w:ascii="仿宋_GB2312" w:hAnsi="仿宋_GB2312" w:cs="仿宋_GB2312"/>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349" w:type="dxa"/>
            <w:vMerge w:val="continue"/>
            <w:vAlign w:val="center"/>
          </w:tcPr>
          <w:p>
            <w:pPr>
              <w:widowControl w:val="0"/>
              <w:jc w:val="left"/>
              <w:rPr>
                <w:rFonts w:hint="default" w:ascii="仿宋_GB2312" w:hAnsi="仿宋_GB2312" w:cs="仿宋_GB2312"/>
                <w:sz w:val="22"/>
                <w:szCs w:val="22"/>
                <w:lang w:val="en-US" w:eastAsia="zh-CN"/>
              </w:rPr>
            </w:pPr>
          </w:p>
        </w:tc>
        <w:tc>
          <w:tcPr>
            <w:tcW w:w="3472" w:type="dxa"/>
          </w:tcPr>
          <w:p>
            <w:pPr>
              <w:widowControl w:val="0"/>
              <w:numPr>
                <w:ilvl w:val="0"/>
                <w:numId w:val="0"/>
              </w:numPr>
              <w:jc w:val="left"/>
              <w:rPr>
                <w:rFonts w:hint="default" w:ascii="仿宋_GB2312" w:hAnsi="仿宋_GB2312" w:cs="仿宋_GB2312"/>
                <w:sz w:val="22"/>
                <w:szCs w:val="22"/>
                <w:lang w:val="en-US" w:eastAsia="zh-CN"/>
              </w:rPr>
            </w:pPr>
            <w:r>
              <w:rPr>
                <w:rFonts w:hint="default" w:ascii="仿宋_GB2312" w:hAnsi="仿宋_GB2312" w:cs="仿宋_GB2312"/>
                <w:sz w:val="22"/>
                <w:szCs w:val="22"/>
                <w:lang w:val="en-US" w:eastAsia="zh-CN"/>
              </w:rPr>
              <w:t>（C23）采购结果</w:t>
            </w:r>
            <w:r>
              <w:rPr>
                <w:rFonts w:hint="eastAsia" w:ascii="仿宋_GB2312" w:hAnsi="仿宋_GB2312" w:cs="仿宋_GB2312"/>
                <w:sz w:val="22"/>
                <w:szCs w:val="22"/>
                <w:lang w:val="en-US" w:eastAsia="zh-CN"/>
              </w:rPr>
              <w:t>满足需求程度</w:t>
            </w:r>
          </w:p>
        </w:tc>
        <w:tc>
          <w:tcPr>
            <w:tcW w:w="989" w:type="dxa"/>
            <w:vMerge w:val="continue"/>
            <w:vAlign w:val="center"/>
          </w:tcPr>
          <w:p>
            <w:pPr>
              <w:widowControl w:val="0"/>
              <w:jc w:val="left"/>
              <w:rPr>
                <w:rFonts w:hint="default" w:ascii="仿宋_GB2312" w:hAnsi="仿宋_GB2312" w:cs="仿宋_GB2312"/>
                <w:sz w:val="22"/>
                <w:szCs w:val="22"/>
                <w:lang w:val="en-US" w:eastAsia="zh-CN"/>
              </w:rPr>
            </w:pPr>
          </w:p>
        </w:tc>
        <w:tc>
          <w:tcPr>
            <w:tcW w:w="1492" w:type="dxa"/>
            <w:vAlign w:val="center"/>
          </w:tcPr>
          <w:p>
            <w:pPr>
              <w:widowControl w:val="0"/>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满足</w:t>
            </w:r>
          </w:p>
        </w:tc>
        <w:tc>
          <w:tcPr>
            <w:tcW w:w="930" w:type="dxa"/>
            <w:vMerge w:val="continue"/>
            <w:vAlign w:val="center"/>
          </w:tcPr>
          <w:p>
            <w:pPr>
              <w:widowControl w:val="0"/>
              <w:jc w:val="left"/>
              <w:rPr>
                <w:rFonts w:hint="default" w:ascii="仿宋_GB2312" w:hAnsi="仿宋_GB2312" w:cs="仿宋_GB2312"/>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349" w:type="dxa"/>
            <w:vMerge w:val="continue"/>
            <w:vAlign w:val="center"/>
          </w:tcPr>
          <w:p>
            <w:pPr>
              <w:widowControl w:val="0"/>
              <w:jc w:val="left"/>
              <w:rPr>
                <w:rFonts w:hint="default" w:ascii="仿宋_GB2312" w:hAnsi="仿宋_GB2312" w:cs="仿宋_GB2312"/>
                <w:sz w:val="22"/>
                <w:szCs w:val="22"/>
                <w:lang w:val="en-US" w:eastAsia="zh-CN"/>
              </w:rPr>
            </w:pPr>
          </w:p>
        </w:tc>
        <w:tc>
          <w:tcPr>
            <w:tcW w:w="3472" w:type="dxa"/>
          </w:tcPr>
          <w:p>
            <w:pPr>
              <w:widowControl w:val="0"/>
              <w:numPr>
                <w:ilvl w:val="0"/>
                <w:numId w:val="0"/>
              </w:numPr>
              <w:jc w:val="left"/>
              <w:rPr>
                <w:rFonts w:hint="default" w:ascii="仿宋_GB2312" w:hAnsi="仿宋_GB2312" w:cs="仿宋_GB2312"/>
                <w:sz w:val="22"/>
                <w:szCs w:val="22"/>
                <w:lang w:val="en-US" w:eastAsia="zh-CN"/>
              </w:rPr>
            </w:pPr>
            <w:r>
              <w:rPr>
                <w:rFonts w:hint="default" w:ascii="仿宋_GB2312" w:hAnsi="仿宋_GB2312" w:cs="仿宋_GB2312"/>
                <w:sz w:val="22"/>
                <w:szCs w:val="22"/>
                <w:lang w:val="en-US" w:eastAsia="zh-CN"/>
              </w:rPr>
              <w:t>（C24）验收合格12个月内质量</w:t>
            </w:r>
          </w:p>
        </w:tc>
        <w:tc>
          <w:tcPr>
            <w:tcW w:w="989" w:type="dxa"/>
            <w:vMerge w:val="continue"/>
            <w:vAlign w:val="center"/>
          </w:tcPr>
          <w:p>
            <w:pPr>
              <w:widowControl w:val="0"/>
              <w:jc w:val="left"/>
              <w:rPr>
                <w:rFonts w:hint="default" w:ascii="仿宋_GB2312" w:hAnsi="仿宋_GB2312" w:cs="仿宋_GB2312"/>
                <w:sz w:val="22"/>
                <w:szCs w:val="22"/>
                <w:lang w:val="en-US" w:eastAsia="zh-CN"/>
              </w:rPr>
            </w:pPr>
          </w:p>
        </w:tc>
        <w:tc>
          <w:tcPr>
            <w:tcW w:w="1492" w:type="dxa"/>
            <w:vAlign w:val="center"/>
          </w:tcPr>
          <w:p>
            <w:pPr>
              <w:widowControl w:val="0"/>
              <w:jc w:val="left"/>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无质量问题</w:t>
            </w:r>
          </w:p>
        </w:tc>
        <w:tc>
          <w:tcPr>
            <w:tcW w:w="930" w:type="dxa"/>
            <w:vMerge w:val="continue"/>
            <w:vAlign w:val="center"/>
          </w:tcPr>
          <w:p>
            <w:pPr>
              <w:widowControl w:val="0"/>
              <w:jc w:val="left"/>
              <w:rPr>
                <w:rFonts w:hint="default" w:ascii="仿宋_GB2312" w:hAnsi="仿宋_GB2312" w:cs="仿宋_GB2312"/>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349" w:type="dxa"/>
            <w:vMerge w:val="continue"/>
            <w:vAlign w:val="center"/>
          </w:tcPr>
          <w:p>
            <w:pPr>
              <w:widowControl w:val="0"/>
              <w:jc w:val="left"/>
              <w:rPr>
                <w:rFonts w:hint="default" w:ascii="仿宋_GB2312" w:hAnsi="仿宋_GB2312" w:cs="仿宋_GB2312"/>
                <w:sz w:val="22"/>
                <w:szCs w:val="22"/>
                <w:lang w:val="en-US" w:eastAsia="zh-CN"/>
              </w:rPr>
            </w:pPr>
          </w:p>
        </w:tc>
        <w:tc>
          <w:tcPr>
            <w:tcW w:w="3472" w:type="dxa"/>
          </w:tcPr>
          <w:p>
            <w:pPr>
              <w:widowControl w:val="0"/>
              <w:numPr>
                <w:ilvl w:val="0"/>
                <w:numId w:val="0"/>
              </w:numPr>
              <w:jc w:val="left"/>
              <w:rPr>
                <w:rFonts w:hint="default" w:ascii="仿宋_GB2312" w:hAnsi="仿宋_GB2312" w:cs="仿宋_GB2312"/>
                <w:sz w:val="22"/>
                <w:szCs w:val="22"/>
                <w:lang w:val="en-US" w:eastAsia="zh-CN"/>
              </w:rPr>
            </w:pPr>
            <w:r>
              <w:rPr>
                <w:rFonts w:hint="default" w:ascii="仿宋_GB2312" w:hAnsi="仿宋_GB2312" w:cs="仿宋_GB2312"/>
                <w:sz w:val="22"/>
                <w:szCs w:val="22"/>
                <w:lang w:val="en-US" w:eastAsia="zh-CN"/>
              </w:rPr>
              <w:t>（C25）工资</w:t>
            </w:r>
            <w:r>
              <w:rPr>
                <w:rFonts w:hint="eastAsia" w:ascii="仿宋_GB2312" w:hAnsi="仿宋_GB2312" w:cs="仿宋_GB2312"/>
                <w:sz w:val="22"/>
                <w:szCs w:val="22"/>
                <w:lang w:val="en-US" w:eastAsia="zh-CN"/>
              </w:rPr>
              <w:t>一次</w:t>
            </w:r>
            <w:r>
              <w:rPr>
                <w:rFonts w:hint="default" w:ascii="仿宋_GB2312" w:hAnsi="仿宋_GB2312" w:cs="仿宋_GB2312"/>
                <w:sz w:val="22"/>
                <w:szCs w:val="22"/>
                <w:lang w:val="en-US" w:eastAsia="zh-CN"/>
              </w:rPr>
              <w:t>发放准确率</w:t>
            </w:r>
          </w:p>
        </w:tc>
        <w:tc>
          <w:tcPr>
            <w:tcW w:w="989" w:type="dxa"/>
            <w:vMerge w:val="continue"/>
            <w:vAlign w:val="center"/>
          </w:tcPr>
          <w:p>
            <w:pPr>
              <w:widowControl w:val="0"/>
              <w:jc w:val="left"/>
              <w:rPr>
                <w:rFonts w:hint="default" w:ascii="仿宋_GB2312" w:hAnsi="仿宋_GB2312" w:cs="仿宋_GB2312"/>
                <w:sz w:val="22"/>
                <w:szCs w:val="22"/>
                <w:lang w:val="en-US" w:eastAsia="zh-CN"/>
              </w:rPr>
            </w:pPr>
          </w:p>
        </w:tc>
        <w:tc>
          <w:tcPr>
            <w:tcW w:w="1492" w:type="dxa"/>
            <w:vAlign w:val="center"/>
          </w:tcPr>
          <w:p>
            <w:pPr>
              <w:widowControl w:val="0"/>
              <w:jc w:val="center"/>
              <w:rPr>
                <w:rFonts w:hint="default" w:ascii="仿宋_GB2312" w:hAnsi="仿宋_GB2312" w:cs="仿宋_GB2312"/>
                <w:sz w:val="22"/>
                <w:szCs w:val="22"/>
                <w:lang w:val="en-US" w:eastAsia="zh-CN"/>
              </w:rPr>
            </w:pPr>
            <w:r>
              <w:rPr>
                <w:rFonts w:hint="default" w:ascii="仿宋_GB2312" w:hAnsi="仿宋_GB2312" w:cs="仿宋_GB2312"/>
                <w:sz w:val="22"/>
                <w:szCs w:val="22"/>
                <w:lang w:val="en-US" w:eastAsia="zh-CN"/>
              </w:rPr>
              <w:t>＜100</w:t>
            </w:r>
            <w:r>
              <w:rPr>
                <w:rFonts w:hint="eastAsia" w:ascii="仿宋_GB2312" w:hAnsi="仿宋_GB2312" w:cs="仿宋_GB2312"/>
                <w:sz w:val="22"/>
                <w:szCs w:val="22"/>
                <w:lang w:val="en-US" w:eastAsia="zh-CN"/>
              </w:rPr>
              <w:t>%</w:t>
            </w:r>
          </w:p>
        </w:tc>
        <w:tc>
          <w:tcPr>
            <w:tcW w:w="930" w:type="dxa"/>
            <w:vMerge w:val="continue"/>
            <w:vAlign w:val="center"/>
          </w:tcPr>
          <w:p>
            <w:pPr>
              <w:widowControl w:val="0"/>
              <w:jc w:val="left"/>
              <w:rPr>
                <w:rFonts w:hint="default" w:ascii="仿宋_GB2312" w:hAnsi="仿宋_GB2312" w:cs="仿宋_GB2312"/>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349" w:type="dxa"/>
            <w:vMerge w:val="restart"/>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（C3）产出时效</w:t>
            </w:r>
          </w:p>
        </w:tc>
        <w:tc>
          <w:tcPr>
            <w:tcW w:w="3472" w:type="dxa"/>
          </w:tcPr>
          <w:p>
            <w:pPr>
              <w:widowControl w:val="0"/>
              <w:numPr>
                <w:ilvl w:val="0"/>
                <w:numId w:val="0"/>
              </w:numPr>
              <w:jc w:val="left"/>
              <w:rPr>
                <w:rFonts w:hint="default" w:ascii="仿宋_GB2312" w:hAnsi="仿宋_GB2312" w:cs="仿宋_GB2312"/>
                <w:sz w:val="22"/>
                <w:szCs w:val="22"/>
                <w:lang w:val="en-US" w:eastAsia="zh-CN"/>
              </w:rPr>
            </w:pPr>
            <w:r>
              <w:rPr>
                <w:rFonts w:hint="default" w:ascii="仿宋_GB2312" w:hAnsi="仿宋_GB2312" w:cs="仿宋_GB2312"/>
                <w:sz w:val="22"/>
                <w:szCs w:val="22"/>
                <w:lang w:val="en-US" w:eastAsia="zh-CN"/>
              </w:rPr>
              <w:t>（C31）采购活动一次完成</w:t>
            </w:r>
            <w:r>
              <w:rPr>
                <w:rFonts w:hint="eastAsia" w:ascii="仿宋_GB2312" w:hAnsi="仿宋_GB2312" w:cs="仿宋_GB2312"/>
                <w:sz w:val="22"/>
                <w:szCs w:val="22"/>
                <w:lang w:val="en-US" w:eastAsia="zh-CN"/>
              </w:rPr>
              <w:t>情况</w:t>
            </w:r>
          </w:p>
        </w:tc>
        <w:tc>
          <w:tcPr>
            <w:tcW w:w="989" w:type="dxa"/>
            <w:vMerge w:val="restart"/>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12.5</w:t>
            </w:r>
          </w:p>
        </w:tc>
        <w:tc>
          <w:tcPr>
            <w:tcW w:w="1492" w:type="dxa"/>
            <w:vAlign w:val="center"/>
          </w:tcPr>
          <w:p>
            <w:pPr>
              <w:widowControl w:val="0"/>
              <w:numPr>
                <w:ilvl w:val="0"/>
                <w:numId w:val="0"/>
              </w:numPr>
              <w:jc w:val="center"/>
              <w:rPr>
                <w:rFonts w:hint="eastAsia" w:ascii="仿宋_GB2312" w:hAnsi="仿宋_GB2312" w:cs="仿宋_GB2312"/>
                <w:sz w:val="22"/>
                <w:szCs w:val="22"/>
                <w:lang w:val="en-US" w:eastAsia="zh-CN"/>
              </w:rPr>
            </w:pPr>
            <w:r>
              <w:rPr>
                <w:rFonts w:hint="eastAsia" w:ascii="仿宋_GB2312" w:hAnsi="仿宋_GB2312" w:cs="仿宋_GB2312"/>
                <w:sz w:val="22"/>
                <w:szCs w:val="22"/>
                <w:lang w:val="en-US" w:eastAsia="zh-CN"/>
              </w:rPr>
              <w:t>一次完成</w:t>
            </w:r>
          </w:p>
        </w:tc>
        <w:tc>
          <w:tcPr>
            <w:tcW w:w="930" w:type="dxa"/>
            <w:vMerge w:val="restart"/>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349" w:type="dxa"/>
            <w:vMerge w:val="continue"/>
            <w:vAlign w:val="center"/>
          </w:tcPr>
          <w:p>
            <w:pPr>
              <w:widowControl w:val="0"/>
              <w:jc w:val="left"/>
              <w:rPr>
                <w:sz w:val="22"/>
                <w:szCs w:val="22"/>
              </w:rPr>
            </w:pPr>
          </w:p>
        </w:tc>
        <w:tc>
          <w:tcPr>
            <w:tcW w:w="3472" w:type="dxa"/>
          </w:tcPr>
          <w:p>
            <w:pPr>
              <w:widowControl w:val="0"/>
              <w:numPr>
                <w:ilvl w:val="0"/>
                <w:numId w:val="0"/>
              </w:numPr>
              <w:jc w:val="left"/>
              <w:rPr>
                <w:rFonts w:hint="default" w:ascii="仿宋_GB2312" w:hAnsi="仿宋_GB2312" w:cs="仿宋_GB2312"/>
                <w:sz w:val="22"/>
                <w:szCs w:val="22"/>
                <w:lang w:val="en-US" w:eastAsia="zh-CN"/>
              </w:rPr>
            </w:pPr>
            <w:r>
              <w:rPr>
                <w:rFonts w:hint="default" w:ascii="仿宋_GB2312" w:hAnsi="仿宋_GB2312" w:cs="仿宋_GB2312"/>
                <w:sz w:val="22"/>
                <w:szCs w:val="22"/>
                <w:lang w:val="en-US" w:eastAsia="zh-CN"/>
              </w:rPr>
              <w:t>（C32）采购活动</w:t>
            </w:r>
            <w:r>
              <w:rPr>
                <w:rFonts w:hint="eastAsia" w:ascii="仿宋_GB2312" w:hAnsi="仿宋_GB2312" w:cs="仿宋_GB2312"/>
                <w:sz w:val="22"/>
                <w:szCs w:val="22"/>
                <w:lang w:val="en-US" w:eastAsia="zh-CN"/>
              </w:rPr>
              <w:t>答疑时效</w:t>
            </w:r>
          </w:p>
        </w:tc>
        <w:tc>
          <w:tcPr>
            <w:tcW w:w="989" w:type="dxa"/>
            <w:vMerge w:val="continue"/>
            <w:vAlign w:val="center"/>
          </w:tcPr>
          <w:p>
            <w:pPr>
              <w:widowControl w:val="0"/>
              <w:jc w:val="left"/>
              <w:rPr>
                <w:rFonts w:hint="default" w:ascii="仿宋_GB2312" w:hAnsi="仿宋_GB2312" w:cs="仿宋_GB2312"/>
                <w:sz w:val="22"/>
                <w:szCs w:val="22"/>
                <w:lang w:val="en-US" w:eastAsia="zh-CN"/>
              </w:rPr>
            </w:pPr>
          </w:p>
        </w:tc>
        <w:tc>
          <w:tcPr>
            <w:tcW w:w="1492" w:type="dxa"/>
            <w:vAlign w:val="center"/>
          </w:tcPr>
          <w:p>
            <w:pPr>
              <w:widowControl w:val="0"/>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无质疑</w:t>
            </w:r>
          </w:p>
        </w:tc>
        <w:tc>
          <w:tcPr>
            <w:tcW w:w="930" w:type="dxa"/>
            <w:vMerge w:val="continue"/>
            <w:vAlign w:val="center"/>
          </w:tcPr>
          <w:p>
            <w:pPr>
              <w:widowControl w:val="0"/>
              <w:jc w:val="left"/>
              <w:rPr>
                <w:rFonts w:hint="default" w:ascii="仿宋_GB2312" w:hAnsi="仿宋_GB2312" w:cs="仿宋_GB2312"/>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349" w:type="dxa"/>
            <w:vMerge w:val="continue"/>
            <w:vAlign w:val="center"/>
          </w:tcPr>
          <w:p>
            <w:pPr>
              <w:widowControl w:val="0"/>
              <w:jc w:val="left"/>
              <w:rPr>
                <w:rFonts w:hint="default" w:ascii="仿宋_GB2312" w:hAnsi="仿宋_GB2312" w:cs="仿宋_GB2312"/>
                <w:sz w:val="22"/>
                <w:szCs w:val="22"/>
                <w:lang w:val="en-US" w:eastAsia="zh-CN"/>
              </w:rPr>
            </w:pPr>
          </w:p>
        </w:tc>
        <w:tc>
          <w:tcPr>
            <w:tcW w:w="3472" w:type="dxa"/>
          </w:tcPr>
          <w:p>
            <w:pPr>
              <w:widowControl w:val="0"/>
              <w:numPr>
                <w:ilvl w:val="0"/>
                <w:numId w:val="0"/>
              </w:numPr>
              <w:jc w:val="left"/>
              <w:rPr>
                <w:rFonts w:hint="default" w:ascii="仿宋_GB2312" w:hAnsi="仿宋_GB2312" w:cs="仿宋_GB2312"/>
                <w:sz w:val="22"/>
                <w:szCs w:val="22"/>
                <w:lang w:val="en-US" w:eastAsia="zh-CN"/>
              </w:rPr>
            </w:pPr>
            <w:r>
              <w:rPr>
                <w:rFonts w:hint="default" w:ascii="仿宋_GB2312" w:hAnsi="仿宋_GB2312" w:cs="仿宋_GB2312"/>
                <w:sz w:val="22"/>
                <w:szCs w:val="22"/>
                <w:lang w:val="en-US" w:eastAsia="zh-CN"/>
              </w:rPr>
              <w:t>（C33）确定中标</w:t>
            </w:r>
            <w:r>
              <w:rPr>
                <w:rFonts w:hint="eastAsia" w:ascii="仿宋_GB2312" w:hAnsi="仿宋_GB2312" w:cs="仿宋_GB2312"/>
                <w:sz w:val="22"/>
                <w:szCs w:val="22"/>
                <w:lang w:val="en-US" w:eastAsia="zh-CN"/>
              </w:rPr>
              <w:t>时效</w:t>
            </w:r>
          </w:p>
        </w:tc>
        <w:tc>
          <w:tcPr>
            <w:tcW w:w="989" w:type="dxa"/>
            <w:vMerge w:val="continue"/>
            <w:vAlign w:val="center"/>
          </w:tcPr>
          <w:p>
            <w:pPr>
              <w:widowControl w:val="0"/>
              <w:jc w:val="left"/>
              <w:rPr>
                <w:rFonts w:hint="default" w:ascii="仿宋_GB2312" w:hAnsi="仿宋_GB2312" w:cs="仿宋_GB2312"/>
                <w:sz w:val="22"/>
                <w:szCs w:val="22"/>
                <w:lang w:val="en-US" w:eastAsia="zh-CN"/>
              </w:rPr>
            </w:pPr>
          </w:p>
        </w:tc>
        <w:tc>
          <w:tcPr>
            <w:tcW w:w="1492" w:type="dxa"/>
            <w:vAlign w:val="center"/>
          </w:tcPr>
          <w:p>
            <w:pPr>
              <w:widowControl w:val="0"/>
              <w:jc w:val="left"/>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规定时间内</w:t>
            </w:r>
          </w:p>
        </w:tc>
        <w:tc>
          <w:tcPr>
            <w:tcW w:w="930" w:type="dxa"/>
            <w:vMerge w:val="continue"/>
            <w:vAlign w:val="center"/>
          </w:tcPr>
          <w:p>
            <w:pPr>
              <w:widowControl w:val="0"/>
              <w:jc w:val="left"/>
              <w:rPr>
                <w:rFonts w:hint="default" w:ascii="仿宋_GB2312" w:hAnsi="仿宋_GB2312" w:cs="仿宋_GB2312"/>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349" w:type="dxa"/>
            <w:vMerge w:val="continue"/>
            <w:vAlign w:val="center"/>
          </w:tcPr>
          <w:p>
            <w:pPr>
              <w:widowControl w:val="0"/>
              <w:jc w:val="left"/>
              <w:rPr>
                <w:rFonts w:hint="default" w:ascii="仿宋_GB2312" w:hAnsi="仿宋_GB2312" w:cs="仿宋_GB2312"/>
                <w:sz w:val="22"/>
                <w:szCs w:val="22"/>
                <w:lang w:val="en-US" w:eastAsia="zh-CN"/>
              </w:rPr>
            </w:pPr>
          </w:p>
        </w:tc>
        <w:tc>
          <w:tcPr>
            <w:tcW w:w="3472" w:type="dxa"/>
          </w:tcPr>
          <w:p>
            <w:pPr>
              <w:widowControl w:val="0"/>
              <w:numPr>
                <w:ilvl w:val="0"/>
                <w:numId w:val="0"/>
              </w:numPr>
              <w:jc w:val="left"/>
              <w:rPr>
                <w:rFonts w:hint="default" w:ascii="仿宋_GB2312" w:hAnsi="仿宋_GB2312" w:cs="仿宋_GB2312"/>
                <w:sz w:val="22"/>
                <w:szCs w:val="22"/>
                <w:lang w:val="en-US" w:eastAsia="zh-CN"/>
              </w:rPr>
            </w:pPr>
            <w:r>
              <w:rPr>
                <w:rFonts w:hint="default" w:ascii="仿宋_GB2312" w:hAnsi="仿宋_GB2312" w:cs="仿宋_GB2312"/>
                <w:sz w:val="22"/>
                <w:szCs w:val="22"/>
                <w:lang w:val="en-US" w:eastAsia="zh-CN"/>
              </w:rPr>
              <w:t>（C34）签订合同</w:t>
            </w:r>
            <w:r>
              <w:rPr>
                <w:rFonts w:hint="eastAsia" w:ascii="仿宋_GB2312" w:hAnsi="仿宋_GB2312" w:cs="仿宋_GB2312"/>
                <w:sz w:val="22"/>
                <w:szCs w:val="22"/>
                <w:lang w:val="en-US" w:eastAsia="zh-CN"/>
              </w:rPr>
              <w:t>时效</w:t>
            </w:r>
          </w:p>
        </w:tc>
        <w:tc>
          <w:tcPr>
            <w:tcW w:w="989" w:type="dxa"/>
            <w:vMerge w:val="continue"/>
            <w:vAlign w:val="center"/>
          </w:tcPr>
          <w:p>
            <w:pPr>
              <w:widowControl w:val="0"/>
              <w:jc w:val="left"/>
              <w:rPr>
                <w:rFonts w:hint="default" w:ascii="仿宋_GB2312" w:hAnsi="仿宋_GB2312" w:cs="仿宋_GB2312"/>
                <w:sz w:val="22"/>
                <w:szCs w:val="22"/>
                <w:lang w:val="en-US" w:eastAsia="zh-CN"/>
              </w:rPr>
            </w:pPr>
          </w:p>
        </w:tc>
        <w:tc>
          <w:tcPr>
            <w:tcW w:w="1492" w:type="dxa"/>
            <w:vAlign w:val="center"/>
          </w:tcPr>
          <w:p>
            <w:pPr>
              <w:widowControl w:val="0"/>
              <w:jc w:val="left"/>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规定时间内</w:t>
            </w:r>
          </w:p>
        </w:tc>
        <w:tc>
          <w:tcPr>
            <w:tcW w:w="930" w:type="dxa"/>
            <w:vMerge w:val="continue"/>
            <w:vAlign w:val="center"/>
          </w:tcPr>
          <w:p>
            <w:pPr>
              <w:widowControl w:val="0"/>
              <w:jc w:val="left"/>
              <w:rPr>
                <w:rFonts w:hint="default" w:ascii="仿宋_GB2312" w:hAnsi="仿宋_GB2312" w:cs="仿宋_GB2312"/>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349" w:type="dxa"/>
            <w:vMerge w:val="continue"/>
            <w:vAlign w:val="center"/>
          </w:tcPr>
          <w:p>
            <w:pPr>
              <w:widowControl w:val="0"/>
              <w:jc w:val="left"/>
              <w:rPr>
                <w:rFonts w:hint="default" w:ascii="仿宋_GB2312" w:hAnsi="仿宋_GB2312" w:cs="仿宋_GB2312"/>
                <w:sz w:val="22"/>
                <w:szCs w:val="22"/>
                <w:lang w:val="en-US" w:eastAsia="zh-CN"/>
              </w:rPr>
            </w:pPr>
          </w:p>
        </w:tc>
        <w:tc>
          <w:tcPr>
            <w:tcW w:w="3472" w:type="dxa"/>
          </w:tcPr>
          <w:p>
            <w:pPr>
              <w:widowControl w:val="0"/>
              <w:numPr>
                <w:ilvl w:val="0"/>
                <w:numId w:val="0"/>
              </w:numPr>
              <w:jc w:val="left"/>
              <w:rPr>
                <w:rFonts w:hint="default" w:ascii="仿宋_GB2312" w:hAnsi="仿宋_GB2312" w:cs="仿宋_GB2312"/>
                <w:sz w:val="22"/>
                <w:szCs w:val="22"/>
                <w:lang w:val="en-US" w:eastAsia="zh-CN"/>
              </w:rPr>
            </w:pPr>
            <w:r>
              <w:rPr>
                <w:rFonts w:hint="default" w:ascii="仿宋_GB2312" w:hAnsi="仿宋_GB2312" w:cs="仿宋_GB2312"/>
                <w:sz w:val="22"/>
                <w:szCs w:val="22"/>
                <w:lang w:val="en-US" w:eastAsia="zh-CN"/>
              </w:rPr>
              <w:t>（C35）工资发放及时率</w:t>
            </w:r>
          </w:p>
        </w:tc>
        <w:tc>
          <w:tcPr>
            <w:tcW w:w="989" w:type="dxa"/>
            <w:vMerge w:val="continue"/>
            <w:vAlign w:val="center"/>
          </w:tcPr>
          <w:p>
            <w:pPr>
              <w:widowControl w:val="0"/>
              <w:jc w:val="left"/>
              <w:rPr>
                <w:rFonts w:hint="default" w:ascii="仿宋_GB2312" w:hAnsi="仿宋_GB2312" w:cs="仿宋_GB2312"/>
                <w:sz w:val="22"/>
                <w:szCs w:val="22"/>
                <w:lang w:val="en-US" w:eastAsia="zh-CN"/>
              </w:rPr>
            </w:pPr>
          </w:p>
        </w:tc>
        <w:tc>
          <w:tcPr>
            <w:tcW w:w="1492" w:type="dxa"/>
            <w:vAlign w:val="center"/>
          </w:tcPr>
          <w:p>
            <w:pPr>
              <w:widowControl w:val="0"/>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及时</w:t>
            </w:r>
          </w:p>
        </w:tc>
        <w:tc>
          <w:tcPr>
            <w:tcW w:w="930" w:type="dxa"/>
            <w:vMerge w:val="continue"/>
            <w:vAlign w:val="center"/>
          </w:tcPr>
          <w:p>
            <w:pPr>
              <w:widowControl w:val="0"/>
              <w:jc w:val="left"/>
              <w:rPr>
                <w:rFonts w:hint="default" w:ascii="仿宋_GB2312" w:hAnsi="仿宋_GB2312" w:cs="仿宋_GB2312"/>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349" w:type="dxa"/>
            <w:vMerge w:val="restart"/>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（C4）产出成本</w:t>
            </w:r>
          </w:p>
        </w:tc>
        <w:tc>
          <w:tcPr>
            <w:tcW w:w="3472" w:type="dxa"/>
            <w:vAlign w:val="center"/>
          </w:tcPr>
          <w:p>
            <w:pPr>
              <w:widowControl w:val="0"/>
              <w:numPr>
                <w:ilvl w:val="0"/>
                <w:numId w:val="0"/>
              </w:numPr>
              <w:jc w:val="both"/>
              <w:rPr>
                <w:rFonts w:hint="default" w:ascii="仿宋_GB2312" w:hAnsi="仿宋_GB2312" w:cs="仿宋_GB2312"/>
                <w:sz w:val="22"/>
                <w:szCs w:val="22"/>
                <w:lang w:val="en-US" w:eastAsia="zh-CN"/>
              </w:rPr>
            </w:pPr>
            <w:r>
              <w:rPr>
                <w:rFonts w:hint="default" w:ascii="仿宋_GB2312" w:hAnsi="仿宋_GB2312" w:cs="仿宋_GB2312"/>
                <w:sz w:val="22"/>
                <w:szCs w:val="22"/>
                <w:lang w:val="en-US" w:eastAsia="zh-CN"/>
              </w:rPr>
              <w:t>（C41）采购成本节约率</w:t>
            </w:r>
          </w:p>
        </w:tc>
        <w:tc>
          <w:tcPr>
            <w:tcW w:w="989" w:type="dxa"/>
            <w:vMerge w:val="restart"/>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5</w:t>
            </w:r>
          </w:p>
        </w:tc>
        <w:tc>
          <w:tcPr>
            <w:tcW w:w="1492" w:type="dxa"/>
            <w:vAlign w:val="top"/>
          </w:tcPr>
          <w:p>
            <w:pPr>
              <w:widowControl w:val="0"/>
              <w:numPr>
                <w:ilvl w:val="0"/>
                <w:numId w:val="0"/>
              </w:numPr>
              <w:ind w:firstLine="440" w:firstLineChars="200"/>
              <w:jc w:val="both"/>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＜10%</w:t>
            </w:r>
          </w:p>
        </w:tc>
        <w:tc>
          <w:tcPr>
            <w:tcW w:w="930" w:type="dxa"/>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49" w:type="dxa"/>
            <w:vMerge w:val="continue"/>
          </w:tcPr>
          <w:p>
            <w:pPr>
              <w:widowControl w:val="0"/>
              <w:numPr>
                <w:ilvl w:val="0"/>
                <w:numId w:val="0"/>
              </w:numPr>
              <w:jc w:val="center"/>
              <w:rPr>
                <w:rFonts w:hint="default" w:ascii="仿宋_GB2312" w:hAnsi="仿宋_GB2312" w:cs="仿宋_GB2312"/>
                <w:sz w:val="22"/>
                <w:szCs w:val="22"/>
                <w:lang w:val="en-US" w:eastAsia="zh-CN"/>
              </w:rPr>
            </w:pPr>
          </w:p>
        </w:tc>
        <w:tc>
          <w:tcPr>
            <w:tcW w:w="3472" w:type="dxa"/>
          </w:tcPr>
          <w:p>
            <w:pPr>
              <w:widowControl w:val="0"/>
              <w:numPr>
                <w:ilvl w:val="0"/>
                <w:numId w:val="0"/>
              </w:numPr>
              <w:jc w:val="left"/>
              <w:rPr>
                <w:rFonts w:hint="eastAsia" w:ascii="仿宋_GB2312" w:hAnsi="仿宋_GB2312" w:cs="仿宋_GB2312"/>
                <w:sz w:val="22"/>
                <w:szCs w:val="22"/>
                <w:lang w:val="en-US" w:eastAsia="zh-CN"/>
              </w:rPr>
            </w:pPr>
            <w:r>
              <w:rPr>
                <w:rFonts w:hint="eastAsia" w:ascii="仿宋_GB2312" w:hAnsi="仿宋_GB2312" w:cs="仿宋_GB2312"/>
                <w:sz w:val="22"/>
                <w:szCs w:val="22"/>
                <w:lang w:val="en-US" w:eastAsia="zh-CN"/>
              </w:rPr>
              <w:t xml:space="preserve">（C42）工资预算超支率 </w:t>
            </w:r>
          </w:p>
        </w:tc>
        <w:tc>
          <w:tcPr>
            <w:tcW w:w="989" w:type="dxa"/>
            <w:vMerge w:val="continue"/>
            <w:vAlign w:val="center"/>
          </w:tcPr>
          <w:p>
            <w:pPr>
              <w:widowControl w:val="0"/>
              <w:numPr>
                <w:ilvl w:val="0"/>
                <w:numId w:val="0"/>
              </w:numPr>
              <w:jc w:val="center"/>
              <w:rPr>
                <w:rFonts w:hint="default" w:ascii="仿宋_GB2312" w:hAnsi="仿宋_GB2312" w:cs="仿宋_GB2312"/>
                <w:sz w:val="22"/>
                <w:szCs w:val="22"/>
                <w:lang w:val="en-US" w:eastAsia="zh-CN"/>
              </w:rPr>
            </w:pPr>
          </w:p>
        </w:tc>
        <w:tc>
          <w:tcPr>
            <w:tcW w:w="1492" w:type="dxa"/>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0%</w:t>
            </w:r>
          </w:p>
        </w:tc>
        <w:tc>
          <w:tcPr>
            <w:tcW w:w="930" w:type="dxa"/>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1" w:type="dxa"/>
            <w:gridSpan w:val="2"/>
          </w:tcPr>
          <w:p>
            <w:pPr>
              <w:widowControl w:val="0"/>
              <w:numPr>
                <w:ilvl w:val="0"/>
                <w:numId w:val="0"/>
              </w:numPr>
              <w:jc w:val="center"/>
              <w:rPr>
                <w:rFonts w:hint="eastAsia" w:ascii="仿宋_GB2312" w:hAnsi="仿宋_GB2312" w:cs="仿宋_GB2312"/>
                <w:sz w:val="22"/>
                <w:szCs w:val="22"/>
                <w:lang w:val="en-US" w:eastAsia="zh-CN"/>
              </w:rPr>
            </w:pPr>
            <w:r>
              <w:rPr>
                <w:rFonts w:hint="eastAsia" w:ascii="仿宋_GB2312" w:hAnsi="仿宋_GB2312" w:cs="仿宋_GB2312"/>
                <w:sz w:val="22"/>
                <w:szCs w:val="22"/>
                <w:lang w:val="en-US" w:eastAsia="zh-CN"/>
              </w:rPr>
              <w:t>小 计</w:t>
            </w:r>
          </w:p>
        </w:tc>
        <w:tc>
          <w:tcPr>
            <w:tcW w:w="989" w:type="dxa"/>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35</w:t>
            </w:r>
          </w:p>
        </w:tc>
        <w:tc>
          <w:tcPr>
            <w:tcW w:w="1492" w:type="dxa"/>
            <w:vAlign w:val="center"/>
          </w:tcPr>
          <w:p>
            <w:pPr>
              <w:widowControl w:val="0"/>
              <w:numPr>
                <w:ilvl w:val="0"/>
                <w:numId w:val="0"/>
              </w:numPr>
              <w:jc w:val="center"/>
              <w:rPr>
                <w:rFonts w:hint="eastAsia" w:ascii="仿宋_GB2312" w:hAnsi="仿宋_GB2312" w:cs="仿宋_GB2312"/>
                <w:sz w:val="22"/>
                <w:szCs w:val="22"/>
                <w:lang w:val="en-US" w:eastAsia="zh-CN"/>
              </w:rPr>
            </w:pPr>
          </w:p>
        </w:tc>
        <w:tc>
          <w:tcPr>
            <w:tcW w:w="930" w:type="dxa"/>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30</w:t>
            </w:r>
          </w:p>
        </w:tc>
      </w:tr>
    </w:tbl>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（C11）解决属地调整教师工资发放人数 权重2.5分，得2.5分</w:t>
      </w: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依据《漯河市调整漯河经济技术开发区属地管理范围工作领导小组 关于明确调整漯河经济技术开发区属地管理范围工作有关事项的通知》经开属领〔2021〕3号，邓襄镇中心学校从2021年11月份划转到漯河经济技术开发区，并根据社会事业中心提供的邓襄镇中心学校工资明细表及批量代发代扣明细清单，截至2022年12月31日解决属地调整教师工资发放人数≥100人。因此，根据指标评分标准，该指标得分2.5分。</w:t>
      </w: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（C12）购置教学设施设备总数 权重2.5分，得2.5分</w:t>
      </w: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根据社会事业服务中心提供漯河经济技术开发区实验中学采购设备资料及验收资料，采购教学设备及教学设施总数≥50台。因此，根据指标评分标准，该指标得分2.5分。</w:t>
      </w: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（C21）采购产品合格率</w:t>
      </w:r>
      <w:r>
        <w:rPr>
          <w:rFonts w:hint="eastAsia" w:ascii="仿宋_GB2312" w:hAnsi="仿宋_GB2312" w:cs="仿宋_GB2312"/>
          <w:sz w:val="32"/>
          <w:szCs w:val="32"/>
          <w:highlight w:val="none"/>
          <w:lang w:val="en-US" w:eastAsia="zh-CN"/>
        </w:rPr>
        <w:t xml:space="preserve"> </w:t>
      </w:r>
      <w:r>
        <w:rPr>
          <w:rFonts w:hint="eastAsia" w:ascii="仿宋_GB2312" w:hAnsi="仿宋_GB2312" w:cs="仿宋_GB2312"/>
          <w:sz w:val="32"/>
          <w:szCs w:val="32"/>
          <w:lang w:val="en-US" w:eastAsia="zh-CN"/>
        </w:rPr>
        <w:t>权重2.5分，得2.5分</w:t>
      </w:r>
    </w:p>
    <w:p>
      <w:pPr>
        <w:numPr>
          <w:ilvl w:val="0"/>
          <w:numId w:val="0"/>
        </w:numPr>
        <w:spacing w:line="580" w:lineRule="exact"/>
        <w:ind w:firstLine="640" w:firstLineChars="200"/>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评价小组查阅采购产品的关键材料、产品质量证明文件、验收文件，结合实地调研，未发现有不合格产品。因此，根据指标评分标准，该指标得分2.5分。</w:t>
      </w: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（C22）采购项目一次验收通过率 权重2.5分，得2.5分</w:t>
      </w:r>
    </w:p>
    <w:p>
      <w:pPr>
        <w:ind w:firstLine="640" w:firstLineChars="200"/>
        <w:rPr>
          <w:rFonts w:hint="eastAsia" w:ascii="仿宋_GB2312" w:hAnsi="仿宋_GB2312" w:cs="仿宋_GB2312"/>
          <w:sz w:val="32"/>
          <w:szCs w:val="32"/>
          <w:lang w:val="en-US" w:eastAsia="zh-CN"/>
        </w:rPr>
      </w:pPr>
      <w:r>
        <w:rPr>
          <w:rFonts w:hint="eastAsia" w:ascii="仿宋" w:hAnsi="仿宋" w:eastAsia="仿宋"/>
          <w:sz w:val="32"/>
          <w:szCs w:val="32"/>
          <w:lang w:eastAsia="zh-CN"/>
        </w:rPr>
        <w:t>评价小组查阅了</w:t>
      </w:r>
      <w:r>
        <w:rPr>
          <w:rFonts w:hint="eastAsia" w:ascii="仿宋" w:hAnsi="仿宋" w:eastAsia="仿宋"/>
          <w:sz w:val="32"/>
          <w:szCs w:val="32"/>
          <w:lang w:val="en-US" w:eastAsia="zh-CN"/>
        </w:rPr>
        <w:t>采购产品</w:t>
      </w:r>
      <w:r>
        <w:rPr>
          <w:rFonts w:hint="eastAsia" w:ascii="仿宋" w:hAnsi="仿宋" w:eastAsia="仿宋"/>
          <w:sz w:val="32"/>
          <w:szCs w:val="32"/>
          <w:lang w:eastAsia="zh-CN"/>
        </w:rPr>
        <w:t>的验收文件，</w:t>
      </w:r>
      <w:r>
        <w:rPr>
          <w:rFonts w:hint="eastAsia" w:ascii="仿宋" w:hAnsi="仿宋" w:eastAsia="仿宋"/>
          <w:sz w:val="32"/>
          <w:szCs w:val="32"/>
          <w:lang w:val="en-US" w:eastAsia="zh-CN"/>
        </w:rPr>
        <w:t>该项目采购产品质量全部一次性验收达标</w:t>
      </w:r>
      <w:r>
        <w:rPr>
          <w:rFonts w:hint="eastAsia" w:ascii="仿宋" w:hAnsi="仿宋" w:eastAsia="仿宋"/>
          <w:sz w:val="32"/>
          <w:szCs w:val="32"/>
        </w:rPr>
        <w:t>。</w:t>
      </w:r>
      <w:r>
        <w:rPr>
          <w:rFonts w:hint="eastAsia" w:ascii="仿宋_GB2312" w:hAnsi="仿宋_GB2312" w:cs="仿宋_GB2312"/>
          <w:sz w:val="32"/>
          <w:szCs w:val="32"/>
          <w:lang w:val="en-US" w:eastAsia="zh-CN"/>
        </w:rPr>
        <w:t>因此，根据指标评分标准，该指标得分2.5分。</w:t>
      </w:r>
    </w:p>
    <w:p>
      <w:pPr>
        <w:pStyle w:val="2"/>
        <w:ind w:left="0" w:leftChars="0"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（C23）采购结果是否真正满足采购需求和达成采购目标 权重2.5分，得2.5分</w:t>
      </w:r>
    </w:p>
    <w:p>
      <w:pPr>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根据社会事业中心提供的漯河经济技术开发区实验中学的招标申请文件，该项目采购结果满足采购需求和达成采购目标。因此，根据指标评分标准，该指标得分2.5分。</w:t>
      </w: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（C24）验收合格后12个月内是否出现质量问题 权重2.5分，得2.5分</w:t>
      </w:r>
    </w:p>
    <w:p>
      <w:pPr>
        <w:ind w:firstLine="640" w:firstLineChars="200"/>
        <w:rPr>
          <w:rFonts w:hint="eastAsia" w:ascii="仿宋_GB2312" w:hAnsi="仿宋_GB2312" w:cs="仿宋_GB2312"/>
          <w:sz w:val="32"/>
          <w:szCs w:val="32"/>
          <w:lang w:val="en-US" w:eastAsia="zh-CN"/>
        </w:rPr>
      </w:pPr>
      <w:r>
        <w:rPr>
          <w:rFonts w:hint="eastAsia" w:ascii="仿宋" w:hAnsi="仿宋" w:eastAsia="仿宋" w:cs="仿宋"/>
          <w:kern w:val="0"/>
          <w:sz w:val="32"/>
          <w:szCs w:val="32"/>
          <w:lang w:val="en-US" w:eastAsia="zh-CN"/>
        </w:rPr>
        <w:t>评价小组进行了实地调研及座谈，没有发现采购产品</w:t>
      </w:r>
      <w:r>
        <w:rPr>
          <w:rFonts w:hint="eastAsia" w:ascii="仿宋_GB2312" w:hAnsi="仿宋_GB2312" w:cs="仿宋_GB2312"/>
          <w:sz w:val="32"/>
          <w:szCs w:val="32"/>
          <w:lang w:val="en-US" w:eastAsia="zh-CN"/>
        </w:rPr>
        <w:t>验收合格后12个月内</w:t>
      </w:r>
      <w:r>
        <w:rPr>
          <w:rFonts w:hint="eastAsia" w:ascii="仿宋" w:hAnsi="仿宋" w:eastAsia="仿宋" w:cs="仿宋"/>
          <w:kern w:val="0"/>
          <w:sz w:val="32"/>
          <w:szCs w:val="32"/>
          <w:lang w:val="en-US" w:eastAsia="zh-CN"/>
        </w:rPr>
        <w:t>出现质量问题。</w:t>
      </w:r>
      <w:r>
        <w:rPr>
          <w:rFonts w:hint="eastAsia" w:ascii="仿宋_GB2312" w:hAnsi="仿宋_GB2312" w:cs="仿宋_GB2312"/>
          <w:sz w:val="32"/>
          <w:szCs w:val="32"/>
          <w:lang w:val="en-US" w:eastAsia="zh-CN"/>
        </w:rPr>
        <w:t>因此，根据指标评分标准，该指标得分2.5分。</w:t>
      </w: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（C25）工资发放准确率 权重2.5分，得0分</w:t>
      </w:r>
    </w:p>
    <w:p>
      <w:pPr>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根据社会事业中心提供的邓襄镇中心学校工资明细表及批量代发代扣明细清单，工资一次发放准确率＜100%。因此，根据指标评分标准，该指标得分0分。</w:t>
      </w:r>
      <w:bookmarkStart w:id="48" w:name="_Toc9040"/>
    </w:p>
    <w:p>
      <w:pPr>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（C31）</w:t>
      </w:r>
      <w:r>
        <w:rPr>
          <w:rFonts w:hint="eastAsia" w:ascii="仿宋" w:hAnsi="仿宋" w:eastAsia="仿宋" w:cs="仿宋"/>
          <w:sz w:val="32"/>
          <w:szCs w:val="32"/>
          <w:lang w:eastAsia="zh-CN"/>
        </w:rPr>
        <w:t>采购活动是否一次完成</w:t>
      </w:r>
      <w:r>
        <w:rPr>
          <w:rFonts w:hint="eastAsia" w:ascii="仿宋_GB2312" w:hAnsi="仿宋_GB2312" w:cs="仿宋_GB2312"/>
          <w:sz w:val="32"/>
          <w:szCs w:val="32"/>
          <w:lang w:val="en-US" w:eastAsia="zh-CN"/>
        </w:rPr>
        <w:t xml:space="preserve"> 权重2.5分，得2.5分</w:t>
      </w:r>
    </w:p>
    <w:p>
      <w:pPr>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评价小组查阅了相关招标汇总资料，以及座谈了解到，该项目采购活动为一次完成，不存在因自身原因导致废标重采或中止的。因此，根据指标评分标准，该指标得分2.5分。</w:t>
      </w:r>
    </w:p>
    <w:p>
      <w:pPr>
        <w:pStyle w:val="2"/>
        <w:ind w:left="0" w:leftChars="0"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（C32）</w:t>
      </w:r>
      <w:r>
        <w:rPr>
          <w:rFonts w:hint="eastAsia" w:ascii="仿宋" w:hAnsi="仿宋" w:eastAsia="仿宋" w:cs="仿宋"/>
          <w:sz w:val="32"/>
          <w:szCs w:val="32"/>
        </w:rPr>
        <w:t>采购活动</w:t>
      </w:r>
      <w:r>
        <w:rPr>
          <w:rFonts w:hint="eastAsia" w:ascii="仿宋" w:hAnsi="仿宋" w:eastAsia="仿宋" w:cs="仿宋"/>
          <w:sz w:val="32"/>
          <w:szCs w:val="32"/>
          <w:lang w:eastAsia="zh-CN"/>
        </w:rPr>
        <w:t>出现质疑后是否在规定时间内作出有效答复</w:t>
      </w:r>
      <w:r>
        <w:rPr>
          <w:rFonts w:hint="eastAsia" w:ascii="仿宋_GB2312" w:hAnsi="仿宋_GB2312" w:cs="仿宋_GB2312"/>
          <w:sz w:val="32"/>
          <w:szCs w:val="32"/>
          <w:lang w:val="en-US" w:eastAsia="zh-CN"/>
        </w:rPr>
        <w:t xml:space="preserve"> 权重2.5分，得2.5分</w:t>
      </w:r>
    </w:p>
    <w:p>
      <w:pPr>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评价小组查阅了相关招标汇总资料，以及座谈了解到，该项目</w:t>
      </w:r>
      <w:r>
        <w:rPr>
          <w:rFonts w:hint="eastAsia" w:ascii="仿宋" w:hAnsi="仿宋" w:eastAsia="仿宋" w:cs="仿宋"/>
          <w:sz w:val="32"/>
          <w:szCs w:val="32"/>
        </w:rPr>
        <w:t>采购活动</w:t>
      </w:r>
      <w:r>
        <w:rPr>
          <w:rFonts w:hint="eastAsia" w:ascii="仿宋" w:hAnsi="仿宋" w:eastAsia="仿宋" w:cs="仿宋"/>
          <w:sz w:val="32"/>
          <w:szCs w:val="32"/>
          <w:lang w:eastAsia="zh-CN"/>
        </w:rPr>
        <w:t>在采购过程中未出现质疑情况。</w:t>
      </w:r>
      <w:r>
        <w:rPr>
          <w:rFonts w:hint="eastAsia" w:ascii="仿宋_GB2312" w:hAnsi="仿宋_GB2312" w:cs="仿宋_GB2312"/>
          <w:sz w:val="32"/>
          <w:szCs w:val="32"/>
          <w:lang w:val="en-US" w:eastAsia="zh-CN"/>
        </w:rPr>
        <w:t>因此，根据指标评分标准，该指标得分2.5分。</w:t>
      </w:r>
    </w:p>
    <w:p>
      <w:pPr>
        <w:pStyle w:val="2"/>
        <w:ind w:left="0" w:leftChars="0"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（C33）</w:t>
      </w:r>
      <w:r>
        <w:rPr>
          <w:rFonts w:hint="eastAsia" w:ascii="仿宋" w:hAnsi="仿宋" w:eastAsia="仿宋" w:cs="仿宋"/>
          <w:sz w:val="32"/>
          <w:szCs w:val="32"/>
          <w:lang w:eastAsia="zh-CN"/>
        </w:rPr>
        <w:t>评审结束后是否在规定时间内确定中标（成交）供应商并发出中标（成交）公告和通知书</w:t>
      </w:r>
      <w:r>
        <w:rPr>
          <w:rFonts w:hint="eastAsia" w:ascii="仿宋_GB2312" w:hAnsi="仿宋_GB2312" w:cs="仿宋_GB2312"/>
          <w:sz w:val="32"/>
          <w:szCs w:val="32"/>
          <w:lang w:val="en-US" w:eastAsia="zh-CN"/>
        </w:rPr>
        <w:t xml:space="preserve"> 权重2.5分，得2.5分</w:t>
      </w:r>
    </w:p>
    <w:p>
      <w:pPr>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评价小组查阅了相关招标汇总资料，并登陆漯河市采购网查询到，评审结束后</w:t>
      </w:r>
      <w:r>
        <w:rPr>
          <w:rFonts w:hint="eastAsia" w:ascii="仿宋" w:hAnsi="仿宋" w:eastAsia="仿宋" w:cs="仿宋"/>
          <w:sz w:val="32"/>
          <w:szCs w:val="32"/>
          <w:lang w:eastAsia="zh-CN"/>
        </w:rPr>
        <w:t>在规定时间内确定中标（成交）供应商并发出中标（成交）公告和通知书。</w:t>
      </w:r>
      <w:r>
        <w:rPr>
          <w:rFonts w:hint="eastAsia" w:ascii="仿宋_GB2312" w:hAnsi="仿宋_GB2312" w:cs="仿宋_GB2312"/>
          <w:sz w:val="32"/>
          <w:szCs w:val="32"/>
          <w:lang w:val="en-US" w:eastAsia="zh-CN"/>
        </w:rPr>
        <w:t>因此，根据指标评分标准，该指标得分2.5分。</w:t>
      </w:r>
    </w:p>
    <w:p>
      <w:pPr>
        <w:pStyle w:val="2"/>
        <w:ind w:left="0" w:leftChars="0" w:firstLine="640" w:firstLineChars="200"/>
        <w:rPr>
          <w:rFonts w:hint="eastAsia" w:ascii="仿宋" w:hAnsi="仿宋" w:eastAsia="仿宋" w:cs="仿宋"/>
          <w:sz w:val="32"/>
          <w:szCs w:val="32"/>
          <w:lang w:eastAsia="zh-CN"/>
        </w:rPr>
      </w:pPr>
      <w:r>
        <w:rPr>
          <w:rFonts w:hint="eastAsia" w:ascii="仿宋_GB2312" w:hAnsi="仿宋_GB2312" w:cs="仿宋_GB2312"/>
          <w:sz w:val="32"/>
          <w:szCs w:val="32"/>
          <w:lang w:val="en-US" w:eastAsia="zh-CN"/>
        </w:rPr>
        <w:t>（C34）</w:t>
      </w:r>
      <w:r>
        <w:rPr>
          <w:rFonts w:hint="eastAsia" w:ascii="仿宋" w:hAnsi="仿宋" w:eastAsia="仿宋" w:cs="仿宋"/>
          <w:sz w:val="32"/>
          <w:szCs w:val="32"/>
          <w:lang w:eastAsia="zh-CN"/>
        </w:rPr>
        <w:t>在中标(成交）通知书发出后是否在规定时间内签订合同并备案</w:t>
      </w:r>
      <w:r>
        <w:rPr>
          <w:rFonts w:hint="eastAsia" w:ascii="仿宋" w:hAnsi="仿宋" w:eastAsia="仿宋" w:cs="仿宋"/>
          <w:sz w:val="32"/>
          <w:szCs w:val="32"/>
          <w:lang w:val="en-US" w:eastAsia="zh-CN"/>
        </w:rPr>
        <w:t xml:space="preserve"> </w:t>
      </w:r>
      <w:r>
        <w:rPr>
          <w:rFonts w:hint="eastAsia" w:ascii="仿宋_GB2312" w:hAnsi="仿宋_GB2312" w:cs="仿宋_GB2312"/>
          <w:sz w:val="32"/>
          <w:szCs w:val="32"/>
          <w:lang w:val="en-US" w:eastAsia="zh-CN"/>
        </w:rPr>
        <w:t>权重2.5分，得2.5分</w:t>
      </w:r>
    </w:p>
    <w:p>
      <w:pPr>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评价小组查阅了相关招标汇总资料及相关合同，在中标(成交）通知书发出后在30日内签订合同并备案。因此，根据指标评分标准，该指标得分2.5分。</w:t>
      </w:r>
    </w:p>
    <w:p>
      <w:pPr>
        <w:pStyle w:val="2"/>
        <w:ind w:left="0" w:leftChars="0" w:firstLine="640" w:firstLineChars="200"/>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（C35）工资发放及时率 权重2.5分，得2.5分</w:t>
      </w:r>
    </w:p>
    <w:p>
      <w:pPr>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根据社会事业中心提供的邓襄镇中心学校工资批量代发代扣明细清单，11月份和12月份均在当月及时发放。因此，根据指标评分标准，该指标得分2.5分。</w:t>
      </w:r>
    </w:p>
    <w:p>
      <w:pPr>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（C41）</w:t>
      </w:r>
      <w:r>
        <w:rPr>
          <w:rFonts w:hint="eastAsia" w:ascii="仿宋_GB2312" w:hAnsi="仿宋_GB2312" w:cs="仿宋_GB2312"/>
          <w:b w:val="0"/>
          <w:bCs w:val="0"/>
          <w:kern w:val="2"/>
          <w:sz w:val="32"/>
          <w:szCs w:val="32"/>
          <w:lang w:val="en-US" w:eastAsia="zh-CN" w:bidi="ar-SA"/>
        </w:rPr>
        <w:t>采购</w:t>
      </w:r>
      <w:r>
        <w:rPr>
          <w:rFonts w:hint="eastAsia" w:ascii="仿宋_GB2312" w:hAnsi="仿宋_GB2312" w:eastAsia="仿宋_GB2312" w:cs="仿宋_GB2312"/>
          <w:b w:val="0"/>
          <w:bCs w:val="0"/>
          <w:kern w:val="2"/>
          <w:sz w:val="32"/>
          <w:szCs w:val="32"/>
          <w:lang w:val="en-US" w:eastAsia="zh-CN" w:bidi="ar-SA"/>
        </w:rPr>
        <w:t>成本节约率</w:t>
      </w:r>
      <w:r>
        <w:rPr>
          <w:rFonts w:hint="eastAsia" w:ascii="仿宋_GB2312" w:hAnsi="仿宋_GB2312" w:cs="仿宋_GB2312"/>
          <w:sz w:val="32"/>
          <w:szCs w:val="32"/>
          <w:lang w:val="en-US" w:eastAsia="zh-CN"/>
        </w:rPr>
        <w:t xml:space="preserve"> 权重2.5分，得0分</w:t>
      </w:r>
    </w:p>
    <w:p>
      <w:pPr>
        <w:ind w:firstLine="640" w:firstLineChars="200"/>
        <w:rPr>
          <w:rFonts w:hint="eastAsia" w:ascii="仿宋_GB2312" w:hAnsi="仿宋_GB2312" w:cs="仿宋_GB2312"/>
          <w:sz w:val="32"/>
          <w:szCs w:val="32"/>
          <w:lang w:val="en-US" w:eastAsia="zh-CN"/>
        </w:rPr>
      </w:pPr>
      <w:r>
        <w:rPr>
          <w:rFonts w:hint="eastAsia" w:ascii="仿宋_GB2312" w:hAnsi="仿宋_GB2312" w:cs="仿宋_GB2312"/>
          <w:b w:val="0"/>
          <w:bCs w:val="0"/>
          <w:kern w:val="2"/>
          <w:sz w:val="32"/>
          <w:szCs w:val="32"/>
          <w:lang w:val="en-US" w:eastAsia="zh-CN" w:bidi="ar-SA"/>
        </w:rPr>
        <w:t>根据社会事业服务中心提供的相关财务资料，漯河经济技术开发区实验中学采购教学设备预算金额236.22万元，与中标单位签订合同金额235.17万元，采购成本节约率</w:t>
      </w:r>
      <w:r>
        <w:rPr>
          <w:rFonts w:hint="eastAsia" w:ascii="仿宋" w:hAnsi="仿宋" w:eastAsia="仿宋" w:cs="仿宋"/>
          <w:b w:val="0"/>
          <w:bCs w:val="0"/>
          <w:kern w:val="2"/>
          <w:sz w:val="32"/>
          <w:szCs w:val="32"/>
          <w:lang w:val="en-US" w:eastAsia="zh-CN" w:bidi="ar-SA"/>
        </w:rPr>
        <w:t>＜</w:t>
      </w:r>
      <w:r>
        <w:rPr>
          <w:rFonts w:hint="eastAsia" w:ascii="仿宋_GB2312" w:hAnsi="仿宋_GB2312" w:cs="仿宋_GB2312"/>
          <w:b w:val="0"/>
          <w:bCs w:val="0"/>
          <w:kern w:val="2"/>
          <w:sz w:val="32"/>
          <w:szCs w:val="32"/>
          <w:lang w:val="en-US" w:eastAsia="zh-CN" w:bidi="ar-SA"/>
        </w:rPr>
        <w:t>10%。</w:t>
      </w:r>
      <w:r>
        <w:rPr>
          <w:rFonts w:hint="eastAsia" w:ascii="仿宋_GB2312" w:hAnsi="仿宋_GB2312" w:cs="仿宋_GB2312"/>
          <w:sz w:val="32"/>
          <w:szCs w:val="32"/>
          <w:lang w:val="en-US" w:eastAsia="zh-CN"/>
        </w:rPr>
        <w:t>因此，根据指标评分标准，该指标得分0分。</w:t>
      </w:r>
    </w:p>
    <w:p>
      <w:pPr>
        <w:pStyle w:val="2"/>
        <w:ind w:left="0" w:leftChars="0"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（C42）</w:t>
      </w:r>
      <w:r>
        <w:rPr>
          <w:rFonts w:hint="eastAsia" w:ascii="仿宋_GB2312" w:hAnsi="仿宋_GB2312" w:cs="仿宋_GB2312"/>
          <w:b w:val="0"/>
          <w:bCs w:val="0"/>
          <w:kern w:val="2"/>
          <w:sz w:val="32"/>
          <w:szCs w:val="32"/>
          <w:lang w:val="en-US" w:eastAsia="zh-CN" w:bidi="ar-SA"/>
        </w:rPr>
        <w:t>工资预算超支率</w:t>
      </w:r>
      <w:r>
        <w:rPr>
          <w:rFonts w:hint="eastAsia" w:ascii="仿宋_GB2312" w:hAnsi="仿宋_GB2312" w:cs="仿宋_GB2312"/>
          <w:sz w:val="32"/>
          <w:szCs w:val="32"/>
          <w:lang w:val="en-US" w:eastAsia="zh-CN"/>
        </w:rPr>
        <w:t xml:space="preserve"> 权重2.5分，得2.5分</w:t>
      </w:r>
    </w:p>
    <w:p>
      <w:pPr>
        <w:pStyle w:val="2"/>
        <w:ind w:left="0" w:leftChars="0" w:firstLine="640" w:firstLineChars="200"/>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根据社会事业中心提供的邓襄镇中心学校工资明细表及批量代发代扣明细清单，未出现超出预算情况，</w:t>
      </w:r>
      <w:r>
        <w:rPr>
          <w:rFonts w:hint="eastAsia" w:ascii="仿宋_GB2312" w:hAnsi="仿宋_GB2312" w:cs="仿宋_GB2312"/>
          <w:b w:val="0"/>
          <w:bCs w:val="0"/>
          <w:kern w:val="2"/>
          <w:sz w:val="32"/>
          <w:szCs w:val="32"/>
          <w:lang w:val="en-US" w:eastAsia="zh-CN" w:bidi="ar-SA"/>
        </w:rPr>
        <w:t>工资预算超支率≤0。</w:t>
      </w:r>
      <w:r>
        <w:rPr>
          <w:rFonts w:hint="eastAsia" w:ascii="仿宋_GB2312" w:hAnsi="仿宋_GB2312" w:cs="仿宋_GB2312"/>
          <w:sz w:val="32"/>
          <w:szCs w:val="32"/>
          <w:lang w:val="en-US" w:eastAsia="zh-CN"/>
        </w:rPr>
        <w:t>因此，根据指标评分标准，该指标得分2.5分。</w:t>
      </w:r>
    </w:p>
    <w:p>
      <w:pPr>
        <w:numPr>
          <w:ilvl w:val="0"/>
          <w:numId w:val="0"/>
        </w:numPr>
        <w:spacing w:line="580" w:lineRule="exact"/>
        <w:ind w:firstLine="643" w:firstLineChars="200"/>
        <w:outlineLvl w:val="1"/>
        <w:rPr>
          <w:rFonts w:hint="eastAsia" w:ascii="楷体" w:hAnsi="楷体" w:eastAsia="楷体" w:cs="楷体"/>
          <w:b/>
          <w:bCs/>
          <w:sz w:val="32"/>
          <w:szCs w:val="32"/>
          <w:lang w:val="en-US" w:eastAsia="zh-CN"/>
        </w:rPr>
      </w:pPr>
      <w:bookmarkStart w:id="49" w:name="_Toc24643"/>
      <w:r>
        <w:rPr>
          <w:rFonts w:hint="eastAsia" w:ascii="楷体" w:hAnsi="楷体" w:eastAsia="楷体" w:cs="楷体"/>
          <w:b/>
          <w:bCs/>
          <w:sz w:val="32"/>
          <w:szCs w:val="32"/>
          <w:lang w:val="en-US" w:eastAsia="zh-CN"/>
        </w:rPr>
        <w:t>（四）项目效益情况</w:t>
      </w:r>
      <w:bookmarkEnd w:id="48"/>
      <w:bookmarkEnd w:id="49"/>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项目效益指标主要由社会效益、生态效益、可持续影响指标、满意度指标4个二级指标，以及8个三级指标构成，权重25分，实际得分21分，得分率84.00%。各指标的业务值和得分详见“表4-4项目效益指标评分结果汇总表”。</w:t>
      </w:r>
    </w:p>
    <w:p>
      <w:pPr>
        <w:numPr>
          <w:ilvl w:val="0"/>
          <w:numId w:val="0"/>
        </w:numPr>
        <w:spacing w:line="580" w:lineRule="exact"/>
        <w:jc w:val="center"/>
        <w:rPr>
          <w:rFonts w:hint="eastAsia" w:ascii="仿宋_GB2312" w:hAnsi="仿宋_GB2312" w:cs="仿宋_GB2312"/>
          <w:sz w:val="32"/>
          <w:szCs w:val="32"/>
          <w:lang w:val="en-US" w:eastAsia="zh-CN"/>
        </w:rPr>
      </w:pPr>
      <w:r>
        <w:rPr>
          <w:rFonts w:hint="eastAsia" w:ascii="仿宋_GB2312" w:hAnsi="仿宋_GB2312" w:cs="仿宋_GB2312"/>
          <w:sz w:val="28"/>
          <w:szCs w:val="28"/>
          <w:lang w:val="en-US" w:eastAsia="zh-CN"/>
        </w:rPr>
        <w:t>表4-4项目效益指标评分结果汇总表</w:t>
      </w:r>
    </w:p>
    <w:tbl>
      <w:tblPr>
        <w:tblStyle w:val="12"/>
        <w:tblW w:w="8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9"/>
        <w:gridCol w:w="3747"/>
        <w:gridCol w:w="810"/>
        <w:gridCol w:w="1423"/>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19" w:type="dxa"/>
            <w:shd w:val="clear" w:color="auto" w:fill="CFCECE" w:themeFill="background2" w:themeFillShade="E5"/>
            <w:vAlign w:val="top"/>
          </w:tcPr>
          <w:p>
            <w:pPr>
              <w:widowControl w:val="0"/>
              <w:numPr>
                <w:ilvl w:val="0"/>
                <w:numId w:val="0"/>
              </w:numPr>
              <w:jc w:val="center"/>
              <w:rPr>
                <w:rFonts w:hint="eastAsia" w:ascii="仿宋_GB2312" w:hAnsi="仿宋_GB2312" w:cs="仿宋_GB2312"/>
                <w:sz w:val="22"/>
                <w:szCs w:val="22"/>
                <w:lang w:val="en-US" w:eastAsia="zh-CN"/>
              </w:rPr>
            </w:pPr>
            <w:r>
              <w:rPr>
                <w:rFonts w:hint="eastAsia" w:ascii="仿宋_GB2312" w:hAnsi="仿宋_GB2312" w:cs="仿宋_GB2312"/>
                <w:sz w:val="22"/>
                <w:szCs w:val="22"/>
                <w:lang w:val="en-US" w:eastAsia="zh-CN"/>
              </w:rPr>
              <w:t>二级指标</w:t>
            </w:r>
          </w:p>
        </w:tc>
        <w:tc>
          <w:tcPr>
            <w:tcW w:w="3747" w:type="dxa"/>
            <w:shd w:val="clear" w:color="auto" w:fill="CFCECE" w:themeFill="background2" w:themeFillShade="E5"/>
            <w:vAlign w:val="top"/>
          </w:tcPr>
          <w:p>
            <w:pPr>
              <w:widowControl w:val="0"/>
              <w:numPr>
                <w:ilvl w:val="0"/>
                <w:numId w:val="0"/>
              </w:numPr>
              <w:jc w:val="center"/>
              <w:rPr>
                <w:rFonts w:hint="eastAsia" w:ascii="仿宋_GB2312" w:hAnsi="仿宋_GB2312" w:cs="仿宋_GB2312"/>
                <w:sz w:val="22"/>
                <w:szCs w:val="22"/>
                <w:lang w:val="en-US" w:eastAsia="zh-CN"/>
              </w:rPr>
            </w:pPr>
            <w:r>
              <w:rPr>
                <w:rFonts w:hint="eastAsia" w:ascii="仿宋_GB2312" w:hAnsi="仿宋_GB2312" w:cs="仿宋_GB2312"/>
                <w:sz w:val="22"/>
                <w:szCs w:val="22"/>
                <w:lang w:val="en-US" w:eastAsia="zh-CN"/>
              </w:rPr>
              <w:t>三级指标</w:t>
            </w:r>
          </w:p>
        </w:tc>
        <w:tc>
          <w:tcPr>
            <w:tcW w:w="810" w:type="dxa"/>
            <w:shd w:val="clear" w:color="auto" w:fill="CFCECE" w:themeFill="background2" w:themeFillShade="E5"/>
            <w:vAlign w:val="top"/>
          </w:tcPr>
          <w:p>
            <w:pPr>
              <w:widowControl w:val="0"/>
              <w:numPr>
                <w:ilvl w:val="0"/>
                <w:numId w:val="0"/>
              </w:numPr>
              <w:jc w:val="center"/>
              <w:rPr>
                <w:rFonts w:hint="eastAsia" w:ascii="仿宋_GB2312" w:hAnsi="仿宋_GB2312" w:cs="仿宋_GB2312"/>
                <w:sz w:val="22"/>
                <w:szCs w:val="22"/>
                <w:lang w:val="en-US" w:eastAsia="zh-CN"/>
              </w:rPr>
            </w:pPr>
            <w:r>
              <w:rPr>
                <w:rFonts w:hint="eastAsia" w:ascii="仿宋_GB2312" w:hAnsi="仿宋_GB2312" w:cs="仿宋_GB2312"/>
                <w:sz w:val="22"/>
                <w:szCs w:val="22"/>
                <w:lang w:val="en-US" w:eastAsia="zh-CN"/>
              </w:rPr>
              <w:t>权重</w:t>
            </w:r>
          </w:p>
        </w:tc>
        <w:tc>
          <w:tcPr>
            <w:tcW w:w="1423" w:type="dxa"/>
            <w:shd w:val="clear" w:color="auto" w:fill="CFCECE" w:themeFill="background2" w:themeFillShade="E5"/>
            <w:vAlign w:val="top"/>
          </w:tcPr>
          <w:p>
            <w:pPr>
              <w:widowControl w:val="0"/>
              <w:numPr>
                <w:ilvl w:val="0"/>
                <w:numId w:val="0"/>
              </w:numPr>
              <w:jc w:val="center"/>
              <w:rPr>
                <w:rFonts w:hint="eastAsia" w:ascii="仿宋_GB2312" w:hAnsi="仿宋_GB2312" w:cs="仿宋_GB2312"/>
                <w:sz w:val="22"/>
                <w:szCs w:val="22"/>
                <w:lang w:val="en-US" w:eastAsia="zh-CN"/>
              </w:rPr>
            </w:pPr>
            <w:r>
              <w:rPr>
                <w:rFonts w:hint="eastAsia" w:ascii="仿宋_GB2312" w:hAnsi="仿宋_GB2312" w:cs="仿宋_GB2312"/>
                <w:sz w:val="22"/>
                <w:szCs w:val="22"/>
                <w:lang w:val="en-US" w:eastAsia="zh-CN"/>
              </w:rPr>
              <w:t>业绩值</w:t>
            </w:r>
          </w:p>
        </w:tc>
        <w:tc>
          <w:tcPr>
            <w:tcW w:w="873" w:type="dxa"/>
            <w:shd w:val="clear" w:color="auto" w:fill="CFCECE" w:themeFill="background2" w:themeFillShade="E5"/>
            <w:vAlign w:val="top"/>
          </w:tcPr>
          <w:p>
            <w:pPr>
              <w:widowControl w:val="0"/>
              <w:numPr>
                <w:ilvl w:val="0"/>
                <w:numId w:val="0"/>
              </w:numPr>
              <w:jc w:val="center"/>
              <w:rPr>
                <w:rFonts w:hint="eastAsia" w:ascii="仿宋_GB2312" w:hAnsi="仿宋_GB2312" w:cs="仿宋_GB2312"/>
                <w:sz w:val="22"/>
                <w:szCs w:val="22"/>
                <w:lang w:val="en-US" w:eastAsia="zh-CN"/>
              </w:rPr>
            </w:pPr>
            <w:r>
              <w:rPr>
                <w:rFonts w:hint="eastAsia" w:ascii="仿宋_GB2312" w:hAnsi="仿宋_GB2312" w:cs="仿宋_GB2312"/>
                <w:sz w:val="22"/>
                <w:szCs w:val="22"/>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019" w:type="dxa"/>
            <w:vMerge w:val="restart"/>
            <w:vAlign w:val="center"/>
          </w:tcPr>
          <w:p>
            <w:pPr>
              <w:widowControl w:val="0"/>
              <w:numPr>
                <w:ilvl w:val="0"/>
                <w:numId w:val="0"/>
              </w:numPr>
              <w:jc w:val="both"/>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（D1）社会效益</w:t>
            </w:r>
          </w:p>
        </w:tc>
        <w:tc>
          <w:tcPr>
            <w:tcW w:w="3747" w:type="dxa"/>
          </w:tcPr>
          <w:p>
            <w:pPr>
              <w:widowControl w:val="0"/>
              <w:numPr>
                <w:ilvl w:val="0"/>
                <w:numId w:val="0"/>
              </w:numPr>
              <w:jc w:val="left"/>
              <w:rPr>
                <w:rFonts w:hint="eastAsia" w:ascii="仿宋_GB2312" w:hAnsi="仿宋_GB2312" w:cs="仿宋_GB2312"/>
                <w:sz w:val="22"/>
                <w:szCs w:val="22"/>
                <w:lang w:val="en-US" w:eastAsia="zh-CN"/>
              </w:rPr>
            </w:pPr>
            <w:r>
              <w:rPr>
                <w:rFonts w:hint="eastAsia" w:ascii="仿宋_GB2312" w:hAnsi="仿宋_GB2312" w:cs="仿宋_GB2312"/>
                <w:sz w:val="22"/>
                <w:szCs w:val="22"/>
                <w:lang w:val="en-US" w:eastAsia="zh-CN"/>
              </w:rPr>
              <w:t>（D11）保障教育教学工作的开展</w:t>
            </w:r>
          </w:p>
        </w:tc>
        <w:tc>
          <w:tcPr>
            <w:tcW w:w="810" w:type="dxa"/>
            <w:vMerge w:val="restart"/>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10</w:t>
            </w:r>
          </w:p>
        </w:tc>
        <w:tc>
          <w:tcPr>
            <w:tcW w:w="1423" w:type="dxa"/>
            <w:vAlign w:val="center"/>
          </w:tcPr>
          <w:p>
            <w:pPr>
              <w:widowControl w:val="0"/>
              <w:numPr>
                <w:ilvl w:val="0"/>
                <w:numId w:val="0"/>
              </w:numPr>
              <w:jc w:val="center"/>
              <w:rPr>
                <w:rFonts w:hint="eastAsia" w:ascii="仿宋_GB2312" w:hAnsi="仿宋_GB2312" w:eastAsia="仿宋_GB2312" w:cs="仿宋_GB2312"/>
                <w:sz w:val="22"/>
                <w:szCs w:val="22"/>
                <w:lang w:val="en-US" w:eastAsia="zh-CN"/>
              </w:rPr>
            </w:pPr>
            <w:r>
              <w:rPr>
                <w:rFonts w:hint="eastAsia" w:ascii="仿宋_GB2312" w:hAnsi="仿宋_GB2312" w:cs="仿宋_GB2312"/>
                <w:sz w:val="22"/>
                <w:szCs w:val="22"/>
                <w:lang w:val="en-US" w:eastAsia="zh-CN"/>
              </w:rPr>
              <w:t>保障</w:t>
            </w:r>
          </w:p>
        </w:tc>
        <w:tc>
          <w:tcPr>
            <w:tcW w:w="873" w:type="dxa"/>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019" w:type="dxa"/>
            <w:vMerge w:val="continue"/>
            <w:vAlign w:val="center"/>
          </w:tcPr>
          <w:p>
            <w:pPr>
              <w:widowControl w:val="0"/>
              <w:jc w:val="left"/>
              <w:rPr>
                <w:sz w:val="22"/>
                <w:szCs w:val="22"/>
              </w:rPr>
            </w:pPr>
          </w:p>
        </w:tc>
        <w:tc>
          <w:tcPr>
            <w:tcW w:w="3747" w:type="dxa"/>
          </w:tcPr>
          <w:p>
            <w:pPr>
              <w:widowControl w:val="0"/>
              <w:numPr>
                <w:ilvl w:val="0"/>
                <w:numId w:val="0"/>
              </w:numPr>
              <w:jc w:val="left"/>
              <w:rPr>
                <w:rFonts w:hint="eastAsia" w:ascii="仿宋_GB2312" w:hAnsi="仿宋_GB2312" w:cs="仿宋_GB2312"/>
                <w:sz w:val="22"/>
                <w:szCs w:val="22"/>
                <w:lang w:val="en-US" w:eastAsia="zh-CN"/>
              </w:rPr>
            </w:pPr>
            <w:r>
              <w:rPr>
                <w:rFonts w:hint="eastAsia" w:ascii="仿宋_GB2312" w:hAnsi="仿宋_GB2312" w:cs="仿宋_GB2312"/>
                <w:sz w:val="22"/>
                <w:szCs w:val="22"/>
                <w:lang w:val="en-US" w:eastAsia="zh-CN"/>
              </w:rPr>
              <w:t>（D12）激发教师工作积极性</w:t>
            </w:r>
          </w:p>
        </w:tc>
        <w:tc>
          <w:tcPr>
            <w:tcW w:w="810" w:type="dxa"/>
            <w:vMerge w:val="continue"/>
            <w:vAlign w:val="center"/>
          </w:tcPr>
          <w:p>
            <w:pPr>
              <w:widowControl w:val="0"/>
              <w:jc w:val="left"/>
              <w:rPr>
                <w:rFonts w:hint="eastAsia" w:ascii="仿宋_GB2312" w:hAnsi="仿宋_GB2312" w:cs="仿宋_GB2312"/>
                <w:sz w:val="22"/>
                <w:szCs w:val="22"/>
                <w:lang w:val="en-US" w:eastAsia="zh-CN"/>
              </w:rPr>
            </w:pPr>
          </w:p>
        </w:tc>
        <w:tc>
          <w:tcPr>
            <w:tcW w:w="1423" w:type="dxa"/>
            <w:vAlign w:val="center"/>
          </w:tcPr>
          <w:p>
            <w:pPr>
              <w:widowControl w:val="0"/>
              <w:jc w:val="center"/>
              <w:rPr>
                <w:rFonts w:hint="eastAsia" w:ascii="仿宋_GB2312" w:hAnsi="仿宋_GB2312" w:cs="仿宋_GB2312"/>
                <w:sz w:val="22"/>
                <w:szCs w:val="22"/>
                <w:lang w:val="en-US" w:eastAsia="zh-CN"/>
              </w:rPr>
            </w:pPr>
            <w:r>
              <w:rPr>
                <w:rFonts w:hint="eastAsia" w:ascii="仿宋_GB2312" w:hAnsi="仿宋_GB2312" w:cs="仿宋_GB2312"/>
                <w:sz w:val="22"/>
                <w:szCs w:val="22"/>
                <w:lang w:val="en-US" w:eastAsia="zh-CN"/>
              </w:rPr>
              <w:t>激发</w:t>
            </w:r>
          </w:p>
        </w:tc>
        <w:tc>
          <w:tcPr>
            <w:tcW w:w="873" w:type="dxa"/>
            <w:vAlign w:val="center"/>
          </w:tcPr>
          <w:p>
            <w:pPr>
              <w:widowControl w:val="0"/>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019" w:type="dxa"/>
            <w:vMerge w:val="continue"/>
            <w:vAlign w:val="center"/>
          </w:tcPr>
          <w:p>
            <w:pPr>
              <w:widowControl w:val="0"/>
              <w:numPr>
                <w:ilvl w:val="0"/>
                <w:numId w:val="0"/>
              </w:numPr>
              <w:jc w:val="center"/>
              <w:rPr>
                <w:rFonts w:hint="eastAsia" w:ascii="仿宋_GB2312" w:hAnsi="仿宋_GB2312" w:cs="仿宋_GB2312"/>
                <w:sz w:val="22"/>
                <w:szCs w:val="22"/>
                <w:lang w:val="en-US" w:eastAsia="zh-CN"/>
              </w:rPr>
            </w:pPr>
          </w:p>
        </w:tc>
        <w:tc>
          <w:tcPr>
            <w:tcW w:w="3747" w:type="dxa"/>
          </w:tcPr>
          <w:p>
            <w:pPr>
              <w:widowControl w:val="0"/>
              <w:numPr>
                <w:ilvl w:val="0"/>
                <w:numId w:val="0"/>
              </w:numPr>
              <w:jc w:val="left"/>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（D13）</w:t>
            </w:r>
            <w:r>
              <w:rPr>
                <w:rFonts w:hint="default" w:ascii="仿宋_GB2312" w:hAnsi="仿宋_GB2312" w:cs="仿宋_GB2312"/>
                <w:sz w:val="22"/>
                <w:szCs w:val="22"/>
                <w:lang w:val="en-US" w:eastAsia="zh-CN"/>
              </w:rPr>
              <w:t>改善学校办学条件</w:t>
            </w:r>
          </w:p>
        </w:tc>
        <w:tc>
          <w:tcPr>
            <w:tcW w:w="810" w:type="dxa"/>
            <w:vMerge w:val="continue"/>
            <w:vAlign w:val="center"/>
          </w:tcPr>
          <w:p>
            <w:pPr>
              <w:widowControl w:val="0"/>
              <w:numPr>
                <w:ilvl w:val="0"/>
                <w:numId w:val="0"/>
              </w:numPr>
              <w:jc w:val="center"/>
              <w:rPr>
                <w:rFonts w:hint="default" w:ascii="仿宋_GB2312" w:hAnsi="仿宋_GB2312" w:cs="仿宋_GB2312"/>
                <w:sz w:val="22"/>
                <w:szCs w:val="22"/>
                <w:lang w:val="en-US" w:eastAsia="zh-CN"/>
              </w:rPr>
            </w:pPr>
          </w:p>
        </w:tc>
        <w:tc>
          <w:tcPr>
            <w:tcW w:w="1423" w:type="dxa"/>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改善</w:t>
            </w:r>
          </w:p>
        </w:tc>
        <w:tc>
          <w:tcPr>
            <w:tcW w:w="873" w:type="dxa"/>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019" w:type="dxa"/>
            <w:vMerge w:val="continue"/>
            <w:vAlign w:val="center"/>
          </w:tcPr>
          <w:p>
            <w:pPr>
              <w:widowControl w:val="0"/>
              <w:jc w:val="left"/>
              <w:rPr>
                <w:sz w:val="22"/>
                <w:szCs w:val="22"/>
              </w:rPr>
            </w:pPr>
          </w:p>
        </w:tc>
        <w:tc>
          <w:tcPr>
            <w:tcW w:w="3747" w:type="dxa"/>
          </w:tcPr>
          <w:p>
            <w:pPr>
              <w:widowControl w:val="0"/>
              <w:numPr>
                <w:ilvl w:val="0"/>
                <w:numId w:val="0"/>
              </w:numPr>
              <w:jc w:val="left"/>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（D14）</w:t>
            </w:r>
            <w:r>
              <w:rPr>
                <w:rFonts w:hint="default" w:ascii="仿宋_GB2312" w:hAnsi="仿宋_GB2312" w:cs="仿宋_GB2312"/>
                <w:sz w:val="22"/>
                <w:szCs w:val="22"/>
                <w:lang w:val="en-US" w:eastAsia="zh-CN"/>
              </w:rPr>
              <w:t>促进教育教学均衡发展</w:t>
            </w:r>
          </w:p>
        </w:tc>
        <w:tc>
          <w:tcPr>
            <w:tcW w:w="810" w:type="dxa"/>
            <w:vMerge w:val="continue"/>
            <w:vAlign w:val="center"/>
          </w:tcPr>
          <w:p>
            <w:pPr>
              <w:widowControl w:val="0"/>
              <w:jc w:val="left"/>
              <w:rPr>
                <w:rFonts w:hint="default" w:ascii="仿宋_GB2312" w:hAnsi="仿宋_GB2312" w:cs="仿宋_GB2312"/>
                <w:sz w:val="22"/>
                <w:szCs w:val="22"/>
                <w:lang w:val="en-US" w:eastAsia="zh-CN"/>
              </w:rPr>
            </w:pPr>
          </w:p>
        </w:tc>
        <w:tc>
          <w:tcPr>
            <w:tcW w:w="1423" w:type="dxa"/>
            <w:vAlign w:val="center"/>
          </w:tcPr>
          <w:p>
            <w:pPr>
              <w:widowControl w:val="0"/>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促进</w:t>
            </w:r>
          </w:p>
        </w:tc>
        <w:tc>
          <w:tcPr>
            <w:tcW w:w="873" w:type="dxa"/>
            <w:vAlign w:val="center"/>
          </w:tcPr>
          <w:p>
            <w:pPr>
              <w:widowControl w:val="0"/>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019" w:type="dxa"/>
            <w:vAlign w:val="center"/>
          </w:tcPr>
          <w:p>
            <w:pPr>
              <w:widowControl w:val="0"/>
              <w:numPr>
                <w:ilvl w:val="0"/>
                <w:numId w:val="0"/>
              </w:numPr>
              <w:jc w:val="both"/>
              <w:rPr>
                <w:rFonts w:hint="eastAsia" w:ascii="仿宋_GB2312" w:hAnsi="仿宋_GB2312" w:cs="仿宋_GB2312"/>
                <w:sz w:val="22"/>
                <w:szCs w:val="22"/>
                <w:lang w:val="en-US" w:eastAsia="zh-CN"/>
              </w:rPr>
            </w:pPr>
            <w:r>
              <w:rPr>
                <w:rFonts w:hint="eastAsia" w:ascii="仿宋_GB2312" w:hAnsi="仿宋_GB2312" w:cs="仿宋_GB2312"/>
                <w:sz w:val="22"/>
                <w:szCs w:val="22"/>
                <w:lang w:val="en-US" w:eastAsia="zh-CN"/>
              </w:rPr>
              <w:t>（D2）生态效益</w:t>
            </w:r>
          </w:p>
        </w:tc>
        <w:tc>
          <w:tcPr>
            <w:tcW w:w="3747" w:type="dxa"/>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（D21）</w:t>
            </w:r>
            <w:r>
              <w:rPr>
                <w:rFonts w:hint="default" w:ascii="仿宋_GB2312" w:hAnsi="仿宋_GB2312" w:cs="仿宋_GB2312"/>
                <w:sz w:val="22"/>
                <w:szCs w:val="22"/>
                <w:lang w:val="en-US" w:eastAsia="zh-CN"/>
              </w:rPr>
              <w:t>采购产品属于节能环保产品</w:t>
            </w:r>
          </w:p>
        </w:tc>
        <w:tc>
          <w:tcPr>
            <w:tcW w:w="810" w:type="dxa"/>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2.5</w:t>
            </w:r>
          </w:p>
        </w:tc>
        <w:tc>
          <w:tcPr>
            <w:tcW w:w="1423" w:type="dxa"/>
            <w:vAlign w:val="center"/>
          </w:tcPr>
          <w:p>
            <w:pPr>
              <w:widowControl w:val="0"/>
              <w:numPr>
                <w:ilvl w:val="0"/>
                <w:numId w:val="0"/>
              </w:numPr>
              <w:jc w:val="center"/>
              <w:rPr>
                <w:rFonts w:hint="eastAsia" w:ascii="仿宋_GB2312" w:hAnsi="仿宋_GB2312" w:cs="仿宋_GB2312"/>
                <w:sz w:val="22"/>
                <w:szCs w:val="22"/>
                <w:lang w:val="en-US" w:eastAsia="zh-CN"/>
              </w:rPr>
            </w:pPr>
            <w:r>
              <w:rPr>
                <w:rFonts w:hint="eastAsia" w:ascii="仿宋_GB2312" w:hAnsi="仿宋_GB2312" w:cs="仿宋_GB2312"/>
                <w:sz w:val="22"/>
                <w:szCs w:val="22"/>
                <w:lang w:val="en-US" w:eastAsia="zh-CN"/>
              </w:rPr>
              <w:t>不确定</w:t>
            </w:r>
          </w:p>
        </w:tc>
        <w:tc>
          <w:tcPr>
            <w:tcW w:w="873" w:type="dxa"/>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19" w:type="dxa"/>
            <w:vAlign w:val="center"/>
          </w:tcPr>
          <w:p>
            <w:pPr>
              <w:widowControl w:val="0"/>
              <w:numPr>
                <w:ilvl w:val="0"/>
                <w:numId w:val="0"/>
              </w:numPr>
              <w:jc w:val="center"/>
              <w:rPr>
                <w:rFonts w:hint="eastAsia" w:ascii="仿宋_GB2312" w:hAnsi="仿宋_GB2312" w:cs="仿宋_GB2312"/>
                <w:sz w:val="22"/>
                <w:szCs w:val="22"/>
                <w:lang w:val="en-US" w:eastAsia="zh-CN"/>
              </w:rPr>
            </w:pPr>
            <w:r>
              <w:rPr>
                <w:rFonts w:hint="eastAsia" w:ascii="仿宋_GB2312" w:hAnsi="仿宋_GB2312" w:cs="仿宋_GB2312"/>
                <w:sz w:val="22"/>
                <w:szCs w:val="22"/>
                <w:lang w:val="en-US" w:eastAsia="zh-CN"/>
              </w:rPr>
              <w:t>（D3）可持续影响指标</w:t>
            </w:r>
          </w:p>
        </w:tc>
        <w:tc>
          <w:tcPr>
            <w:tcW w:w="3747" w:type="dxa"/>
            <w:vAlign w:val="center"/>
          </w:tcPr>
          <w:p>
            <w:pPr>
              <w:widowControl w:val="0"/>
              <w:numPr>
                <w:ilvl w:val="0"/>
                <w:numId w:val="0"/>
              </w:numPr>
              <w:jc w:val="both"/>
              <w:rPr>
                <w:rFonts w:hint="eastAsia" w:ascii="仿宋_GB2312" w:hAnsi="仿宋_GB2312" w:cs="仿宋_GB2312"/>
                <w:sz w:val="22"/>
                <w:szCs w:val="22"/>
                <w:lang w:val="en-US" w:eastAsia="zh-CN"/>
              </w:rPr>
            </w:pPr>
            <w:r>
              <w:rPr>
                <w:rFonts w:hint="eastAsia" w:ascii="仿宋_GB2312" w:hAnsi="仿宋_GB2312" w:cs="仿宋_GB2312"/>
                <w:sz w:val="22"/>
                <w:szCs w:val="22"/>
                <w:lang w:val="en-US" w:eastAsia="zh-CN"/>
              </w:rPr>
              <w:t>（D31）保障教育事业持续发展</w:t>
            </w:r>
          </w:p>
        </w:tc>
        <w:tc>
          <w:tcPr>
            <w:tcW w:w="810" w:type="dxa"/>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2.5</w:t>
            </w:r>
          </w:p>
        </w:tc>
        <w:tc>
          <w:tcPr>
            <w:tcW w:w="1423" w:type="dxa"/>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持续</w:t>
            </w:r>
          </w:p>
        </w:tc>
        <w:tc>
          <w:tcPr>
            <w:tcW w:w="873" w:type="dxa"/>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019" w:type="dxa"/>
            <w:vMerge w:val="restart"/>
            <w:vAlign w:val="center"/>
          </w:tcPr>
          <w:p>
            <w:pPr>
              <w:widowControl w:val="0"/>
              <w:numPr>
                <w:ilvl w:val="0"/>
                <w:numId w:val="0"/>
              </w:numPr>
              <w:jc w:val="center"/>
              <w:rPr>
                <w:rFonts w:hint="eastAsia" w:ascii="仿宋_GB2312" w:hAnsi="仿宋_GB2312" w:cs="仿宋_GB2312"/>
                <w:sz w:val="22"/>
                <w:szCs w:val="22"/>
                <w:lang w:val="en-US" w:eastAsia="zh-CN"/>
              </w:rPr>
            </w:pPr>
            <w:r>
              <w:rPr>
                <w:rFonts w:hint="eastAsia" w:ascii="仿宋_GB2312" w:hAnsi="仿宋_GB2312" w:cs="仿宋_GB2312"/>
                <w:sz w:val="22"/>
                <w:szCs w:val="22"/>
                <w:lang w:val="en-US" w:eastAsia="zh-CN"/>
              </w:rPr>
              <w:t>（D4）服务对象满意度指标</w:t>
            </w:r>
          </w:p>
        </w:tc>
        <w:tc>
          <w:tcPr>
            <w:tcW w:w="3747" w:type="dxa"/>
          </w:tcPr>
          <w:p>
            <w:pPr>
              <w:widowControl w:val="0"/>
              <w:numPr>
                <w:ilvl w:val="0"/>
                <w:numId w:val="0"/>
              </w:numPr>
              <w:jc w:val="left"/>
              <w:rPr>
                <w:rFonts w:hint="eastAsia" w:ascii="仿宋_GB2312" w:hAnsi="仿宋_GB2312" w:cs="仿宋_GB2312"/>
                <w:sz w:val="22"/>
                <w:szCs w:val="22"/>
                <w:lang w:val="en-US" w:eastAsia="zh-CN"/>
              </w:rPr>
            </w:pPr>
            <w:r>
              <w:rPr>
                <w:rFonts w:hint="eastAsia" w:ascii="仿宋_GB2312" w:hAnsi="仿宋_GB2312" w:cs="仿宋_GB2312"/>
                <w:sz w:val="22"/>
                <w:szCs w:val="22"/>
                <w:lang w:val="en-US" w:eastAsia="zh-CN"/>
              </w:rPr>
              <w:t>（D41）教师接受经费发放工资满意度</w:t>
            </w:r>
          </w:p>
        </w:tc>
        <w:tc>
          <w:tcPr>
            <w:tcW w:w="810" w:type="dxa"/>
            <w:vMerge w:val="restart"/>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10</w:t>
            </w:r>
          </w:p>
        </w:tc>
        <w:tc>
          <w:tcPr>
            <w:tcW w:w="1423" w:type="dxa"/>
            <w:vAlign w:val="center"/>
          </w:tcPr>
          <w:p>
            <w:pPr>
              <w:widowControl w:val="0"/>
              <w:numPr>
                <w:ilvl w:val="0"/>
                <w:numId w:val="0"/>
              </w:numPr>
              <w:jc w:val="center"/>
              <w:rPr>
                <w:rFonts w:hint="eastAsia" w:ascii="仿宋_GB2312" w:hAnsi="仿宋_GB2312" w:cs="仿宋_GB2312"/>
                <w:sz w:val="22"/>
                <w:szCs w:val="22"/>
                <w:lang w:val="en-US" w:eastAsia="zh-CN"/>
              </w:rPr>
            </w:pPr>
            <w:r>
              <w:rPr>
                <w:rFonts w:hint="eastAsia" w:ascii="仿宋_GB2312" w:hAnsi="仿宋_GB2312" w:cs="仿宋_GB2312"/>
                <w:sz w:val="22"/>
                <w:szCs w:val="22"/>
                <w:lang w:val="en-US" w:eastAsia="zh-CN"/>
              </w:rPr>
              <w:t>基本满意</w:t>
            </w:r>
          </w:p>
        </w:tc>
        <w:tc>
          <w:tcPr>
            <w:tcW w:w="873" w:type="dxa"/>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vMerge w:val="continue"/>
          </w:tcPr>
          <w:p>
            <w:pPr>
              <w:widowControl w:val="0"/>
              <w:numPr>
                <w:ilvl w:val="0"/>
                <w:numId w:val="0"/>
              </w:numPr>
              <w:jc w:val="center"/>
              <w:rPr>
                <w:rFonts w:hint="eastAsia" w:ascii="仿宋_GB2312" w:hAnsi="仿宋_GB2312" w:cs="仿宋_GB2312"/>
                <w:sz w:val="22"/>
                <w:szCs w:val="22"/>
                <w:lang w:val="en-US" w:eastAsia="zh-CN"/>
              </w:rPr>
            </w:pPr>
          </w:p>
        </w:tc>
        <w:tc>
          <w:tcPr>
            <w:tcW w:w="3747" w:type="dxa"/>
          </w:tcPr>
          <w:p>
            <w:pPr>
              <w:widowControl w:val="0"/>
              <w:numPr>
                <w:ilvl w:val="0"/>
                <w:numId w:val="0"/>
              </w:numPr>
              <w:jc w:val="left"/>
              <w:rPr>
                <w:rFonts w:hint="eastAsia" w:ascii="仿宋_GB2312" w:hAnsi="仿宋_GB2312" w:cs="仿宋_GB2312"/>
                <w:sz w:val="22"/>
                <w:szCs w:val="22"/>
                <w:lang w:val="en-US" w:eastAsia="zh-CN"/>
              </w:rPr>
            </w:pPr>
            <w:r>
              <w:rPr>
                <w:rFonts w:hint="eastAsia" w:ascii="仿宋_GB2312" w:hAnsi="仿宋_GB2312" w:cs="仿宋_GB2312"/>
                <w:sz w:val="22"/>
                <w:szCs w:val="22"/>
                <w:lang w:val="en-US" w:eastAsia="zh-CN"/>
              </w:rPr>
              <w:t>（D42）校园职工使用设备满意度</w:t>
            </w:r>
          </w:p>
        </w:tc>
        <w:tc>
          <w:tcPr>
            <w:tcW w:w="810" w:type="dxa"/>
            <w:vMerge w:val="continue"/>
            <w:vAlign w:val="center"/>
          </w:tcPr>
          <w:p>
            <w:pPr>
              <w:widowControl w:val="0"/>
              <w:numPr>
                <w:ilvl w:val="0"/>
                <w:numId w:val="0"/>
              </w:numPr>
              <w:jc w:val="center"/>
              <w:rPr>
                <w:rFonts w:hint="default" w:ascii="仿宋_GB2312" w:hAnsi="仿宋_GB2312" w:cs="仿宋_GB2312"/>
                <w:sz w:val="22"/>
                <w:szCs w:val="22"/>
                <w:lang w:val="en-US" w:eastAsia="zh-CN"/>
              </w:rPr>
            </w:pPr>
          </w:p>
        </w:tc>
        <w:tc>
          <w:tcPr>
            <w:tcW w:w="1423" w:type="dxa"/>
            <w:vAlign w:val="center"/>
          </w:tcPr>
          <w:p>
            <w:pPr>
              <w:widowControl w:val="0"/>
              <w:numPr>
                <w:ilvl w:val="0"/>
                <w:numId w:val="0"/>
              </w:numPr>
              <w:jc w:val="center"/>
              <w:rPr>
                <w:rFonts w:hint="eastAsia" w:ascii="仿宋_GB2312" w:hAnsi="仿宋_GB2312" w:cs="仿宋_GB2312"/>
                <w:sz w:val="22"/>
                <w:szCs w:val="22"/>
                <w:lang w:val="en-US" w:eastAsia="zh-CN"/>
              </w:rPr>
            </w:pPr>
            <w:r>
              <w:rPr>
                <w:rFonts w:hint="eastAsia" w:ascii="仿宋_GB2312" w:hAnsi="仿宋_GB2312" w:cs="仿宋_GB2312"/>
                <w:sz w:val="22"/>
                <w:szCs w:val="22"/>
                <w:lang w:val="en-US" w:eastAsia="zh-CN"/>
              </w:rPr>
              <w:t>满意</w:t>
            </w:r>
          </w:p>
        </w:tc>
        <w:tc>
          <w:tcPr>
            <w:tcW w:w="873" w:type="dxa"/>
            <w:vAlign w:val="center"/>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6" w:type="dxa"/>
            <w:gridSpan w:val="2"/>
          </w:tcPr>
          <w:p>
            <w:pPr>
              <w:widowControl w:val="0"/>
              <w:numPr>
                <w:ilvl w:val="0"/>
                <w:numId w:val="0"/>
              </w:numPr>
              <w:jc w:val="center"/>
              <w:rPr>
                <w:rFonts w:hint="eastAsia" w:ascii="仿宋_GB2312" w:hAnsi="仿宋_GB2312" w:cs="仿宋_GB2312"/>
                <w:sz w:val="22"/>
                <w:szCs w:val="22"/>
                <w:lang w:val="en-US" w:eastAsia="zh-CN"/>
              </w:rPr>
            </w:pPr>
            <w:r>
              <w:rPr>
                <w:rFonts w:hint="eastAsia" w:ascii="仿宋_GB2312" w:hAnsi="仿宋_GB2312" w:cs="仿宋_GB2312"/>
                <w:sz w:val="22"/>
                <w:szCs w:val="22"/>
                <w:lang w:val="en-US" w:eastAsia="zh-CN"/>
              </w:rPr>
              <w:t>小  计</w:t>
            </w:r>
          </w:p>
        </w:tc>
        <w:tc>
          <w:tcPr>
            <w:tcW w:w="810" w:type="dxa"/>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25</w:t>
            </w:r>
          </w:p>
        </w:tc>
        <w:tc>
          <w:tcPr>
            <w:tcW w:w="1423" w:type="dxa"/>
          </w:tcPr>
          <w:p>
            <w:pPr>
              <w:widowControl w:val="0"/>
              <w:numPr>
                <w:ilvl w:val="0"/>
                <w:numId w:val="0"/>
              </w:numPr>
              <w:jc w:val="center"/>
              <w:rPr>
                <w:rFonts w:hint="eastAsia" w:ascii="仿宋_GB2312" w:hAnsi="仿宋_GB2312" w:cs="仿宋_GB2312"/>
                <w:sz w:val="22"/>
                <w:szCs w:val="22"/>
                <w:lang w:val="en-US" w:eastAsia="zh-CN"/>
              </w:rPr>
            </w:pPr>
          </w:p>
        </w:tc>
        <w:tc>
          <w:tcPr>
            <w:tcW w:w="873" w:type="dxa"/>
          </w:tcPr>
          <w:p>
            <w:pPr>
              <w:widowControl w:val="0"/>
              <w:numPr>
                <w:ilvl w:val="0"/>
                <w:numId w:val="0"/>
              </w:numPr>
              <w:jc w:val="center"/>
              <w:rPr>
                <w:rFonts w:hint="default" w:ascii="仿宋_GB2312" w:hAnsi="仿宋_GB2312" w:cs="仿宋_GB2312"/>
                <w:sz w:val="22"/>
                <w:szCs w:val="22"/>
                <w:lang w:val="en-US" w:eastAsia="zh-CN"/>
              </w:rPr>
            </w:pPr>
            <w:r>
              <w:rPr>
                <w:rFonts w:hint="eastAsia" w:ascii="仿宋_GB2312" w:hAnsi="仿宋_GB2312" w:cs="仿宋_GB2312"/>
                <w:sz w:val="22"/>
                <w:szCs w:val="22"/>
                <w:lang w:val="en-US" w:eastAsia="zh-CN"/>
              </w:rPr>
              <w:t>21</w:t>
            </w:r>
          </w:p>
        </w:tc>
      </w:tr>
    </w:tbl>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（D11）是否保障教育教学工作的开展 权重2.5分，得2.5分</w:t>
      </w: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评价小组根据问卷调查、座谈了解得知，教育专项资金项目积极响应各学校需求，保障了教育教学工作的开展。因此，根据指标评分标准，该指标得分2.5分。</w:t>
      </w: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（D12）</w:t>
      </w:r>
      <w:r>
        <w:rPr>
          <w:rFonts w:hint="eastAsia" w:ascii="仿宋_GB2312" w:hAnsi="仿宋_GB2312" w:cs="仿宋_GB2312"/>
          <w:color w:val="auto"/>
          <w:sz w:val="32"/>
          <w:szCs w:val="32"/>
          <w:lang w:val="en-US" w:eastAsia="zh-CN"/>
        </w:rPr>
        <w:t>是否激发教师工作积极性</w:t>
      </w:r>
      <w:r>
        <w:rPr>
          <w:rFonts w:hint="eastAsia" w:ascii="仿宋_GB2312" w:hAnsi="仿宋_GB2312" w:cs="仿宋_GB2312"/>
          <w:sz w:val="32"/>
          <w:szCs w:val="32"/>
          <w:lang w:val="en-US" w:eastAsia="zh-CN"/>
        </w:rPr>
        <w:t xml:space="preserve"> 权重2.5分，得2.5分</w:t>
      </w: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评价小组根据问卷调查、座谈了解得知，教育专项资金及时、准确发放属地划转的邓襄镇中心学校教师工作，侧面激发了教师工作积极性。因此，根据指标评分标准，该指标得分2.5分。</w:t>
      </w: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（D13）是否改善学校办学条件 权重2.5分，得2.5分</w:t>
      </w: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评价小组根据问卷调查、座谈了解得知，漯河经济技术开发区实验中学采购教学装备及教学设施，全面改善了学校办学条件。因此，根据指标评分标准，该指标得分2.5分。</w:t>
      </w: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（D14）是否促进教育教学均衡发展 权重2.5分，得2.5分</w:t>
      </w: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评价小组根据问卷调查、座谈了解得知，教育专项资金项目促进了教育教学均衡发展。因此，根据指标评分标准，该指标得分2.5分。</w:t>
      </w: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(D21)采购产品是否属于节能环保产品 权重2.5分，得0分</w:t>
      </w: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评价小组根据社会事业局提供的资料及座谈，未能取得经开区实验中学采购教学设备项目所购产品是否属于节能环保产品的佐证资料。因此，根据指标评分标准，该指标得分0分。</w:t>
      </w: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（D31）保障教育事业持续发展 权重2.5分，得2.5分</w:t>
      </w:r>
    </w:p>
    <w:p>
      <w:pPr>
        <w:numPr>
          <w:ilvl w:val="0"/>
          <w:numId w:val="0"/>
        </w:numPr>
        <w:spacing w:line="580" w:lineRule="exact"/>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评价小组根据问卷调查、座谈了解得知，教育专项资金项目保障了教育事业发展。因此，根据指标评分标准，该指标得分2.5分。</w:t>
      </w:r>
    </w:p>
    <w:p>
      <w:pPr>
        <w:pStyle w:val="2"/>
        <w:ind w:firstLine="768" w:firstLineChars="240"/>
        <w:rPr>
          <w:rFonts w:hint="eastAsia" w:ascii="仿宋_GB2312" w:hAnsi="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（D41）</w:t>
      </w:r>
      <w:r>
        <w:rPr>
          <w:rFonts w:hint="eastAsia"/>
          <w:lang w:val="en-US" w:eastAsia="zh-CN"/>
        </w:rPr>
        <w:t xml:space="preserve">教师接受经费发放工资满意度 </w:t>
      </w:r>
      <w:r>
        <w:rPr>
          <w:rFonts w:hint="eastAsia" w:ascii="仿宋_GB2312" w:hAnsi="仿宋_GB2312" w:cs="仿宋_GB2312"/>
          <w:sz w:val="32"/>
          <w:szCs w:val="32"/>
          <w:lang w:val="en-US" w:eastAsia="zh-CN"/>
        </w:rPr>
        <w:t>权重5分，得3.5分</w:t>
      </w:r>
    </w:p>
    <w:p>
      <w:pPr>
        <w:pStyle w:val="2"/>
        <w:ind w:firstLine="768" w:firstLineChars="240"/>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根据项目情况，评价小组发放了</w:t>
      </w:r>
      <w:r>
        <w:rPr>
          <w:rFonts w:hint="eastAsia"/>
          <w:lang w:val="en-US" w:eastAsia="zh-CN"/>
        </w:rPr>
        <w:t>教师接受经费发放工资满意度</w:t>
      </w:r>
      <w:r>
        <w:rPr>
          <w:rFonts w:hint="eastAsia" w:ascii="仿宋_GB2312" w:hAnsi="仿宋_GB2312" w:cs="仿宋_GB2312"/>
          <w:sz w:val="32"/>
          <w:szCs w:val="32"/>
          <w:lang w:val="en-US" w:eastAsia="zh-CN"/>
        </w:rPr>
        <w:t>问卷调查表55份，收回问卷调查表55份，教师对项目整体的满意度为89.09%。因此，根据指标评分标准，该指标得分3.5分。</w:t>
      </w:r>
    </w:p>
    <w:p>
      <w:pPr>
        <w:pStyle w:val="2"/>
        <w:ind w:firstLine="768" w:firstLineChars="240"/>
        <w:rPr>
          <w:rFonts w:hint="eastAsia" w:ascii="仿宋_GB2312" w:hAnsi="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（D42）</w:t>
      </w:r>
      <w:r>
        <w:rPr>
          <w:rFonts w:hint="eastAsia"/>
          <w:lang w:val="en-US" w:eastAsia="zh-CN"/>
        </w:rPr>
        <w:t xml:space="preserve">校园职工使用设备满意度 </w:t>
      </w:r>
      <w:r>
        <w:rPr>
          <w:rFonts w:hint="eastAsia" w:ascii="仿宋_GB2312" w:hAnsi="仿宋_GB2312" w:cs="仿宋_GB2312"/>
          <w:sz w:val="32"/>
          <w:szCs w:val="32"/>
          <w:lang w:val="en-US" w:eastAsia="zh-CN"/>
        </w:rPr>
        <w:t>权重5分，得5分</w:t>
      </w:r>
    </w:p>
    <w:p>
      <w:pPr>
        <w:pStyle w:val="2"/>
        <w:ind w:firstLine="768" w:firstLineChars="240"/>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根据项目情况，评价小组发放了</w:t>
      </w:r>
      <w:r>
        <w:rPr>
          <w:rFonts w:hint="eastAsia"/>
          <w:lang w:val="en-US" w:eastAsia="zh-CN"/>
        </w:rPr>
        <w:t>校园职工使用设备满意度</w:t>
      </w:r>
      <w:r>
        <w:rPr>
          <w:rFonts w:hint="eastAsia" w:ascii="仿宋_GB2312" w:hAnsi="仿宋_GB2312" w:cs="仿宋_GB2312"/>
          <w:sz w:val="32"/>
          <w:szCs w:val="32"/>
          <w:lang w:val="en-US" w:eastAsia="zh-CN"/>
        </w:rPr>
        <w:t>问卷调查表40份，收回问卷调查表40份，校园职工对项目的满意度</w:t>
      </w:r>
      <w:r>
        <w:rPr>
          <w:rFonts w:hint="default" w:ascii="仿宋_GB2312" w:hAnsi="仿宋_GB2312" w:cs="仿宋_GB2312"/>
          <w:sz w:val="32"/>
          <w:szCs w:val="32"/>
          <w:lang w:val="en-US" w:eastAsia="zh-CN"/>
        </w:rPr>
        <w:t>≥</w:t>
      </w:r>
      <w:r>
        <w:rPr>
          <w:rFonts w:hint="eastAsia" w:ascii="仿宋_GB2312" w:hAnsi="仿宋_GB2312" w:cs="仿宋_GB2312"/>
          <w:sz w:val="32"/>
          <w:szCs w:val="32"/>
          <w:lang w:val="en-US" w:eastAsia="zh-CN"/>
        </w:rPr>
        <w:t>95%。因此，根据指标评分标准，该指标得分5分。</w:t>
      </w:r>
    </w:p>
    <w:p>
      <w:pPr>
        <w:numPr>
          <w:ilvl w:val="0"/>
          <w:numId w:val="0"/>
        </w:numPr>
        <w:spacing w:line="580" w:lineRule="exact"/>
        <w:ind w:leftChars="200"/>
        <w:outlineLvl w:val="0"/>
        <w:rPr>
          <w:rFonts w:hint="eastAsia" w:ascii="黑体" w:hAnsi="黑体" w:eastAsia="黑体" w:cs="黑体"/>
          <w:b w:val="0"/>
          <w:bCs w:val="0"/>
          <w:sz w:val="32"/>
          <w:szCs w:val="32"/>
          <w:lang w:val="en-US" w:eastAsia="zh-CN"/>
        </w:rPr>
      </w:pPr>
      <w:bookmarkStart w:id="50" w:name="_Toc26270"/>
      <w:bookmarkStart w:id="51" w:name="_Toc20330"/>
      <w:r>
        <w:rPr>
          <w:rFonts w:hint="eastAsia" w:ascii="黑体" w:hAnsi="黑体" w:eastAsia="黑体" w:cs="黑体"/>
          <w:b w:val="0"/>
          <w:bCs w:val="0"/>
          <w:sz w:val="32"/>
          <w:szCs w:val="32"/>
          <w:lang w:val="en-US" w:eastAsia="zh-CN"/>
        </w:rPr>
        <w:t>五、主要经验及做法</w:t>
      </w:r>
      <w:bookmarkEnd w:id="50"/>
      <w:bookmarkEnd w:id="51"/>
    </w:p>
    <w:p>
      <w:pPr>
        <w:numPr>
          <w:ilvl w:val="0"/>
          <w:numId w:val="0"/>
        </w:numPr>
        <w:spacing w:line="580" w:lineRule="exact"/>
        <w:ind w:firstLine="640" w:firstLineChars="200"/>
        <w:rPr>
          <w:rFonts w:hint="eastAsia" w:ascii="仿宋_GB2312" w:hAnsi="仿宋_GB2312" w:cs="仿宋_GB2312"/>
          <w:sz w:val="32"/>
          <w:szCs w:val="32"/>
          <w:highlight w:val="none"/>
          <w:lang w:val="en-US" w:eastAsia="zh-CN"/>
        </w:rPr>
      </w:pPr>
      <w:bookmarkStart w:id="52" w:name="_Toc23967"/>
      <w:r>
        <w:rPr>
          <w:rFonts w:hint="eastAsia" w:ascii="仿宋_GB2312" w:hAnsi="仿宋_GB2312" w:cs="仿宋_GB2312"/>
          <w:sz w:val="32"/>
          <w:szCs w:val="32"/>
          <w:highlight w:val="none"/>
          <w:lang w:val="en-US" w:eastAsia="zh-CN"/>
        </w:rPr>
        <w:t>进一步落实依法办学指导思想，规范学校维修、改造工程管理，维护校园安全；改善学校办学条件，满足教育教学需要，确保教育教学工作正常运转；优化学前教育资源配置，引导支持民办幼儿园提供普惠性服务，扩大城乡普惠性学前教育资源覆盖面，加快建成“广覆盖、保基本、有质量”的学前教育公共服务体系；设备采购、装修工程、维护维修等需要进行政府采购的项目，全程每环节均通过政府采购网进行实施，实现了政府采购全过程的公开、公平、透明；办好人民满意教育，确保义务教育持续稳定发展。</w:t>
      </w:r>
    </w:p>
    <w:p>
      <w:pPr>
        <w:numPr>
          <w:ilvl w:val="0"/>
          <w:numId w:val="0"/>
        </w:numPr>
        <w:spacing w:line="580" w:lineRule="exact"/>
        <w:ind w:leftChars="200"/>
        <w:outlineLvl w:val="0"/>
        <w:rPr>
          <w:rFonts w:hint="eastAsia" w:ascii="黑体" w:hAnsi="黑体" w:eastAsia="黑体" w:cs="黑体"/>
          <w:b w:val="0"/>
          <w:bCs w:val="0"/>
          <w:sz w:val="32"/>
          <w:szCs w:val="32"/>
          <w:lang w:val="en-US" w:eastAsia="zh-CN"/>
        </w:rPr>
      </w:pPr>
      <w:bookmarkStart w:id="53" w:name="_Toc13527"/>
      <w:r>
        <w:rPr>
          <w:rFonts w:hint="eastAsia" w:ascii="黑体" w:hAnsi="黑体" w:eastAsia="黑体" w:cs="黑体"/>
          <w:b w:val="0"/>
          <w:bCs w:val="0"/>
          <w:sz w:val="32"/>
          <w:szCs w:val="32"/>
          <w:lang w:val="en-US" w:eastAsia="zh-CN"/>
        </w:rPr>
        <w:t>六、</w:t>
      </w:r>
      <w:bookmarkEnd w:id="52"/>
      <w:r>
        <w:rPr>
          <w:rFonts w:hint="eastAsia" w:ascii="黑体" w:hAnsi="黑体" w:eastAsia="黑体" w:cs="黑体"/>
          <w:b w:val="0"/>
          <w:bCs w:val="0"/>
          <w:sz w:val="32"/>
          <w:szCs w:val="32"/>
          <w:lang w:val="en-US" w:eastAsia="zh-CN"/>
        </w:rPr>
        <w:t>存在的问题</w:t>
      </w:r>
      <w:bookmarkEnd w:id="53"/>
    </w:p>
    <w:p>
      <w:pPr>
        <w:pStyle w:val="5"/>
        <w:ind w:firstLine="643" w:firstLineChars="200"/>
        <w:outlineLvl w:val="1"/>
        <w:rPr>
          <w:rFonts w:hint="eastAsia" w:ascii="楷体" w:hAnsi="楷体" w:eastAsia="楷体" w:cs="楷体"/>
          <w:b/>
          <w:bCs/>
          <w:sz w:val="32"/>
          <w:szCs w:val="32"/>
          <w:lang w:val="en-US" w:eastAsia="zh-CN"/>
        </w:rPr>
      </w:pPr>
      <w:bookmarkStart w:id="54" w:name="_Toc921"/>
      <w:r>
        <w:rPr>
          <w:rFonts w:hint="eastAsia" w:ascii="楷体" w:hAnsi="楷体" w:eastAsia="楷体" w:cs="楷体"/>
          <w:b/>
          <w:bCs/>
          <w:sz w:val="32"/>
          <w:szCs w:val="32"/>
          <w:lang w:val="en-US" w:eastAsia="zh-CN"/>
        </w:rPr>
        <w:t>（一）管理制度待完善</w:t>
      </w:r>
      <w:bookmarkEnd w:id="54"/>
    </w:p>
    <w:p>
      <w:pPr>
        <w:ind w:firstLine="640" w:firstLineChars="200"/>
        <w:rPr>
          <w:rFonts w:hint="eastAsia" w:hAnsi="仿宋_GB2312" w:cs="仿宋_GB2312"/>
          <w:sz w:val="32"/>
          <w:szCs w:val="32"/>
          <w:lang w:val="en-US" w:eastAsia="zh-CN"/>
        </w:rPr>
      </w:pPr>
      <w:r>
        <w:rPr>
          <w:rFonts w:hint="eastAsia" w:hAnsi="仿宋_GB2312" w:cs="仿宋_GB2312"/>
          <w:sz w:val="32"/>
          <w:szCs w:val="32"/>
          <w:lang w:val="en-US" w:eastAsia="zh-CN"/>
        </w:rPr>
        <w:t>社会事业服务中心负责教育专项资金项目的监督管理工作，虽提供了《中小学校财务制度》，但在项目实施过程中未根据本项目特点制定有针对性的业务管理办法及专项资金管理办法。</w:t>
      </w:r>
    </w:p>
    <w:p>
      <w:pPr>
        <w:pStyle w:val="5"/>
        <w:numPr>
          <w:ilvl w:val="0"/>
          <w:numId w:val="0"/>
        </w:numPr>
        <w:ind w:right="214" w:rightChars="0" w:firstLine="643" w:firstLineChars="200"/>
        <w:outlineLvl w:val="1"/>
        <w:rPr>
          <w:rFonts w:hint="eastAsia" w:ascii="楷体" w:hAnsi="楷体" w:eastAsia="楷体" w:cs="楷体"/>
          <w:b/>
          <w:bCs/>
          <w:sz w:val="32"/>
          <w:szCs w:val="32"/>
          <w:lang w:val="en-US" w:eastAsia="zh-CN"/>
        </w:rPr>
      </w:pPr>
      <w:r>
        <w:rPr>
          <w:rFonts w:hint="eastAsia" w:ascii="楷体" w:hAnsi="楷体" w:eastAsia="楷体" w:cs="楷体"/>
          <w:b/>
          <w:bCs/>
          <w:kern w:val="2"/>
          <w:sz w:val="32"/>
          <w:szCs w:val="32"/>
          <w:lang w:val="en-US" w:eastAsia="zh-CN" w:bidi="ar-SA"/>
        </w:rPr>
        <w:t>（二）</w:t>
      </w:r>
      <w:r>
        <w:rPr>
          <w:rFonts w:hint="eastAsia" w:ascii="楷体" w:hAnsi="楷体" w:eastAsia="楷体" w:cs="楷体"/>
          <w:b/>
          <w:bCs/>
          <w:sz w:val="32"/>
          <w:szCs w:val="32"/>
          <w:lang w:val="en-US" w:eastAsia="zh-CN"/>
        </w:rPr>
        <w:t>预算编制不科学</w:t>
      </w:r>
    </w:p>
    <w:p>
      <w:pPr>
        <w:pStyle w:val="5"/>
        <w:ind w:firstLine="640" w:firstLineChars="200"/>
        <w:rPr>
          <w:rFonts w:hint="eastAsia"/>
          <w:lang w:val="en-US" w:eastAsia="zh-CN"/>
        </w:rPr>
      </w:pPr>
      <w:r>
        <w:rPr>
          <w:rFonts w:hint="eastAsia"/>
          <w:lang w:val="en-US" w:eastAsia="zh-CN"/>
        </w:rPr>
        <w:t>抽查2022年预算编制相关资料，存在预算编制不科学的问题，2022年教育专项资金项目预算批复462.9万元，年终调减150.7万元，全年预算资金共计312.2万元,全年实际支出281.95万元，年底结余资金30.25万元。预算编制资金与实际支出资金存在偏差，未充分发挥资金效益。表明项目管理单位对年初预算资金前期论证不够充分，预算编制科学性不足、预算确定的资金量与预期工作量不匹配等问题。</w:t>
      </w:r>
    </w:p>
    <w:p>
      <w:pPr>
        <w:pStyle w:val="5"/>
        <w:numPr>
          <w:ilvl w:val="0"/>
          <w:numId w:val="0"/>
        </w:numPr>
        <w:ind w:right="214" w:rightChars="0" w:firstLine="643" w:firstLineChars="200"/>
        <w:outlineLvl w:val="1"/>
        <w:rPr>
          <w:rFonts w:hint="eastAsia" w:ascii="楷体" w:hAnsi="楷体" w:eastAsia="楷体" w:cs="楷体"/>
          <w:b/>
          <w:bCs/>
          <w:sz w:val="32"/>
          <w:szCs w:val="32"/>
          <w:lang w:val="en-US" w:eastAsia="zh-CN"/>
        </w:rPr>
      </w:pPr>
      <w:bookmarkStart w:id="55" w:name="_Toc18506"/>
      <w:r>
        <w:rPr>
          <w:rFonts w:hint="eastAsia" w:ascii="楷体" w:hAnsi="楷体" w:eastAsia="楷体" w:cs="楷体"/>
          <w:b/>
          <w:bCs/>
          <w:kern w:val="2"/>
          <w:sz w:val="32"/>
          <w:szCs w:val="32"/>
          <w:lang w:val="en-US" w:eastAsia="zh-CN" w:bidi="ar-SA"/>
        </w:rPr>
        <w:t>（三）</w:t>
      </w:r>
      <w:r>
        <w:rPr>
          <w:rFonts w:hint="eastAsia" w:ascii="楷体" w:hAnsi="楷体" w:eastAsia="楷体" w:cs="楷体"/>
          <w:b/>
          <w:bCs/>
          <w:sz w:val="32"/>
          <w:szCs w:val="32"/>
          <w:lang w:val="en-US" w:eastAsia="zh-CN"/>
        </w:rPr>
        <w:t>绩效目标设定不合理</w:t>
      </w:r>
      <w:bookmarkEnd w:id="55"/>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sz w:val="32"/>
          <w:szCs w:val="32"/>
          <w:lang w:val="en-US" w:eastAsia="zh-CN"/>
        </w:rPr>
      </w:pPr>
      <w:r>
        <w:rPr>
          <w:rFonts w:hint="eastAsia"/>
          <w:sz w:val="32"/>
          <w:szCs w:val="32"/>
          <w:lang w:val="en-US" w:eastAsia="zh-CN"/>
        </w:rPr>
        <w:t>社会事业服务中心虽然设定了年度绩效目标，也根据年度绩效目标设定了详细的绩效指标值，但没有结合本年度重点工作来设置。该项目设定</w:t>
      </w:r>
      <w:r>
        <w:rPr>
          <w:rFonts w:hint="eastAsia" w:ascii="仿宋_GB2312" w:hAnsi="仿宋_GB2312" w:cs="仿宋_GB2312"/>
          <w:sz w:val="32"/>
          <w:szCs w:val="32"/>
          <w:lang w:val="en-US" w:eastAsia="zh-CN"/>
        </w:rPr>
        <w:t>年度绩效目标：一是湘江路小学办公楼装修；二是突发性校舍维修；三是普惠性幼儿园奖补。而本年度项目实施内容是2021年邓襄镇教师工资资金与开发区实验中学教学装备与教学设施。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1"/>
        <w:rPr>
          <w:rFonts w:hint="default"/>
          <w:lang w:val="en-US" w:eastAsia="zh-CN"/>
        </w:rPr>
      </w:pPr>
      <w:bookmarkStart w:id="56" w:name="_Toc28375"/>
      <w:r>
        <w:rPr>
          <w:rFonts w:hint="eastAsia" w:ascii="楷体" w:hAnsi="楷体" w:eastAsia="楷体" w:cs="楷体"/>
          <w:b/>
          <w:bCs/>
          <w:kern w:val="2"/>
          <w:sz w:val="32"/>
          <w:szCs w:val="32"/>
          <w:lang w:val="en-US" w:eastAsia="zh-CN" w:bidi="ar-SA"/>
        </w:rPr>
        <w:t>（四）</w:t>
      </w:r>
      <w:r>
        <w:rPr>
          <w:rFonts w:hint="eastAsia" w:ascii="楷体" w:hAnsi="楷体" w:eastAsia="楷体" w:cs="楷体"/>
          <w:b/>
          <w:bCs/>
          <w:sz w:val="32"/>
          <w:szCs w:val="32"/>
          <w:lang w:val="en-US" w:eastAsia="zh-CN"/>
        </w:rPr>
        <w:t>财务管理有待加强</w:t>
      </w:r>
      <w:bookmarkEnd w:id="56"/>
    </w:p>
    <w:p>
      <w:pPr>
        <w:numPr>
          <w:ilvl w:val="0"/>
          <w:numId w:val="0"/>
        </w:numPr>
        <w:spacing w:line="240" w:lineRule="auto"/>
        <w:ind w:left="0" w:leftChars="0" w:firstLine="640" w:firstLineChars="200"/>
        <w:outlineLvl w:val="0"/>
        <w:rPr>
          <w:rFonts w:hint="default" w:ascii="仿宋_GB2312" w:hAnsi="仿宋_GB2312" w:eastAsia="仿宋_GB2312" w:cs="仿宋_GB2312"/>
          <w:b w:val="0"/>
          <w:bCs w:val="0"/>
          <w:kern w:val="2"/>
          <w:sz w:val="32"/>
          <w:szCs w:val="32"/>
          <w:lang w:val="en-US" w:eastAsia="zh-CN" w:bidi="ar-SA"/>
        </w:rPr>
      </w:pPr>
      <w:bookmarkStart w:id="57" w:name="_Toc14561"/>
      <w:r>
        <w:rPr>
          <w:rFonts w:hint="eastAsia" w:ascii="仿宋_GB2312" w:hAnsi="仿宋_GB2312" w:cs="仿宋_GB2312"/>
          <w:b w:val="0"/>
          <w:bCs w:val="0"/>
          <w:kern w:val="2"/>
          <w:sz w:val="32"/>
          <w:szCs w:val="32"/>
          <w:lang w:val="en-US" w:eastAsia="zh-CN" w:bidi="ar-SA"/>
        </w:rPr>
        <w:t>通过查阅财务资料发现，一是记账凭证“审核”与“记账”处均未签字或盖章；二是2022年8月40#凭证，后附收款收据经手人未签字或盖章；三是2022年9月29#凭证，未附国库集中支付凭证，</w:t>
      </w:r>
      <w:r>
        <w:rPr>
          <w:rFonts w:hint="eastAsia" w:hAnsi="仿宋_GB2312" w:cs="仿宋_GB2312"/>
          <w:sz w:val="32"/>
          <w:szCs w:val="32"/>
          <w:shd w:val="clear"/>
          <w:lang w:val="en-US" w:eastAsia="zh-CN"/>
        </w:rPr>
        <w:t>在财政</w:t>
      </w:r>
      <w:r>
        <w:rPr>
          <w:rFonts w:hint="eastAsia" w:hAnsi="仿宋_GB2312" w:cs="仿宋_GB2312"/>
          <w:sz w:val="32"/>
          <w:szCs w:val="32"/>
          <w:lang w:val="en-US" w:eastAsia="zh-CN"/>
        </w:rPr>
        <w:t>资金支出审批表中分管财政领导批示“从教育附加中列支”，但实际</w:t>
      </w:r>
      <w:r>
        <w:rPr>
          <w:rFonts w:hint="eastAsia" w:hAnsi="仿宋_GB2312" w:cs="仿宋_GB2312"/>
          <w:sz w:val="32"/>
          <w:szCs w:val="32"/>
          <w:highlight w:val="none"/>
          <w:shd w:val="clear"/>
          <w:lang w:val="en-US" w:eastAsia="zh-CN"/>
        </w:rPr>
        <w:t>从该项目资金中支付</w:t>
      </w:r>
      <w:r>
        <w:rPr>
          <w:rFonts w:hint="eastAsia" w:hAnsi="仿宋_GB2312" w:cs="仿宋_GB2312"/>
          <w:sz w:val="32"/>
          <w:szCs w:val="32"/>
          <w:lang w:val="en-US" w:eastAsia="zh-CN"/>
        </w:rPr>
        <w:t>。</w:t>
      </w:r>
      <w:bookmarkEnd w:id="57"/>
    </w:p>
    <w:p>
      <w:pPr>
        <w:numPr>
          <w:ilvl w:val="0"/>
          <w:numId w:val="0"/>
        </w:numPr>
        <w:spacing w:line="580" w:lineRule="exact"/>
        <w:ind w:left="600" w:leftChars="200"/>
        <w:outlineLvl w:val="0"/>
        <w:rPr>
          <w:rFonts w:hint="eastAsia" w:ascii="黑体" w:hAnsi="黑体" w:eastAsia="黑体" w:cs="黑体"/>
          <w:b w:val="0"/>
          <w:bCs w:val="0"/>
          <w:sz w:val="32"/>
          <w:szCs w:val="32"/>
          <w:lang w:val="en-US" w:eastAsia="zh-CN"/>
        </w:rPr>
      </w:pPr>
      <w:bookmarkStart w:id="58" w:name="_Toc5603"/>
      <w:r>
        <w:rPr>
          <w:rFonts w:hint="eastAsia" w:ascii="黑体" w:hAnsi="黑体" w:eastAsia="黑体" w:cs="黑体"/>
          <w:b w:val="0"/>
          <w:bCs w:val="0"/>
          <w:kern w:val="2"/>
          <w:sz w:val="32"/>
          <w:szCs w:val="32"/>
          <w:lang w:val="en-US" w:eastAsia="zh-CN" w:bidi="ar-SA"/>
        </w:rPr>
        <w:t>七、</w:t>
      </w:r>
      <w:r>
        <w:rPr>
          <w:rFonts w:hint="eastAsia" w:ascii="黑体" w:hAnsi="黑体" w:eastAsia="黑体" w:cs="黑体"/>
          <w:b w:val="0"/>
          <w:bCs w:val="0"/>
          <w:sz w:val="32"/>
          <w:szCs w:val="32"/>
          <w:lang w:val="en-US" w:eastAsia="zh-CN"/>
        </w:rPr>
        <w:t>主要建议</w:t>
      </w:r>
      <w:bookmarkEnd w:id="58"/>
    </w:p>
    <w:p>
      <w:pPr>
        <w:pStyle w:val="5"/>
        <w:ind w:firstLine="643" w:firstLineChars="200"/>
        <w:outlineLvl w:val="1"/>
        <w:rPr>
          <w:rFonts w:hint="eastAsia" w:ascii="楷体" w:hAnsi="楷体" w:eastAsia="楷体" w:cs="楷体"/>
          <w:b/>
          <w:bCs/>
          <w:sz w:val="32"/>
          <w:szCs w:val="32"/>
          <w:lang w:val="en-US" w:eastAsia="zh-CN"/>
        </w:rPr>
      </w:pPr>
      <w:bookmarkStart w:id="59" w:name="_Toc12520"/>
      <w:r>
        <w:rPr>
          <w:rFonts w:hint="eastAsia" w:ascii="楷体" w:hAnsi="楷体" w:eastAsia="楷体" w:cs="楷体"/>
          <w:b/>
          <w:bCs/>
          <w:sz w:val="32"/>
          <w:szCs w:val="32"/>
          <w:lang w:val="en-US" w:eastAsia="zh-CN"/>
        </w:rPr>
        <w:t>（一）完善项目管理制度</w:t>
      </w:r>
      <w:bookmarkEnd w:id="59"/>
    </w:p>
    <w:p>
      <w:pPr>
        <w:pStyle w:val="2"/>
        <w:numPr>
          <w:ilvl w:val="0"/>
          <w:numId w:val="0"/>
        </w:numPr>
        <w:ind w:firstLine="600" w:firstLineChars="200"/>
        <w:rPr>
          <w:rFonts w:hint="eastAsia"/>
          <w:lang w:val="en-US" w:eastAsia="zh-CN"/>
        </w:rPr>
      </w:pPr>
      <w:r>
        <w:rPr>
          <w:rFonts w:hint="eastAsia"/>
          <w:lang w:val="en-US" w:eastAsia="zh-CN"/>
        </w:rPr>
        <w:t>一是社会事业服务中心应根据本区域的实际情况，依据教育专项资金项目政策要求，尽快制定有针对性的业务管理办法及专项经费管理制度，细化制度条款。加强项目监督管理，促进管理规范，为建设项目更好的实施创造良好的环境。</w:t>
      </w:r>
    </w:p>
    <w:p>
      <w:pPr>
        <w:pStyle w:val="2"/>
        <w:ind w:left="0" w:leftChars="0" w:firstLine="643" w:firstLineChars="200"/>
        <w:outlineLvl w:val="1"/>
        <w:rPr>
          <w:rFonts w:hint="eastAsia" w:eastAsia="楷体"/>
          <w:lang w:val="en-US" w:eastAsia="zh-CN"/>
        </w:rPr>
      </w:pPr>
      <w:bookmarkStart w:id="60" w:name="_Toc21523"/>
      <w:r>
        <w:rPr>
          <w:rFonts w:hint="eastAsia" w:ascii="楷体" w:hAnsi="楷体" w:eastAsia="楷体" w:cs="楷体"/>
          <w:b/>
          <w:bCs/>
          <w:sz w:val="32"/>
          <w:szCs w:val="32"/>
          <w:lang w:val="en-US" w:eastAsia="zh-CN"/>
        </w:rPr>
        <w:t>（二）规范预算编制</w:t>
      </w:r>
      <w:bookmarkEnd w:id="60"/>
      <w:r>
        <w:rPr>
          <w:rFonts w:hint="eastAsia" w:ascii="楷体" w:hAnsi="楷体" w:eastAsia="楷体" w:cs="楷体"/>
          <w:b/>
          <w:bCs/>
          <w:sz w:val="32"/>
          <w:szCs w:val="32"/>
          <w:lang w:val="en-US" w:eastAsia="zh-CN"/>
        </w:rPr>
        <w:t>程序</w:t>
      </w:r>
    </w:p>
    <w:p>
      <w:pPr>
        <w:ind w:firstLine="640" w:firstLineChars="200"/>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进一步加强部门预算编报规程管理，严格执行《预算法》、《预算法实施条例》以及国务院关于预算编制的有关要求，在编制年初预算时，要本着实事求是，量力而行的原则，详细统计分析往年决算，将分析结果结合当年工作安排和项目计划，将结转结余资金、上级转移支付、项目推进情况等因素进行预计和测算，合理编制年初预算，从而提升部门预算的科学合理性、准确性，充分发挥资金效益。</w:t>
      </w:r>
    </w:p>
    <w:p>
      <w:pPr>
        <w:pStyle w:val="2"/>
        <w:ind w:left="0" w:leftChars="0" w:firstLine="643" w:firstLineChars="200"/>
        <w:outlineLvl w:val="1"/>
        <w:rPr>
          <w:rFonts w:hint="default"/>
          <w:lang w:val="en-US" w:eastAsia="zh-CN"/>
        </w:rPr>
      </w:pPr>
      <w:bookmarkStart w:id="61" w:name="_Toc14508"/>
      <w:r>
        <w:rPr>
          <w:rFonts w:hint="eastAsia" w:ascii="楷体" w:hAnsi="楷体" w:eastAsia="楷体" w:cs="楷体"/>
          <w:b/>
          <w:bCs/>
          <w:sz w:val="32"/>
          <w:szCs w:val="32"/>
          <w:lang w:val="en-US" w:eastAsia="zh-CN"/>
        </w:rPr>
        <w:t>（三）完善绩效目标设定</w:t>
      </w:r>
      <w:bookmarkEnd w:id="61"/>
    </w:p>
    <w:p>
      <w:pPr>
        <w:pStyle w:val="5"/>
        <w:ind w:firstLine="640" w:firstLineChars="200"/>
        <w:rPr>
          <w:rFonts w:hint="eastAsia"/>
          <w:lang w:val="en-US" w:eastAsia="zh-CN"/>
        </w:rPr>
      </w:pPr>
      <w:r>
        <w:rPr>
          <w:rFonts w:hint="eastAsia"/>
          <w:lang w:val="en-US" w:eastAsia="zh-CN"/>
        </w:rPr>
        <w:t>完善教育专项资金绩效目标管理。结合年度重点工作，按专项资金的支持方向设置科学、合理、完整的绩效指标，为预算编制和分配、专项绩效监控开展和绩效评价提供重要基础和依据。同时，在项目申报、立项时，应在申报书或方案内明确项目绩效目标，可考虑针对同一类型的项目建立规范、统一的绩效目标框架，便于后期的项目验收、考评等工作，也能为教育专项资金绩效评价提供可整合的数据基础。</w:t>
      </w:r>
    </w:p>
    <w:p>
      <w:pPr>
        <w:ind w:firstLine="643" w:firstLineChars="200"/>
        <w:outlineLvl w:val="1"/>
        <w:rPr>
          <w:rFonts w:hint="eastAsia"/>
          <w:lang w:val="en-US" w:eastAsia="zh-CN"/>
        </w:rPr>
      </w:pPr>
      <w:bookmarkStart w:id="62" w:name="_Toc14769"/>
      <w:r>
        <w:rPr>
          <w:rFonts w:hint="eastAsia" w:ascii="楷体" w:hAnsi="楷体" w:eastAsia="楷体" w:cs="楷体"/>
          <w:b/>
          <w:bCs/>
          <w:sz w:val="32"/>
          <w:szCs w:val="32"/>
          <w:lang w:val="en-US" w:eastAsia="zh-CN"/>
        </w:rPr>
        <w:t>（四）进一步加强财务管理</w:t>
      </w:r>
      <w:bookmarkEnd w:id="62"/>
    </w:p>
    <w:p>
      <w:pPr>
        <w:ind w:firstLine="640" w:firstLineChars="200"/>
        <w:rPr>
          <w:rFonts w:eastAsia="仿宋"/>
          <w:snapToGrid w:val="0"/>
          <w:kern w:val="0"/>
          <w:sz w:val="32"/>
          <w:szCs w:val="32"/>
        </w:rPr>
      </w:pPr>
      <w:r>
        <w:rPr>
          <w:rFonts w:hint="eastAsia" w:eastAsia="仿宋"/>
          <w:snapToGrid w:val="0"/>
          <w:kern w:val="0"/>
          <w:sz w:val="32"/>
          <w:szCs w:val="32"/>
          <w:lang w:eastAsia="zh-CN"/>
        </w:rPr>
        <w:t>一是</w:t>
      </w:r>
      <w:r>
        <w:rPr>
          <w:rFonts w:hint="eastAsia" w:eastAsia="仿宋"/>
          <w:snapToGrid w:val="0"/>
          <w:kern w:val="0"/>
          <w:sz w:val="32"/>
          <w:szCs w:val="32"/>
        </w:rPr>
        <w:t>加强支出审核控制，全面审核各类单据，</w:t>
      </w:r>
      <w:r>
        <w:rPr>
          <w:rFonts w:hint="eastAsia" w:eastAsia="仿宋"/>
          <w:snapToGrid w:val="0"/>
          <w:kern w:val="0"/>
          <w:sz w:val="32"/>
          <w:szCs w:val="32"/>
          <w:lang w:eastAsia="zh-CN"/>
        </w:rPr>
        <w:t>重点</w:t>
      </w:r>
      <w:r>
        <w:rPr>
          <w:rFonts w:hint="eastAsia" w:eastAsia="仿宋"/>
          <w:snapToGrid w:val="0"/>
          <w:kern w:val="0"/>
          <w:sz w:val="32"/>
          <w:szCs w:val="32"/>
        </w:rPr>
        <w:t>审核单据内容是否真实、完整，使用是否准确，是否符合预算，审批手续是否齐全。支出凭证应当附有反映支出明细内容的原始单据，并由经办人员签字或盖章，超出规定</w:t>
      </w:r>
      <w:r>
        <w:rPr>
          <w:rFonts w:hint="eastAsia" w:eastAsia="仿宋"/>
          <w:snapToGrid w:val="0"/>
          <w:kern w:val="0"/>
          <w:sz w:val="32"/>
          <w:szCs w:val="32"/>
          <w:lang w:eastAsia="zh-CN"/>
        </w:rPr>
        <w:t>的</w:t>
      </w:r>
      <w:r>
        <w:rPr>
          <w:rFonts w:hint="eastAsia" w:eastAsia="仿宋"/>
          <w:snapToGrid w:val="0"/>
          <w:kern w:val="0"/>
          <w:sz w:val="32"/>
          <w:szCs w:val="32"/>
        </w:rPr>
        <w:t>支出事项应由经办人员说明原因并附审批依据，确保与经济业务事项相符；</w:t>
      </w:r>
      <w:r>
        <w:rPr>
          <w:rFonts w:hint="eastAsia" w:eastAsia="仿宋"/>
          <w:snapToGrid w:val="0"/>
          <w:kern w:val="0"/>
          <w:sz w:val="32"/>
          <w:szCs w:val="32"/>
          <w:lang w:eastAsia="zh-CN"/>
        </w:rPr>
        <w:t>二</w:t>
      </w:r>
      <w:r>
        <w:rPr>
          <w:rFonts w:hint="eastAsia" w:eastAsia="仿宋"/>
          <w:snapToGrid w:val="0"/>
          <w:kern w:val="0"/>
          <w:sz w:val="32"/>
          <w:szCs w:val="32"/>
        </w:rPr>
        <w:t>是强化日常监管，不定期抽查项目资金管理使用情况，关注资金支出动向，守好资金监管防线，确保资金使用合规性</w:t>
      </w:r>
      <w:r>
        <w:rPr>
          <w:rFonts w:eastAsia="仿宋"/>
          <w:snapToGrid w:val="0"/>
          <w:kern w:val="0"/>
          <w:sz w:val="32"/>
          <w:szCs w:val="32"/>
        </w:rPr>
        <w:t>。</w:t>
      </w:r>
    </w:p>
    <w:p>
      <w:pPr>
        <w:numPr>
          <w:ilvl w:val="0"/>
          <w:numId w:val="0"/>
        </w:numPr>
        <w:spacing w:line="580" w:lineRule="exact"/>
        <w:ind w:firstLine="320" w:firstLineChars="100"/>
        <w:jc w:val="left"/>
        <w:rPr>
          <w:rFonts w:hint="eastAsia" w:ascii="仿宋_GB2312" w:hAnsi="仿宋_GB2312" w:cs="仿宋_GB2312"/>
          <w:sz w:val="32"/>
          <w:szCs w:val="32"/>
          <w:lang w:val="en-US" w:eastAsia="zh-CN"/>
        </w:rPr>
      </w:pPr>
    </w:p>
    <w:p>
      <w:pPr>
        <w:pStyle w:val="5"/>
        <w:rPr>
          <w:rFonts w:hint="eastAsia" w:ascii="仿宋_GB2312" w:hAnsi="仿宋_GB2312" w:cs="仿宋_GB2312"/>
          <w:sz w:val="32"/>
          <w:szCs w:val="32"/>
          <w:lang w:val="en-US" w:eastAsia="zh-CN"/>
        </w:rPr>
      </w:pPr>
    </w:p>
    <w:p>
      <w:pPr>
        <w:rPr>
          <w:rFonts w:hint="eastAsia"/>
          <w:lang w:val="en-US" w:eastAsia="zh-CN"/>
        </w:rPr>
      </w:pPr>
    </w:p>
    <w:p>
      <w:pPr>
        <w:numPr>
          <w:ilvl w:val="0"/>
          <w:numId w:val="0"/>
        </w:numPr>
        <w:spacing w:line="580" w:lineRule="exact"/>
        <w:ind w:firstLine="320" w:firstLineChars="100"/>
        <w:rPr>
          <w:rFonts w:hint="eastAsia" w:ascii="仿宋_GB2312" w:hAnsi="仿宋_GB2312" w:cs="仿宋_GB2312"/>
          <w:sz w:val="32"/>
          <w:szCs w:val="32"/>
          <w:lang w:val="en-US" w:eastAsia="zh-CN"/>
        </w:rPr>
      </w:pPr>
    </w:p>
    <w:p>
      <w:pPr>
        <w:numPr>
          <w:ilvl w:val="0"/>
          <w:numId w:val="0"/>
        </w:numPr>
        <w:spacing w:line="580" w:lineRule="exact"/>
        <w:ind w:firstLine="320" w:firstLineChars="1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漯河金桥联合会计师事务所    中国注册会计师：</w:t>
      </w:r>
    </w:p>
    <w:p>
      <w:pPr>
        <w:numPr>
          <w:ilvl w:val="0"/>
          <w:numId w:val="0"/>
        </w:numPr>
        <w:spacing w:line="580" w:lineRule="exact"/>
        <w:ind w:firstLine="640" w:firstLineChars="200"/>
        <w:rPr>
          <w:rFonts w:hint="eastAsia" w:ascii="仿宋_GB2312" w:hAnsi="仿宋_GB2312" w:cs="仿宋_GB2312"/>
          <w:sz w:val="32"/>
          <w:szCs w:val="32"/>
          <w:lang w:val="en-US" w:eastAsia="zh-CN"/>
        </w:rPr>
      </w:pPr>
    </w:p>
    <w:p>
      <w:pPr>
        <w:numPr>
          <w:ilvl w:val="0"/>
          <w:numId w:val="0"/>
        </w:numPr>
        <w:spacing w:line="580" w:lineRule="exact"/>
        <w:ind w:firstLine="1280" w:firstLineChars="4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中国·漯河            中国注册会计师：</w:t>
      </w:r>
    </w:p>
    <w:p>
      <w:pPr>
        <w:pStyle w:val="5"/>
        <w:rPr>
          <w:rFonts w:hint="eastAsia"/>
          <w:lang w:val="en-US" w:eastAsia="zh-CN"/>
        </w:rPr>
      </w:pPr>
    </w:p>
    <w:p>
      <w:pPr>
        <w:numPr>
          <w:ilvl w:val="0"/>
          <w:numId w:val="0"/>
        </w:numPr>
        <w:spacing w:line="580" w:lineRule="exact"/>
        <w:ind w:firstLine="640" w:firstLineChars="200"/>
        <w:rPr>
          <w:rFonts w:hint="eastAsia"/>
        </w:rPr>
      </w:pPr>
      <w:r>
        <w:rPr>
          <w:rFonts w:hint="eastAsia" w:ascii="仿宋_GB2312" w:hAnsi="仿宋_GB2312" w:cs="仿宋_GB2312"/>
          <w:sz w:val="32"/>
          <w:szCs w:val="32"/>
          <w:lang w:val="en-US" w:eastAsia="zh-CN"/>
        </w:rPr>
        <w:t xml:space="preserve">                          2023年</w:t>
      </w:r>
      <w:r>
        <w:rPr>
          <w:rFonts w:hint="eastAsia" w:ascii="仿宋_GB2312" w:hAnsi="仿宋_GB2312" w:cs="仿宋_GB2312"/>
          <w:sz w:val="32"/>
          <w:szCs w:val="32"/>
          <w:highlight w:val="none"/>
          <w:lang w:val="en-US" w:eastAsia="zh-CN"/>
        </w:rPr>
        <w:t>6月30日</w:t>
      </w:r>
    </w:p>
    <w:p>
      <w:pPr>
        <w:pStyle w:val="5"/>
        <w:rPr>
          <w:rFonts w:hint="eastAsia"/>
          <w:lang w:eastAsia="zh-CN"/>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4"/>
        <w:keepNext/>
        <w:keepLines/>
        <w:pageBreakBefore w:val="0"/>
        <w:widowControl w:val="0"/>
        <w:kinsoku/>
        <w:wordWrap/>
        <w:overflowPunct/>
        <w:topLinePunct w:val="0"/>
        <w:autoSpaceDE/>
        <w:autoSpaceDN/>
        <w:bidi w:val="0"/>
        <w:adjustRightInd/>
        <w:snapToGrid/>
        <w:spacing w:line="240" w:lineRule="auto"/>
        <w:textAlignment w:val="auto"/>
        <w:outlineLvl w:val="0"/>
        <w:rPr>
          <w:rFonts w:hint="eastAsia" w:ascii="Times New Roman" w:hAnsi="Times New Roman" w:cs="Times New Roman"/>
        </w:rPr>
      </w:pPr>
      <w:bookmarkStart w:id="63" w:name="_Toc1763"/>
      <w:bookmarkStart w:id="64" w:name="_Toc945"/>
      <w:bookmarkStart w:id="65" w:name="_Toc12844"/>
      <w:r>
        <w:rPr>
          <w:rFonts w:hint="eastAsia" w:ascii="仿宋" w:hAnsi="仿宋" w:eastAsia="仿宋" w:cs="仿宋"/>
          <w:sz w:val="30"/>
          <w:szCs w:val="30"/>
        </w:rPr>
        <w:t>附件-1 项目基本情况表</w:t>
      </w:r>
      <w:bookmarkEnd w:id="63"/>
      <w:bookmarkEnd w:id="64"/>
      <w:bookmarkEnd w:id="65"/>
    </w:p>
    <w:p>
      <w:pPr>
        <w:bidi w:val="0"/>
        <w:jc w:val="center"/>
        <w:outlineLvl w:val="0"/>
        <w:rPr>
          <w:b/>
          <w:bCs/>
          <w:sz w:val="32"/>
          <w:szCs w:val="32"/>
        </w:rPr>
      </w:pPr>
      <w:bookmarkStart w:id="66" w:name="_Toc22648"/>
      <w:r>
        <w:rPr>
          <w:rFonts w:hint="eastAsia"/>
          <w:b/>
          <w:bCs/>
          <w:sz w:val="32"/>
          <w:szCs w:val="32"/>
        </w:rPr>
        <w:t>漯河</w:t>
      </w:r>
      <w:r>
        <w:rPr>
          <w:rFonts w:hint="eastAsia"/>
          <w:b/>
          <w:bCs/>
          <w:sz w:val="32"/>
          <w:szCs w:val="32"/>
          <w:lang w:eastAsia="zh-CN"/>
        </w:rPr>
        <w:t>经济技术开发区教育专项资金项目</w:t>
      </w:r>
      <w:r>
        <w:rPr>
          <w:rFonts w:hint="eastAsia"/>
          <w:b/>
          <w:bCs/>
          <w:sz w:val="32"/>
          <w:szCs w:val="32"/>
        </w:rPr>
        <w:t>基本情况表</w:t>
      </w:r>
      <w:bookmarkEnd w:id="66"/>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018"/>
        <w:gridCol w:w="1377"/>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242" w:type="dxa"/>
            <w:vMerge w:val="restart"/>
            <w:vAlign w:val="center"/>
          </w:tcPr>
          <w:p>
            <w:pPr>
              <w:rPr>
                <w:rFonts w:ascii="Times New Roman" w:hAnsi="Times New Roman" w:eastAsia="楷体_GB2312" w:cs="Times New Roman"/>
                <w:b/>
                <w:sz w:val="24"/>
                <w:szCs w:val="24"/>
              </w:rPr>
            </w:pPr>
            <w:r>
              <w:rPr>
                <w:rFonts w:ascii="Times New Roman" w:hAnsi="Times New Roman" w:eastAsia="楷体_GB2312" w:cs="Times New Roman"/>
                <w:b/>
                <w:sz w:val="24"/>
                <w:szCs w:val="24"/>
              </w:rPr>
              <w:t>项目名称</w:t>
            </w:r>
          </w:p>
        </w:tc>
        <w:tc>
          <w:tcPr>
            <w:tcW w:w="3018" w:type="dxa"/>
            <w:vMerge w:val="restart"/>
            <w:vAlign w:val="center"/>
          </w:tcPr>
          <w:p>
            <w:pPr>
              <w:spacing w:line="400" w:lineRule="exact"/>
              <w:rPr>
                <w:rFonts w:hint="default" w:ascii="Times New Roman" w:hAnsi="Times New Roman" w:eastAsia="仿宋_GB2312" w:cs="Times New Roman"/>
                <w:sz w:val="24"/>
                <w:szCs w:val="24"/>
                <w:lang w:val="en-US" w:eastAsia="zh-CN"/>
              </w:rPr>
            </w:pPr>
            <w:r>
              <w:rPr>
                <w:rFonts w:hint="eastAsia" w:ascii="Times New Roman" w:hAnsi="Times New Roman" w:cs="Times New Roman"/>
                <w:sz w:val="24"/>
                <w:szCs w:val="24"/>
                <w:lang w:val="en-US" w:eastAsia="zh-CN"/>
              </w:rPr>
              <w:t>教育专项资金</w:t>
            </w:r>
          </w:p>
        </w:tc>
        <w:tc>
          <w:tcPr>
            <w:tcW w:w="1377" w:type="dxa"/>
            <w:vAlign w:val="center"/>
          </w:tcPr>
          <w:p>
            <w:pPr>
              <w:rPr>
                <w:rFonts w:ascii="Times New Roman" w:hAnsi="Times New Roman" w:eastAsia="楷体_GB2312" w:cs="Times New Roman"/>
                <w:b/>
                <w:bCs/>
                <w:sz w:val="24"/>
                <w:szCs w:val="24"/>
              </w:rPr>
            </w:pPr>
            <w:r>
              <w:rPr>
                <w:rFonts w:ascii="Times New Roman" w:hAnsi="Times New Roman" w:eastAsia="楷体_GB2312" w:cs="Times New Roman"/>
                <w:b/>
                <w:bCs/>
                <w:sz w:val="24"/>
                <w:szCs w:val="24"/>
              </w:rPr>
              <w:t>项目单位</w:t>
            </w:r>
          </w:p>
        </w:tc>
        <w:tc>
          <w:tcPr>
            <w:tcW w:w="2885" w:type="dxa"/>
            <w:vAlign w:val="center"/>
          </w:tcPr>
          <w:p>
            <w:pPr>
              <w:spacing w:line="400" w:lineRule="exact"/>
              <w:rPr>
                <w:rFonts w:hint="eastAsia" w:ascii="Times New Roman" w:hAnsi="Times New Roman" w:cs="Times New Roman"/>
                <w:sz w:val="24"/>
                <w:szCs w:val="24"/>
              </w:rPr>
            </w:pPr>
            <w:r>
              <w:rPr>
                <w:rFonts w:hint="default" w:ascii="Times New Roman" w:hAnsi="Times New Roman" w:cs="Times New Roman"/>
                <w:sz w:val="24"/>
                <w:szCs w:val="24"/>
                <w:lang w:val="en-US" w:eastAsia="zh-CN"/>
              </w:rPr>
              <w:t>漯河经济技术开发区社会事业服务中心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42" w:type="dxa"/>
            <w:vMerge w:val="continue"/>
          </w:tcPr>
          <w:p>
            <w:pPr>
              <w:rPr>
                <w:rFonts w:ascii="Times New Roman" w:hAnsi="Times New Roman" w:eastAsia="楷体_GB2312" w:cs="Times New Roman"/>
                <w:b/>
                <w:sz w:val="24"/>
                <w:szCs w:val="24"/>
              </w:rPr>
            </w:pPr>
          </w:p>
        </w:tc>
        <w:tc>
          <w:tcPr>
            <w:tcW w:w="3018" w:type="dxa"/>
            <w:vMerge w:val="continue"/>
          </w:tcPr>
          <w:p>
            <w:pPr>
              <w:rPr>
                <w:rFonts w:ascii="Times New Roman" w:hAnsi="Times New Roman" w:eastAsia="楷体_GB2312" w:cs="Times New Roman"/>
                <w:sz w:val="24"/>
                <w:szCs w:val="24"/>
              </w:rPr>
            </w:pPr>
          </w:p>
        </w:tc>
        <w:tc>
          <w:tcPr>
            <w:tcW w:w="1377" w:type="dxa"/>
            <w:vAlign w:val="center"/>
          </w:tcPr>
          <w:p>
            <w:pPr>
              <w:rPr>
                <w:rFonts w:ascii="Times New Roman" w:hAnsi="Times New Roman" w:eastAsia="楷体_GB2312" w:cs="Times New Roman"/>
                <w:b/>
                <w:bCs/>
                <w:sz w:val="24"/>
                <w:szCs w:val="24"/>
              </w:rPr>
            </w:pPr>
            <w:r>
              <w:rPr>
                <w:rFonts w:ascii="Times New Roman" w:hAnsi="Times New Roman" w:eastAsia="楷体_GB2312" w:cs="Times New Roman"/>
                <w:b/>
                <w:bCs/>
                <w:sz w:val="24"/>
                <w:szCs w:val="24"/>
              </w:rPr>
              <w:t>主管部门</w:t>
            </w:r>
          </w:p>
        </w:tc>
        <w:tc>
          <w:tcPr>
            <w:tcW w:w="2885" w:type="dxa"/>
            <w:vAlign w:val="center"/>
          </w:tcPr>
          <w:p>
            <w:pPr>
              <w:spacing w:line="400" w:lineRule="exact"/>
              <w:rPr>
                <w:rFonts w:hint="eastAsia" w:ascii="Times New Roman" w:hAnsi="Times New Roman" w:cs="Times New Roman"/>
                <w:sz w:val="24"/>
                <w:szCs w:val="24"/>
              </w:rPr>
            </w:pPr>
            <w:r>
              <w:rPr>
                <w:rFonts w:hint="default" w:ascii="Times New Roman" w:hAnsi="Times New Roman" w:cs="Times New Roman"/>
                <w:sz w:val="24"/>
                <w:szCs w:val="24"/>
                <w:lang w:val="en-US" w:eastAsia="zh-CN"/>
              </w:rPr>
              <w:t>漯河经济技术开发区社会事业服务中心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242" w:type="dxa"/>
            <w:vMerge w:val="continue"/>
          </w:tcPr>
          <w:p>
            <w:pPr>
              <w:rPr>
                <w:rFonts w:ascii="Times New Roman" w:hAnsi="Times New Roman" w:eastAsia="楷体_GB2312" w:cs="Times New Roman"/>
                <w:b/>
                <w:sz w:val="24"/>
                <w:szCs w:val="24"/>
              </w:rPr>
            </w:pPr>
          </w:p>
        </w:tc>
        <w:tc>
          <w:tcPr>
            <w:tcW w:w="3018" w:type="dxa"/>
            <w:vMerge w:val="continue"/>
          </w:tcPr>
          <w:p>
            <w:pPr>
              <w:rPr>
                <w:rFonts w:ascii="Times New Roman" w:hAnsi="Times New Roman" w:eastAsia="楷体_GB2312" w:cs="Times New Roman"/>
                <w:sz w:val="24"/>
                <w:szCs w:val="24"/>
              </w:rPr>
            </w:pPr>
          </w:p>
        </w:tc>
        <w:tc>
          <w:tcPr>
            <w:tcW w:w="1377" w:type="dxa"/>
            <w:vAlign w:val="center"/>
          </w:tcPr>
          <w:p>
            <w:pPr>
              <w:rPr>
                <w:rFonts w:ascii="Times New Roman" w:hAnsi="Times New Roman" w:eastAsia="楷体_GB2312" w:cs="Times New Roman"/>
                <w:b/>
                <w:bCs/>
                <w:sz w:val="24"/>
                <w:szCs w:val="24"/>
              </w:rPr>
            </w:pPr>
            <w:r>
              <w:rPr>
                <w:rFonts w:ascii="Times New Roman" w:hAnsi="Times New Roman" w:eastAsia="楷体_GB2312" w:cs="Times New Roman"/>
                <w:b/>
                <w:bCs/>
                <w:sz w:val="24"/>
                <w:szCs w:val="24"/>
              </w:rPr>
              <w:t>项目金额</w:t>
            </w:r>
          </w:p>
        </w:tc>
        <w:tc>
          <w:tcPr>
            <w:tcW w:w="2885" w:type="dxa"/>
            <w:vAlign w:val="center"/>
          </w:tcPr>
          <w:p>
            <w:pPr>
              <w:spacing w:line="400" w:lineRule="exact"/>
              <w:rPr>
                <w:rFonts w:hint="default" w:ascii="Times New Roman" w:hAnsi="Times New Roman" w:cs="Times New Roman"/>
                <w:sz w:val="24"/>
                <w:szCs w:val="24"/>
                <w:lang w:val="en-US" w:eastAsia="zh-CN"/>
              </w:rPr>
            </w:pPr>
            <w:r>
              <w:rPr>
                <w:rFonts w:hint="eastAsia" w:cs="Times New Roman"/>
                <w:sz w:val="24"/>
                <w:szCs w:val="24"/>
                <w:lang w:val="en-US" w:eastAsia="zh-CN"/>
              </w:rPr>
              <w:t>462.9万元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1242" w:type="dxa"/>
            <w:vAlign w:val="center"/>
          </w:tcPr>
          <w:p>
            <w:pPr>
              <w:jc w:val="center"/>
              <w:rPr>
                <w:rFonts w:ascii="Times New Roman" w:hAnsi="Times New Roman" w:eastAsia="楷体_GB2312" w:cs="Times New Roman"/>
                <w:b/>
                <w:sz w:val="24"/>
                <w:szCs w:val="24"/>
              </w:rPr>
            </w:pPr>
            <w:r>
              <w:rPr>
                <w:rFonts w:ascii="Times New Roman" w:hAnsi="Times New Roman" w:eastAsia="楷体_GB2312" w:cs="Times New Roman"/>
                <w:b/>
                <w:sz w:val="24"/>
                <w:szCs w:val="24"/>
              </w:rPr>
              <w:t>基本情况</w:t>
            </w:r>
          </w:p>
        </w:tc>
        <w:tc>
          <w:tcPr>
            <w:tcW w:w="7280" w:type="dxa"/>
            <w:gridSpan w:val="3"/>
          </w:tcPr>
          <w:p>
            <w:pPr>
              <w:spacing w:line="400" w:lineRule="exact"/>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以党的十九届四中全会精神为指导，贯彻落实中央和省、市、县对教育工作的部署，全面深化教育领域综合改革，以“育人为本、强化管理、改革创新、提升质量”为方针，按照“学前教育抓规范，义务教育抓均衡，高中教育促优质，职业教育促创新”的总体要求，加强管理，提高质量，谋划发展，促进公平，继续深化教育综合改革，以“办人民满意教育”为目标。</w:t>
            </w:r>
          </w:p>
          <w:p>
            <w:pPr>
              <w:spacing w:line="4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近年来，漯河经济技术开发区教育专项资金的管理使用不断规范，使用效益不断提高，有效促进了全区教育事业的健康发展。从2021年开始，建立了漯河经济技术开发区教育专项资金项目。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1242" w:type="dxa"/>
            <w:vAlign w:val="center"/>
          </w:tcPr>
          <w:p>
            <w:pPr>
              <w:jc w:val="center"/>
              <w:rPr>
                <w:rFonts w:ascii="Times New Roman" w:hAnsi="Times New Roman" w:eastAsia="楷体_GB2312" w:cs="Times New Roman"/>
                <w:b/>
                <w:sz w:val="24"/>
                <w:szCs w:val="24"/>
              </w:rPr>
            </w:pPr>
            <w:r>
              <w:rPr>
                <w:rFonts w:ascii="Times New Roman" w:hAnsi="Times New Roman" w:eastAsia="楷体_GB2312" w:cs="Times New Roman"/>
                <w:b/>
                <w:sz w:val="24"/>
                <w:szCs w:val="24"/>
              </w:rPr>
              <w:t>绩效目标</w:t>
            </w:r>
          </w:p>
        </w:tc>
        <w:tc>
          <w:tcPr>
            <w:tcW w:w="7280" w:type="dxa"/>
            <w:gridSpan w:val="3"/>
            <w:vAlign w:val="center"/>
          </w:tcPr>
          <w:p>
            <w:pPr>
              <w:spacing w:line="4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年度绩效目标：一是湘江路小学办公楼装修；二是突发性校舍维修；三是普惠性幼儿园奖补。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242" w:type="dxa"/>
            <w:vAlign w:val="center"/>
          </w:tcPr>
          <w:p>
            <w:pPr>
              <w:jc w:val="center"/>
              <w:rPr>
                <w:rFonts w:ascii="Times New Roman" w:hAnsi="Times New Roman" w:eastAsia="楷体_GB2312" w:cs="Times New Roman"/>
                <w:b/>
                <w:sz w:val="24"/>
                <w:szCs w:val="24"/>
              </w:rPr>
            </w:pPr>
            <w:r>
              <w:rPr>
                <w:rFonts w:ascii="Times New Roman" w:hAnsi="Times New Roman" w:eastAsia="楷体_GB2312" w:cs="Times New Roman"/>
                <w:b/>
                <w:sz w:val="24"/>
                <w:szCs w:val="24"/>
              </w:rPr>
              <w:t>目标达成情况</w:t>
            </w:r>
          </w:p>
        </w:tc>
        <w:tc>
          <w:tcPr>
            <w:tcW w:w="7280" w:type="dxa"/>
            <w:gridSpan w:val="3"/>
            <w:vAlign w:val="center"/>
          </w:tcPr>
          <w:p>
            <w:pPr>
              <w:spacing w:line="400" w:lineRule="exact"/>
              <w:ind w:firstLine="480" w:firstLineChars="200"/>
              <w:jc w:val="left"/>
              <w:rPr>
                <w:rFonts w:hint="eastAsia" w:ascii="Times New Roman" w:hAnsi="Times New Roman" w:eastAsia="仿宋_GB2312" w:cs="Times New Roman"/>
                <w:color w:val="000000" w:themeColor="text1"/>
                <w:sz w:val="24"/>
                <w:szCs w:val="24"/>
                <w:lang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项目年度目标基本未</w:t>
            </w:r>
            <w:r>
              <w:rPr>
                <w:rFonts w:ascii="Times New Roman" w:hAnsi="Times New Roman" w:cs="Times New Roman"/>
                <w:color w:val="000000" w:themeColor="text1"/>
                <w:sz w:val="24"/>
                <w:szCs w:val="24"/>
                <w:highlight w:val="none"/>
                <w14:textFill>
                  <w14:solidFill>
                    <w14:schemeClr w14:val="tx1"/>
                  </w14:solidFill>
                </w14:textFill>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1242" w:type="dxa"/>
            <w:vAlign w:val="center"/>
          </w:tcPr>
          <w:p>
            <w:pPr>
              <w:jc w:val="center"/>
              <w:rPr>
                <w:rFonts w:ascii="Times New Roman" w:hAnsi="Times New Roman" w:eastAsia="楷体_GB2312" w:cs="Times New Roman"/>
                <w:b/>
                <w:sz w:val="24"/>
                <w:szCs w:val="24"/>
              </w:rPr>
            </w:pPr>
            <w:r>
              <w:rPr>
                <w:rFonts w:hint="eastAsia" w:ascii="Times New Roman" w:hAnsi="Times New Roman" w:eastAsia="楷体_GB2312" w:cs="Times New Roman"/>
                <w:b/>
                <w:sz w:val="24"/>
                <w:szCs w:val="24"/>
              </w:rPr>
              <w:t>资金投入情况</w:t>
            </w:r>
          </w:p>
        </w:tc>
        <w:tc>
          <w:tcPr>
            <w:tcW w:w="7280" w:type="dxa"/>
            <w:gridSpan w:val="3"/>
          </w:tcPr>
          <w:p>
            <w:pPr>
              <w:spacing w:line="4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lang w:val="en-US" w:eastAsia="zh-CN"/>
              </w:rPr>
              <w:t>根据《漯河经济技术开发区财政局关于批复2022年部门预算的通知》（漯开财〔2022〕7号），2022年教育专项资金项目预算批复462.9万元，年终调减150.7万元，全年预算资金共计312.2万元,全年实际支出281.95万元，年底结余资金30.25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1242" w:type="dxa"/>
            <w:vAlign w:val="center"/>
          </w:tcPr>
          <w:p>
            <w:pPr>
              <w:jc w:val="center"/>
              <w:rPr>
                <w:rFonts w:ascii="Times New Roman" w:hAnsi="Times New Roman" w:eastAsia="楷体_GB2312" w:cs="Times New Roman"/>
                <w:b/>
                <w:sz w:val="24"/>
                <w:szCs w:val="24"/>
              </w:rPr>
            </w:pPr>
            <w:r>
              <w:rPr>
                <w:rFonts w:hint="eastAsia" w:ascii="Times New Roman" w:hAnsi="Times New Roman" w:eastAsia="楷体_GB2312" w:cs="Times New Roman"/>
                <w:b/>
                <w:sz w:val="24"/>
                <w:szCs w:val="24"/>
              </w:rPr>
              <w:t>项目运行</w:t>
            </w:r>
            <w:r>
              <w:rPr>
                <w:rFonts w:ascii="Times New Roman" w:hAnsi="Times New Roman" w:eastAsia="楷体_GB2312" w:cs="Times New Roman"/>
                <w:b/>
                <w:sz w:val="24"/>
                <w:szCs w:val="24"/>
              </w:rPr>
              <w:t>情况</w:t>
            </w:r>
          </w:p>
        </w:tc>
        <w:tc>
          <w:tcPr>
            <w:tcW w:w="7280" w:type="dxa"/>
            <w:gridSpan w:val="3"/>
          </w:tcPr>
          <w:p>
            <w:pPr>
              <w:spacing w:line="400" w:lineRule="exact"/>
              <w:ind w:firstLine="480" w:firstLineChars="200"/>
              <w:rPr>
                <w:rFonts w:ascii="Times New Roman" w:hAnsi="Times New Roman" w:cs="Times New Roman"/>
                <w:b/>
                <w:sz w:val="24"/>
                <w:szCs w:val="24"/>
              </w:rPr>
            </w:pPr>
            <w:r>
              <w:rPr>
                <w:rFonts w:hint="eastAsia" w:cs="Times New Roman"/>
                <w:sz w:val="24"/>
                <w:szCs w:val="24"/>
                <w:shd w:val="clear"/>
                <w:lang w:val="en-US" w:eastAsia="zh-CN"/>
              </w:rPr>
              <w:t>经开</w:t>
            </w:r>
            <w:r>
              <w:rPr>
                <w:rFonts w:hint="eastAsia" w:ascii="Times New Roman" w:hAnsi="Times New Roman" w:cs="Times New Roman"/>
                <w:sz w:val="24"/>
                <w:szCs w:val="24"/>
                <w:shd w:val="clear"/>
                <w:lang w:val="en-US" w:eastAsia="zh-CN"/>
              </w:rPr>
              <w:t>区2022年</w:t>
            </w:r>
            <w:r>
              <w:rPr>
                <w:rFonts w:hint="eastAsia" w:cs="Times New Roman"/>
                <w:sz w:val="24"/>
                <w:szCs w:val="24"/>
                <w:shd w:val="clear"/>
                <w:lang w:val="en-US" w:eastAsia="zh-CN"/>
              </w:rPr>
              <w:t>教育专项资金</w:t>
            </w:r>
            <w:r>
              <w:rPr>
                <w:rFonts w:hint="eastAsia" w:ascii="Times New Roman" w:hAnsi="Times New Roman" w:cs="Times New Roman"/>
                <w:sz w:val="24"/>
                <w:szCs w:val="24"/>
                <w:shd w:val="clear"/>
                <w:lang w:val="en-US" w:eastAsia="zh-CN"/>
              </w:rPr>
              <w:t>项目运营情况为“</w:t>
            </w:r>
            <w:r>
              <w:rPr>
                <w:rFonts w:hint="eastAsia" w:cs="Times New Roman"/>
                <w:sz w:val="24"/>
                <w:szCs w:val="24"/>
                <w:shd w:val="clear"/>
                <w:lang w:val="en-US" w:eastAsia="zh-CN"/>
              </w:rPr>
              <w:t>中</w:t>
            </w:r>
            <w:r>
              <w:rPr>
                <w:rFonts w:hint="eastAsia" w:ascii="Times New Roman" w:hAnsi="Times New Roman" w:cs="Times New Roman"/>
                <w:sz w:val="24"/>
                <w:szCs w:val="24"/>
                <w:shd w:val="clear"/>
                <w:lang w:val="en-US" w:eastAsia="zh-CN"/>
              </w:rPr>
              <w:t>”，项目整体运行正常；但项目运行仍有部分不足，存在</w:t>
            </w:r>
            <w:r>
              <w:rPr>
                <w:rFonts w:hint="eastAsia" w:cs="Times New Roman"/>
                <w:sz w:val="24"/>
                <w:szCs w:val="24"/>
                <w:shd w:val="clear"/>
                <w:lang w:val="en-US" w:eastAsia="zh-CN"/>
              </w:rPr>
              <w:t>预算编制不科学、</w:t>
            </w:r>
            <w:r>
              <w:rPr>
                <w:rFonts w:hint="eastAsia" w:ascii="Times New Roman" w:hAnsi="Times New Roman" w:cs="Times New Roman"/>
                <w:sz w:val="24"/>
                <w:szCs w:val="24"/>
                <w:shd w:val="clear"/>
                <w:lang w:val="en-US" w:eastAsia="zh-CN"/>
              </w:rPr>
              <w:t>项目绩效目标设置不合理、项目管理单位管理制度</w:t>
            </w:r>
            <w:r>
              <w:rPr>
                <w:rFonts w:hint="eastAsia" w:cs="Times New Roman"/>
                <w:sz w:val="24"/>
                <w:szCs w:val="24"/>
                <w:shd w:val="clear"/>
                <w:lang w:val="en-US" w:eastAsia="zh-CN"/>
              </w:rPr>
              <w:t>待完善</w:t>
            </w:r>
            <w:r>
              <w:rPr>
                <w:rFonts w:hint="eastAsia" w:ascii="Times New Roman" w:hAnsi="Times New Roman" w:cs="Times New Roman"/>
                <w:sz w:val="24"/>
                <w:szCs w:val="24"/>
                <w:shd w:val="clear"/>
                <w:lang w:val="en-US" w:eastAsia="zh-CN"/>
              </w:rPr>
              <w:t>等问题。</w:t>
            </w:r>
          </w:p>
        </w:tc>
      </w:tr>
    </w:tbl>
    <w:p>
      <w:pPr>
        <w:pStyle w:val="3"/>
        <w:bidi w:val="0"/>
        <w:rPr>
          <w:rFonts w:hint="eastAsia" w:ascii="仿宋" w:hAnsi="仿宋" w:eastAsia="仿宋" w:cs="仿宋"/>
          <w:sz w:val="32"/>
          <w:szCs w:val="32"/>
        </w:rPr>
      </w:pPr>
      <w:bookmarkStart w:id="67" w:name="_Toc3772"/>
      <w:bookmarkStart w:id="68" w:name="_Toc5728"/>
      <w:bookmarkStart w:id="69" w:name="_Toc59673224"/>
      <w:bookmarkStart w:id="70" w:name="_Toc31336"/>
      <w:bookmarkStart w:id="71" w:name="_Toc76309914"/>
      <w:bookmarkStart w:id="72" w:name="_Toc5933"/>
      <w:bookmarkStart w:id="73" w:name="_Toc18790"/>
      <w:bookmarkStart w:id="74" w:name="_Toc70414096"/>
      <w:r>
        <w:rPr>
          <w:rFonts w:hint="eastAsia" w:ascii="仿宋" w:hAnsi="仿宋" w:eastAsia="仿宋" w:cs="仿宋"/>
          <w:sz w:val="30"/>
          <w:szCs w:val="30"/>
        </w:rPr>
        <w:t>附件-2 绩效评价方案</w:t>
      </w:r>
      <w:bookmarkEnd w:id="67"/>
      <w:bookmarkEnd w:id="68"/>
      <w:bookmarkEnd w:id="69"/>
      <w:bookmarkEnd w:id="70"/>
      <w:bookmarkEnd w:id="71"/>
      <w:bookmarkEnd w:id="72"/>
      <w:bookmarkEnd w:id="73"/>
      <w:bookmarkEnd w:id="74"/>
    </w:p>
    <w:p>
      <w:pPr>
        <w:bidi w:val="0"/>
        <w:ind w:firstLine="3614" w:firstLineChars="1200"/>
        <w:jc w:val="left"/>
        <w:rPr>
          <w:rFonts w:hint="eastAsia" w:ascii="仿宋" w:hAnsi="仿宋" w:eastAsia="仿宋" w:cs="仿宋"/>
          <w:b/>
          <w:bCs/>
          <w:sz w:val="30"/>
          <w:szCs w:val="30"/>
        </w:rPr>
      </w:pPr>
      <w:bookmarkStart w:id="75" w:name="_Hlk58923058"/>
      <w:bookmarkStart w:id="76" w:name="_Toc19073"/>
      <w:bookmarkStart w:id="77" w:name="_Toc13155"/>
      <w:r>
        <w:rPr>
          <w:rFonts w:hint="eastAsia" w:ascii="仿宋" w:hAnsi="仿宋" w:eastAsia="仿宋" w:cs="仿宋"/>
          <w:b/>
          <w:bCs/>
          <w:sz w:val="30"/>
          <w:szCs w:val="30"/>
        </w:rPr>
        <w:t>绩效</w:t>
      </w:r>
      <w:bookmarkEnd w:id="75"/>
      <w:r>
        <w:rPr>
          <w:rFonts w:hint="eastAsia" w:ascii="仿宋" w:hAnsi="仿宋" w:eastAsia="仿宋" w:cs="仿宋"/>
          <w:b/>
          <w:bCs/>
          <w:sz w:val="30"/>
          <w:szCs w:val="30"/>
        </w:rPr>
        <w:t>评价方案</w:t>
      </w:r>
      <w:bookmarkEnd w:id="76"/>
      <w:bookmarkEnd w:id="77"/>
    </w:p>
    <w:p>
      <w:pPr>
        <w:spacing w:line="400" w:lineRule="exact"/>
        <w:ind w:left="6160" w:hanging="5280" w:hangingChars="2200"/>
        <w:jc w:val="left"/>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项目名称</w:t>
      </w:r>
      <w:r>
        <w:rPr>
          <w:rFonts w:ascii="Times New Roman" w:hAnsi="Times New Roman" w:eastAsia="仿宋_GB2312" w:cs="Times New Roman"/>
          <w:kern w:val="2"/>
          <w:sz w:val="24"/>
          <w:szCs w:val="24"/>
          <w:lang w:val="en-US" w:eastAsia="zh-CN" w:bidi="ar-SA"/>
        </w:rPr>
        <w:t>：</w:t>
      </w:r>
      <w:r>
        <w:rPr>
          <w:rFonts w:hint="eastAsia" w:cs="Times New Roman"/>
          <w:kern w:val="2"/>
          <w:sz w:val="24"/>
          <w:szCs w:val="24"/>
          <w:lang w:val="en-US" w:eastAsia="zh-CN" w:bidi="ar-SA"/>
        </w:rPr>
        <w:t>教育专项资金</w:t>
      </w:r>
      <w:r>
        <w:rPr>
          <w:rFonts w:hint="eastAsia" w:ascii="Times New Roman" w:hAnsi="Times New Roman" w:eastAsia="仿宋_GB2312" w:cs="Times New Roman"/>
          <w:kern w:val="2"/>
          <w:sz w:val="24"/>
          <w:szCs w:val="24"/>
          <w:lang w:val="en-US" w:eastAsia="zh-CN" w:bidi="ar-SA"/>
        </w:rPr>
        <w:t xml:space="preserve"> </w:t>
      </w:r>
      <w:r>
        <w:rPr>
          <w:rFonts w:ascii="Times New Roman" w:hAnsi="Times New Roman" w:eastAsia="仿宋_GB2312" w:cs="Times New Roman"/>
          <w:kern w:val="2"/>
          <w:sz w:val="24"/>
          <w:szCs w:val="24"/>
          <w:lang w:val="en-US" w:eastAsia="zh-CN" w:bidi="ar-SA"/>
        </w:rPr>
        <w:t xml:space="preserve">    </w:t>
      </w:r>
    </w:p>
    <w:p>
      <w:pPr>
        <w:spacing w:line="400" w:lineRule="exact"/>
        <w:ind w:left="6160" w:hanging="5280" w:hangingChars="2200"/>
        <w:jc w:val="left"/>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日</w:t>
      </w:r>
      <w:r>
        <w:rPr>
          <w:rFonts w:hint="eastAsia" w:cs="Times New Roman"/>
          <w:kern w:val="2"/>
          <w:sz w:val="24"/>
          <w:szCs w:val="24"/>
          <w:lang w:val="en-US" w:eastAsia="zh-CN" w:bidi="ar-SA"/>
        </w:rPr>
        <w:t xml:space="preserve">    </w:t>
      </w:r>
      <w:r>
        <w:rPr>
          <w:rFonts w:ascii="Times New Roman" w:hAnsi="Times New Roman" w:eastAsia="仿宋_GB2312" w:cs="Times New Roman"/>
          <w:kern w:val="2"/>
          <w:sz w:val="24"/>
          <w:szCs w:val="24"/>
          <w:lang w:val="en-US" w:eastAsia="zh-CN" w:bidi="ar-SA"/>
        </w:rPr>
        <w:t>期：202</w:t>
      </w:r>
      <w:r>
        <w:rPr>
          <w:rFonts w:hint="eastAsia" w:cs="Times New Roman"/>
          <w:kern w:val="2"/>
          <w:sz w:val="24"/>
          <w:szCs w:val="24"/>
          <w:lang w:val="en-US" w:eastAsia="zh-CN" w:bidi="ar-SA"/>
        </w:rPr>
        <w:t>3</w:t>
      </w:r>
      <w:r>
        <w:rPr>
          <w:rFonts w:ascii="Times New Roman" w:hAnsi="Times New Roman" w:eastAsia="仿宋_GB2312" w:cs="Times New Roman"/>
          <w:kern w:val="2"/>
          <w:sz w:val="24"/>
          <w:szCs w:val="24"/>
          <w:lang w:val="en-US" w:eastAsia="zh-CN" w:bidi="ar-SA"/>
        </w:rPr>
        <w:t>年</w:t>
      </w:r>
      <w:r>
        <w:rPr>
          <w:rFonts w:hint="eastAsia" w:cs="Times New Roman"/>
          <w:kern w:val="2"/>
          <w:sz w:val="24"/>
          <w:szCs w:val="24"/>
          <w:lang w:val="en-US" w:eastAsia="zh-CN" w:bidi="ar-SA"/>
        </w:rPr>
        <w:t>5</w:t>
      </w:r>
      <w:r>
        <w:rPr>
          <w:rFonts w:ascii="Times New Roman" w:hAnsi="Times New Roman" w:eastAsia="仿宋_GB2312" w:cs="Times New Roman"/>
          <w:kern w:val="2"/>
          <w:sz w:val="24"/>
          <w:szCs w:val="24"/>
          <w:lang w:val="en-US" w:eastAsia="zh-CN" w:bidi="ar-SA"/>
        </w:rPr>
        <w:t>月</w:t>
      </w:r>
      <w:r>
        <w:rPr>
          <w:rFonts w:hint="eastAsia" w:cs="Times New Roman"/>
          <w:kern w:val="2"/>
          <w:sz w:val="24"/>
          <w:szCs w:val="24"/>
          <w:lang w:val="en-US" w:eastAsia="zh-CN" w:bidi="ar-SA"/>
        </w:rPr>
        <w:t>16</w:t>
      </w:r>
      <w:r>
        <w:rPr>
          <w:rFonts w:ascii="Times New Roman" w:hAnsi="Times New Roman" w:eastAsia="仿宋_GB2312" w:cs="Times New Roman"/>
          <w:kern w:val="2"/>
          <w:sz w:val="24"/>
          <w:szCs w:val="24"/>
          <w:lang w:val="en-US" w:eastAsia="zh-CN" w:bidi="ar-SA"/>
        </w:rPr>
        <w:t>日</w:t>
      </w:r>
    </w:p>
    <w:tbl>
      <w:tblPr>
        <w:tblStyle w:val="11"/>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7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shd w:val="clear" w:color="auto" w:fill="auto"/>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收集评价资料</w:t>
            </w:r>
          </w:p>
        </w:tc>
        <w:tc>
          <w:tcPr>
            <w:tcW w:w="7589" w:type="dxa"/>
            <w:shd w:val="clear" w:color="auto" w:fill="auto"/>
          </w:tcPr>
          <w:p>
            <w:pPr>
              <w:pStyle w:val="14"/>
              <w:numPr>
                <w:ilvl w:val="0"/>
                <w:numId w:val="0"/>
              </w:numPr>
              <w:spacing w:line="400" w:lineRule="exact"/>
              <w:rPr>
                <w:rFonts w:ascii="Times New Roman" w:hAnsi="Times New Roman" w:cs="Times New Roman"/>
                <w:sz w:val="24"/>
                <w:szCs w:val="24"/>
              </w:rPr>
            </w:pPr>
            <w:r>
              <w:rPr>
                <w:rFonts w:hint="eastAsia" w:cs="Times New Roman"/>
                <w:sz w:val="24"/>
                <w:szCs w:val="24"/>
                <w:lang w:val="en-US" w:eastAsia="zh-CN"/>
              </w:rPr>
              <w:t>1.</w:t>
            </w:r>
            <w:r>
              <w:rPr>
                <w:rFonts w:ascii="Times New Roman" w:hAnsi="Times New Roman" w:cs="Times New Roman"/>
                <w:sz w:val="24"/>
                <w:szCs w:val="24"/>
              </w:rPr>
              <w:t>项目有关政策；</w:t>
            </w:r>
          </w:p>
          <w:p>
            <w:pPr>
              <w:pStyle w:val="14"/>
              <w:numPr>
                <w:ilvl w:val="0"/>
                <w:numId w:val="0"/>
              </w:numPr>
              <w:spacing w:line="400" w:lineRule="exact"/>
              <w:rPr>
                <w:rFonts w:ascii="Times New Roman" w:hAnsi="Times New Roman" w:cs="Times New Roman"/>
                <w:sz w:val="24"/>
                <w:szCs w:val="24"/>
              </w:rPr>
            </w:pPr>
            <w:r>
              <w:rPr>
                <w:rFonts w:hint="eastAsia" w:cs="Times New Roman"/>
                <w:sz w:val="24"/>
                <w:szCs w:val="24"/>
                <w:lang w:val="en-US" w:eastAsia="zh-CN"/>
              </w:rPr>
              <w:t>2.</w:t>
            </w:r>
            <w:r>
              <w:rPr>
                <w:rFonts w:ascii="Times New Roman" w:hAnsi="Times New Roman" w:cs="Times New Roman"/>
                <w:sz w:val="24"/>
                <w:szCs w:val="24"/>
              </w:rPr>
              <w:t>预算审批文件；</w:t>
            </w:r>
          </w:p>
          <w:p>
            <w:pPr>
              <w:pStyle w:val="14"/>
              <w:numPr>
                <w:ilvl w:val="0"/>
                <w:numId w:val="0"/>
              </w:numPr>
              <w:spacing w:line="400" w:lineRule="exact"/>
              <w:rPr>
                <w:rFonts w:ascii="Times New Roman" w:hAnsi="Times New Roman" w:cs="Times New Roman"/>
                <w:sz w:val="24"/>
                <w:szCs w:val="24"/>
              </w:rPr>
            </w:pPr>
            <w:r>
              <w:rPr>
                <w:rFonts w:hint="eastAsia" w:cs="Times New Roman"/>
                <w:sz w:val="24"/>
                <w:szCs w:val="24"/>
                <w:lang w:val="en-US" w:eastAsia="zh-CN"/>
              </w:rPr>
              <w:t>3.</w:t>
            </w:r>
            <w:r>
              <w:rPr>
                <w:rFonts w:ascii="Times New Roman" w:hAnsi="Times New Roman" w:cs="Times New Roman"/>
                <w:sz w:val="24"/>
                <w:szCs w:val="24"/>
              </w:rPr>
              <w:t>资金管理制度文件；</w:t>
            </w:r>
          </w:p>
          <w:p>
            <w:pPr>
              <w:pStyle w:val="14"/>
              <w:numPr>
                <w:ilvl w:val="0"/>
                <w:numId w:val="0"/>
              </w:numPr>
              <w:spacing w:line="400" w:lineRule="exact"/>
              <w:rPr>
                <w:rFonts w:ascii="Times New Roman" w:hAnsi="Times New Roman" w:cs="Times New Roman"/>
                <w:sz w:val="24"/>
                <w:szCs w:val="24"/>
              </w:rPr>
            </w:pPr>
            <w:r>
              <w:rPr>
                <w:rFonts w:hint="eastAsia" w:cs="Times New Roman"/>
                <w:sz w:val="24"/>
                <w:szCs w:val="24"/>
                <w:lang w:val="en-US" w:eastAsia="zh-CN"/>
              </w:rPr>
              <w:t>4.</w:t>
            </w:r>
            <w:r>
              <w:rPr>
                <w:rFonts w:ascii="Times New Roman" w:hAnsi="Times New Roman" w:cs="Times New Roman"/>
                <w:sz w:val="24"/>
                <w:szCs w:val="24"/>
              </w:rPr>
              <w:t>绩效</w:t>
            </w:r>
            <w:r>
              <w:rPr>
                <w:rFonts w:hint="eastAsia" w:ascii="Times New Roman" w:hAnsi="Times New Roman" w:cs="Times New Roman"/>
                <w:sz w:val="24"/>
                <w:szCs w:val="24"/>
              </w:rPr>
              <w:t>目标申报</w:t>
            </w:r>
            <w:r>
              <w:rPr>
                <w:rFonts w:ascii="Times New Roman" w:hAnsi="Times New Roman" w:cs="Times New Roman"/>
                <w:sz w:val="24"/>
                <w:szCs w:val="24"/>
              </w:rPr>
              <w:t>表；</w:t>
            </w:r>
          </w:p>
          <w:p>
            <w:pPr>
              <w:pStyle w:val="14"/>
              <w:numPr>
                <w:ilvl w:val="0"/>
                <w:numId w:val="0"/>
              </w:numPr>
              <w:spacing w:line="400" w:lineRule="exact"/>
              <w:rPr>
                <w:rFonts w:hint="eastAsia" w:cs="Times New Roman"/>
                <w:sz w:val="24"/>
                <w:szCs w:val="24"/>
                <w:lang w:val="en-US" w:eastAsia="zh-CN"/>
              </w:rPr>
            </w:pPr>
            <w:r>
              <w:rPr>
                <w:rFonts w:hint="eastAsia" w:cs="Times New Roman"/>
                <w:sz w:val="24"/>
                <w:szCs w:val="24"/>
                <w:lang w:val="en-US" w:eastAsia="zh-CN"/>
              </w:rPr>
              <w:t>5.属地划转文件；</w:t>
            </w:r>
          </w:p>
          <w:p>
            <w:pPr>
              <w:pStyle w:val="14"/>
              <w:numPr>
                <w:ilvl w:val="0"/>
                <w:numId w:val="0"/>
              </w:numPr>
              <w:spacing w:line="400" w:lineRule="exact"/>
              <w:rPr>
                <w:rFonts w:hint="default" w:cs="Times New Roman"/>
                <w:sz w:val="24"/>
                <w:szCs w:val="24"/>
                <w:lang w:val="en-US" w:eastAsia="zh-CN"/>
              </w:rPr>
            </w:pPr>
            <w:r>
              <w:rPr>
                <w:rFonts w:hint="eastAsia" w:cs="Times New Roman"/>
                <w:sz w:val="24"/>
                <w:szCs w:val="24"/>
                <w:lang w:val="en-US" w:eastAsia="zh-CN"/>
              </w:rPr>
              <w:t>6.相关财务资料；</w:t>
            </w:r>
          </w:p>
          <w:p>
            <w:pPr>
              <w:pStyle w:val="14"/>
              <w:numPr>
                <w:ilvl w:val="0"/>
                <w:numId w:val="0"/>
              </w:numPr>
              <w:spacing w:line="400" w:lineRule="exact"/>
              <w:rPr>
                <w:rFonts w:ascii="Times New Roman" w:hAnsi="Times New Roman" w:cs="Times New Roman"/>
                <w:sz w:val="24"/>
                <w:szCs w:val="24"/>
              </w:rPr>
            </w:pPr>
            <w:r>
              <w:rPr>
                <w:rFonts w:hint="eastAsia" w:cs="Times New Roman"/>
                <w:sz w:val="24"/>
                <w:szCs w:val="24"/>
                <w:lang w:val="en-US" w:eastAsia="zh-CN"/>
              </w:rPr>
              <w:t>7.</w:t>
            </w:r>
            <w:r>
              <w:rPr>
                <w:rFonts w:ascii="Times New Roman" w:hAnsi="Times New Roman" w:cs="Times New Roman"/>
                <w:sz w:val="24"/>
                <w:szCs w:val="24"/>
              </w:rPr>
              <w:t>其他</w:t>
            </w:r>
            <w:r>
              <w:rPr>
                <w:rFonts w:hint="eastAsia" w:cs="Times New Roman"/>
                <w:sz w:val="24"/>
                <w:szCs w:val="24"/>
                <w:lang w:eastAsia="zh-CN"/>
              </w:rPr>
              <w:t>监控</w:t>
            </w:r>
            <w:r>
              <w:rPr>
                <w:rFonts w:ascii="Times New Roman" w:hAnsi="Times New Roman" w:cs="Times New Roman"/>
                <w:sz w:val="24"/>
                <w:szCs w:val="24"/>
              </w:rPr>
              <w:t>评价所需资料。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shd w:val="clear" w:color="auto" w:fill="auto"/>
            <w:vAlign w:val="center"/>
          </w:tcPr>
          <w:p>
            <w:pPr>
              <w:jc w:val="center"/>
              <w:rPr>
                <w:rFonts w:ascii="Times New Roman" w:hAnsi="Times New Roman" w:eastAsia="仿宋_GB2312" w:cs="Times New Roman"/>
                <w:sz w:val="24"/>
                <w:szCs w:val="24"/>
                <w:highlight w:val="none"/>
              </w:rPr>
            </w:pPr>
            <w:r>
              <w:rPr>
                <w:rFonts w:ascii="Times New Roman" w:hAnsi="Times New Roman" w:eastAsia="仿宋_GB2312" w:cs="Times New Roman"/>
                <w:sz w:val="24"/>
                <w:szCs w:val="24"/>
                <w:highlight w:val="none"/>
              </w:rPr>
              <w:t>确定评价人员</w:t>
            </w:r>
          </w:p>
        </w:tc>
        <w:tc>
          <w:tcPr>
            <w:tcW w:w="7589" w:type="dxa"/>
            <w:shd w:val="clear" w:color="auto" w:fill="auto"/>
            <w:vAlign w:val="center"/>
          </w:tcPr>
          <w:p>
            <w:pPr>
              <w:spacing w:line="400" w:lineRule="exact"/>
              <w:rPr>
                <w:rFonts w:hint="default" w:ascii="仿宋" w:hAnsi="仿宋" w:eastAsia="仿宋_GB2312" w:cs="Times New Roman"/>
                <w:sz w:val="24"/>
                <w:szCs w:val="24"/>
                <w:highlight w:val="none"/>
                <w:lang w:val="en-US" w:eastAsia="zh-CN"/>
              </w:rPr>
            </w:pPr>
            <w:r>
              <w:rPr>
                <w:rFonts w:hint="eastAsia" w:ascii="仿宋" w:hAnsi="仿宋" w:cs="Times New Roman"/>
                <w:sz w:val="24"/>
                <w:szCs w:val="24"/>
                <w:highlight w:val="none"/>
                <w:lang w:val="en-US" w:eastAsia="zh-CN"/>
              </w:rPr>
              <w:t>关惠枝  陈莲花  郭桂真  赵银娉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shd w:val="clear" w:color="auto" w:fill="auto"/>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设计总体方案</w:t>
            </w:r>
          </w:p>
        </w:tc>
        <w:tc>
          <w:tcPr>
            <w:tcW w:w="7589" w:type="dxa"/>
            <w:shd w:val="clear" w:color="auto" w:fill="auto"/>
          </w:tcPr>
          <w:p>
            <w:pPr>
              <w:spacing w:line="400" w:lineRule="exact"/>
              <w:ind w:firstLine="562" w:firstLineChars="200"/>
              <w:rPr>
                <w:rFonts w:ascii="Times New Roman" w:hAnsi="Times New Roman" w:cs="Times New Roman"/>
                <w:b/>
                <w:bCs/>
                <w:kern w:val="44"/>
                <w:sz w:val="28"/>
                <w:szCs w:val="28"/>
              </w:rPr>
            </w:pPr>
            <w:r>
              <w:rPr>
                <w:rFonts w:hint="eastAsia" w:ascii="Times New Roman" w:hAnsi="Times New Roman" w:cs="Times New Roman"/>
                <w:b/>
                <w:bCs/>
                <w:kern w:val="44"/>
                <w:sz w:val="28"/>
                <w:szCs w:val="28"/>
              </w:rPr>
              <w:t>1.</w:t>
            </w:r>
            <w:r>
              <w:rPr>
                <w:rFonts w:hint="eastAsia" w:cs="Times New Roman"/>
                <w:b/>
                <w:bCs/>
                <w:kern w:val="44"/>
                <w:sz w:val="28"/>
                <w:szCs w:val="28"/>
                <w:lang w:eastAsia="zh-CN"/>
              </w:rPr>
              <w:t>绩效评价</w:t>
            </w:r>
            <w:r>
              <w:rPr>
                <w:rFonts w:hint="eastAsia" w:ascii="Times New Roman" w:hAnsi="Times New Roman" w:cs="Times New Roman"/>
                <w:b/>
                <w:bCs/>
                <w:kern w:val="44"/>
                <w:sz w:val="28"/>
                <w:szCs w:val="28"/>
              </w:rPr>
              <w:t>目的</w:t>
            </w:r>
          </w:p>
          <w:p>
            <w:pPr>
              <w:widowControl/>
              <w:spacing w:line="400" w:lineRule="exact"/>
              <w:ind w:firstLine="480" w:firstLineChars="200"/>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本次绩效</w:t>
            </w:r>
            <w:r>
              <w:rPr>
                <w:rFonts w:hint="eastAsia" w:cs="Times New Roman"/>
                <w:sz w:val="24"/>
                <w:szCs w:val="24"/>
                <w:lang w:val="en-US" w:eastAsia="zh-CN"/>
              </w:rPr>
              <w:t>评价</w:t>
            </w:r>
            <w:r>
              <w:rPr>
                <w:rFonts w:hint="eastAsia" w:ascii="Times New Roman" w:hAnsi="Times New Roman" w:cs="Times New Roman"/>
                <w:sz w:val="24"/>
                <w:szCs w:val="24"/>
                <w:lang w:val="en-US" w:eastAsia="zh-CN"/>
              </w:rPr>
              <w:t>的目的是通过对2022年教育专项资金项目的预算执行、管理和绩效目标实现情况进行跟踪，发现问题并督促社会事业服务中心及时采取有效措施进行纠正，确保财政资金使用能充分体现效率性和效果性，确保绩效目标的实现。重点是从项目支付情况、绩效目标完成情况和目标进度的偏差性以及资金使用合理性等方面进行评价，对年度绩效目标是否能够完成进行预测，提出问题整改意见，促使区财政局能够及时掌握预算部门资金使用情况，并督促召陵区乡村振兴局及时进行纠偏。</w:t>
            </w:r>
          </w:p>
          <w:p>
            <w:pPr>
              <w:spacing w:line="400" w:lineRule="exact"/>
              <w:ind w:firstLine="562" w:firstLineChars="200"/>
              <w:rPr>
                <w:rFonts w:ascii="Times New Roman" w:hAnsi="Times New Roman" w:cs="Times New Roman"/>
                <w:b/>
                <w:bCs/>
                <w:kern w:val="44"/>
                <w:sz w:val="28"/>
                <w:szCs w:val="28"/>
              </w:rPr>
            </w:pPr>
            <w:r>
              <w:rPr>
                <w:rFonts w:hint="eastAsia" w:ascii="Times New Roman" w:hAnsi="Times New Roman" w:cs="Times New Roman"/>
                <w:b/>
                <w:bCs/>
                <w:kern w:val="44"/>
                <w:sz w:val="28"/>
                <w:szCs w:val="28"/>
              </w:rPr>
              <w:t>2</w:t>
            </w:r>
            <w:r>
              <w:rPr>
                <w:rFonts w:ascii="Times New Roman" w:hAnsi="Times New Roman" w:cs="Times New Roman"/>
                <w:b/>
                <w:bCs/>
                <w:kern w:val="44"/>
                <w:sz w:val="28"/>
                <w:szCs w:val="28"/>
              </w:rPr>
              <w:t>.</w:t>
            </w:r>
            <w:r>
              <w:rPr>
                <w:rFonts w:hint="eastAsia" w:cs="Times New Roman"/>
                <w:b/>
                <w:bCs/>
                <w:kern w:val="44"/>
                <w:sz w:val="28"/>
                <w:szCs w:val="28"/>
                <w:lang w:eastAsia="zh-CN"/>
              </w:rPr>
              <w:t>绩效评价</w:t>
            </w:r>
            <w:r>
              <w:rPr>
                <w:rFonts w:hint="eastAsia" w:ascii="Times New Roman" w:hAnsi="Times New Roman" w:cs="Times New Roman"/>
                <w:b/>
                <w:bCs/>
                <w:kern w:val="44"/>
                <w:sz w:val="28"/>
                <w:szCs w:val="28"/>
              </w:rPr>
              <w:t>依据</w:t>
            </w:r>
          </w:p>
          <w:p>
            <w:pPr>
              <w:widowControl/>
              <w:spacing w:line="4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（1）《中华人民共和国预算法》</w:t>
            </w:r>
          </w:p>
          <w:p>
            <w:pPr>
              <w:widowControl/>
              <w:spacing w:line="4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（2）财政部《项目支出绩效评价管理办法》（财预〔2020〕10号）</w:t>
            </w:r>
          </w:p>
          <w:p>
            <w:pPr>
              <w:widowControl/>
              <w:spacing w:line="4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（3）《关于印发&lt;预算绩效评价共性指标体系框架&gt;的通知》（财预〔2013〕53号）</w:t>
            </w:r>
          </w:p>
          <w:p>
            <w:pPr>
              <w:widowControl/>
              <w:spacing w:line="4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（4）河南省财政厅《河南省省级预算项目支出绩效评价管理办法》（豫财效〔2020〕10号）</w:t>
            </w:r>
          </w:p>
          <w:p>
            <w:pPr>
              <w:widowControl/>
              <w:spacing w:line="4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（5）《漯河市市级预算项目支出绩效评价管理暂行办法》</w:t>
            </w:r>
          </w:p>
          <w:p>
            <w:pPr>
              <w:spacing w:line="400" w:lineRule="exact"/>
              <w:ind w:left="600" w:leftChars="200"/>
              <w:rPr>
                <w:rFonts w:ascii="Times New Roman" w:hAnsi="Times New Roman" w:cs="Times New Roman"/>
                <w:b/>
                <w:bCs/>
                <w:kern w:val="44"/>
                <w:sz w:val="28"/>
                <w:szCs w:val="28"/>
              </w:rPr>
            </w:pPr>
            <w:r>
              <w:rPr>
                <w:rFonts w:hint="eastAsia" w:ascii="Times New Roman" w:hAnsi="Times New Roman" w:cs="Times New Roman"/>
                <w:b/>
                <w:bCs/>
                <w:kern w:val="44"/>
                <w:sz w:val="28"/>
                <w:szCs w:val="28"/>
              </w:rPr>
              <w:t>3</w:t>
            </w:r>
            <w:r>
              <w:rPr>
                <w:rFonts w:ascii="Times New Roman" w:hAnsi="Times New Roman" w:cs="Times New Roman"/>
                <w:b/>
                <w:bCs/>
                <w:kern w:val="44"/>
                <w:sz w:val="28"/>
                <w:szCs w:val="28"/>
              </w:rPr>
              <w:t>.</w:t>
            </w:r>
            <w:r>
              <w:rPr>
                <w:rFonts w:hint="eastAsia" w:cs="Times New Roman"/>
                <w:b/>
                <w:bCs/>
                <w:kern w:val="44"/>
                <w:sz w:val="28"/>
                <w:szCs w:val="28"/>
                <w:lang w:eastAsia="zh-CN"/>
              </w:rPr>
              <w:t>绩效评价</w:t>
            </w:r>
            <w:r>
              <w:rPr>
                <w:rFonts w:hint="eastAsia" w:ascii="Times New Roman" w:hAnsi="Times New Roman" w:cs="Times New Roman"/>
                <w:b/>
                <w:bCs/>
                <w:kern w:val="44"/>
                <w:sz w:val="28"/>
                <w:szCs w:val="28"/>
              </w:rPr>
              <w:t>原则</w:t>
            </w:r>
          </w:p>
          <w:p>
            <w:pPr>
              <w:spacing w:line="400" w:lineRule="exact"/>
              <w:ind w:left="600" w:leftChars="200"/>
              <w:rPr>
                <w:rFonts w:ascii="Times New Roman" w:hAnsi="Times New Roman" w:cs="Times New Roman"/>
                <w:kern w:val="44"/>
                <w:sz w:val="24"/>
                <w:szCs w:val="24"/>
              </w:rPr>
            </w:pPr>
            <w:r>
              <w:rPr>
                <w:rFonts w:hint="eastAsia" w:ascii="Times New Roman" w:hAnsi="Times New Roman" w:cs="Times New Roman"/>
                <w:kern w:val="44"/>
                <w:sz w:val="24"/>
                <w:szCs w:val="24"/>
              </w:rPr>
              <w:t>（1）经济、效率、有效。</w:t>
            </w:r>
          </w:p>
          <w:p>
            <w:pPr>
              <w:spacing w:line="400" w:lineRule="exact"/>
              <w:ind w:left="600" w:leftChars="200"/>
              <w:rPr>
                <w:rFonts w:ascii="Times New Roman" w:hAnsi="Times New Roman" w:cs="Times New Roman"/>
                <w:kern w:val="44"/>
                <w:sz w:val="24"/>
                <w:szCs w:val="24"/>
              </w:rPr>
            </w:pPr>
            <w:r>
              <w:rPr>
                <w:rFonts w:hint="eastAsia" w:ascii="Times New Roman" w:hAnsi="Times New Roman" w:cs="Times New Roman"/>
                <w:kern w:val="44"/>
                <w:sz w:val="24"/>
                <w:szCs w:val="24"/>
              </w:rPr>
              <w:t>（2）真实、科学、客观。</w:t>
            </w:r>
          </w:p>
          <w:p>
            <w:pPr>
              <w:spacing w:line="400" w:lineRule="exact"/>
              <w:ind w:left="600" w:leftChars="200"/>
              <w:rPr>
                <w:rFonts w:ascii="Times New Roman" w:hAnsi="Times New Roman" w:cs="Times New Roman"/>
                <w:kern w:val="44"/>
                <w:sz w:val="24"/>
                <w:szCs w:val="24"/>
              </w:rPr>
            </w:pPr>
            <w:r>
              <w:rPr>
                <w:rFonts w:hint="eastAsia" w:ascii="Times New Roman" w:hAnsi="Times New Roman" w:cs="Times New Roman"/>
                <w:kern w:val="44"/>
                <w:sz w:val="24"/>
                <w:szCs w:val="24"/>
              </w:rPr>
              <w:t>（3）规范、公开、相关。</w:t>
            </w:r>
          </w:p>
          <w:p>
            <w:pPr>
              <w:spacing w:line="400" w:lineRule="exact"/>
              <w:ind w:left="600" w:leftChars="200"/>
              <w:rPr>
                <w:rFonts w:ascii="Times New Roman" w:hAnsi="Times New Roman" w:cs="Times New Roman"/>
                <w:b/>
                <w:bCs/>
                <w:kern w:val="44"/>
                <w:sz w:val="28"/>
                <w:szCs w:val="28"/>
              </w:rPr>
            </w:pPr>
            <w:r>
              <w:rPr>
                <w:rFonts w:ascii="Times New Roman" w:hAnsi="Times New Roman" w:cs="Times New Roman"/>
                <w:b/>
                <w:bCs/>
                <w:kern w:val="44"/>
                <w:sz w:val="28"/>
                <w:szCs w:val="28"/>
              </w:rPr>
              <w:t>4.</w:t>
            </w:r>
            <w:r>
              <w:rPr>
                <w:rFonts w:hint="eastAsia" w:cs="Times New Roman"/>
                <w:b/>
                <w:bCs/>
                <w:kern w:val="44"/>
                <w:sz w:val="28"/>
                <w:szCs w:val="28"/>
                <w:lang w:eastAsia="zh-CN"/>
              </w:rPr>
              <w:t>绩效评价</w:t>
            </w:r>
            <w:r>
              <w:rPr>
                <w:rFonts w:hint="eastAsia" w:ascii="Times New Roman" w:hAnsi="Times New Roman" w:cs="Times New Roman"/>
                <w:b/>
                <w:bCs/>
                <w:kern w:val="44"/>
                <w:sz w:val="28"/>
                <w:szCs w:val="28"/>
              </w:rPr>
              <w:t>方法</w:t>
            </w:r>
          </w:p>
          <w:p>
            <w:pPr>
              <w:spacing w:line="400" w:lineRule="exact"/>
              <w:ind w:firstLine="480" w:firstLineChars="200"/>
              <w:rPr>
                <w:rFonts w:ascii="Times New Roman" w:hAnsi="Times New Roman" w:cs="Times New Roman"/>
                <w:kern w:val="44"/>
                <w:sz w:val="24"/>
                <w:szCs w:val="24"/>
              </w:rPr>
            </w:pPr>
            <w:r>
              <w:rPr>
                <w:rFonts w:hint="eastAsia" w:ascii="Times New Roman" w:hAnsi="Times New Roman" w:cs="Times New Roman"/>
                <w:kern w:val="44"/>
                <w:sz w:val="24"/>
                <w:szCs w:val="24"/>
              </w:rPr>
              <w:t>本次绩效</w:t>
            </w:r>
            <w:r>
              <w:rPr>
                <w:rFonts w:hint="eastAsia" w:cs="Times New Roman"/>
                <w:kern w:val="44"/>
                <w:sz w:val="24"/>
                <w:szCs w:val="24"/>
                <w:lang w:val="en-US" w:eastAsia="zh-CN"/>
              </w:rPr>
              <w:t>评价</w:t>
            </w:r>
            <w:r>
              <w:rPr>
                <w:rFonts w:hint="eastAsia" w:ascii="Times New Roman" w:hAnsi="Times New Roman" w:cs="Times New Roman"/>
                <w:kern w:val="44"/>
                <w:sz w:val="24"/>
                <w:szCs w:val="24"/>
              </w:rPr>
              <w:t>主要通过比较法、现场考察、问卷调查、访谈等方法对</w:t>
            </w:r>
            <w:r>
              <w:rPr>
                <w:rFonts w:hint="eastAsia" w:cs="Times New Roman"/>
                <w:kern w:val="44"/>
                <w:sz w:val="24"/>
                <w:szCs w:val="24"/>
                <w:lang w:val="en-US" w:eastAsia="zh-CN"/>
              </w:rPr>
              <w:t>2022年产业就业帮扶奖补</w:t>
            </w:r>
            <w:r>
              <w:rPr>
                <w:rFonts w:hint="eastAsia" w:ascii="Times New Roman" w:hAnsi="Times New Roman" w:cs="Times New Roman"/>
                <w:kern w:val="44"/>
                <w:sz w:val="24"/>
                <w:szCs w:val="24"/>
              </w:rPr>
              <w:t>项目运行情况进行</w:t>
            </w:r>
            <w:r>
              <w:rPr>
                <w:rFonts w:hint="eastAsia" w:cs="Times New Roman"/>
                <w:kern w:val="44"/>
                <w:sz w:val="24"/>
                <w:szCs w:val="24"/>
                <w:lang w:eastAsia="zh-CN"/>
              </w:rPr>
              <w:t>绩效</w:t>
            </w:r>
            <w:r>
              <w:rPr>
                <w:rFonts w:hint="eastAsia" w:ascii="Times New Roman" w:hAnsi="Times New Roman" w:cs="Times New Roman"/>
                <w:kern w:val="44"/>
                <w:sz w:val="24"/>
                <w:szCs w:val="24"/>
              </w:rPr>
              <w:t>评价，发现项目运营过程中存在的问题，为项目管理提出建议。</w:t>
            </w:r>
          </w:p>
          <w:p>
            <w:pPr>
              <w:spacing w:line="400" w:lineRule="exact"/>
              <w:ind w:firstLine="562" w:firstLineChars="200"/>
              <w:rPr>
                <w:rFonts w:ascii="Times New Roman" w:hAnsi="Times New Roman" w:cs="Times New Roman"/>
                <w:b/>
                <w:bCs/>
                <w:kern w:val="44"/>
                <w:sz w:val="28"/>
                <w:szCs w:val="28"/>
              </w:rPr>
            </w:pPr>
            <w:r>
              <w:rPr>
                <w:rFonts w:hint="eastAsia" w:ascii="Times New Roman" w:hAnsi="Times New Roman" w:cs="Times New Roman"/>
                <w:b/>
                <w:bCs/>
                <w:kern w:val="44"/>
                <w:sz w:val="28"/>
                <w:szCs w:val="28"/>
              </w:rPr>
              <w:t>5</w:t>
            </w:r>
            <w:r>
              <w:rPr>
                <w:rFonts w:ascii="Times New Roman" w:hAnsi="Times New Roman" w:cs="Times New Roman"/>
                <w:b/>
                <w:bCs/>
                <w:kern w:val="44"/>
                <w:sz w:val="28"/>
                <w:szCs w:val="28"/>
              </w:rPr>
              <w:t>.</w:t>
            </w:r>
            <w:r>
              <w:rPr>
                <w:rFonts w:hint="eastAsia" w:cs="Times New Roman"/>
                <w:b/>
                <w:bCs/>
                <w:kern w:val="44"/>
                <w:sz w:val="28"/>
                <w:szCs w:val="28"/>
                <w:lang w:eastAsia="zh-CN"/>
              </w:rPr>
              <w:t>绩效评价</w:t>
            </w:r>
            <w:r>
              <w:rPr>
                <w:rFonts w:hint="eastAsia" w:ascii="Times New Roman" w:hAnsi="Times New Roman" w:cs="Times New Roman"/>
                <w:b/>
                <w:bCs/>
                <w:kern w:val="44"/>
                <w:sz w:val="28"/>
                <w:szCs w:val="28"/>
              </w:rPr>
              <w:t>组织实施</w:t>
            </w:r>
          </w:p>
          <w:p>
            <w:pPr>
              <w:widowControl/>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（1）听取被</w:t>
            </w:r>
            <w:r>
              <w:rPr>
                <w:rFonts w:hint="eastAsia" w:cs="Times New Roman"/>
                <w:sz w:val="24"/>
                <w:szCs w:val="24"/>
                <w:lang w:eastAsia="zh-CN"/>
              </w:rPr>
              <w:t>监控</w:t>
            </w:r>
            <w:r>
              <w:rPr>
                <w:rFonts w:ascii="Times New Roman" w:hAnsi="Times New Roman" w:cs="Times New Roman"/>
                <w:sz w:val="24"/>
                <w:szCs w:val="24"/>
              </w:rPr>
              <w:t>评价单位基本情况介绍，对评价项目进行初步了解；</w:t>
            </w:r>
          </w:p>
          <w:p>
            <w:pPr>
              <w:widowControl/>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（2）对</w:t>
            </w:r>
            <w:r>
              <w:rPr>
                <w:rFonts w:hint="eastAsia" w:ascii="Times New Roman" w:hAnsi="Times New Roman" w:cs="Times New Roman"/>
                <w:sz w:val="24"/>
                <w:szCs w:val="24"/>
              </w:rPr>
              <w:t>项目</w:t>
            </w:r>
            <w:r>
              <w:rPr>
                <w:rFonts w:ascii="Times New Roman" w:hAnsi="Times New Roman" w:cs="Times New Roman"/>
                <w:sz w:val="24"/>
                <w:szCs w:val="24"/>
              </w:rPr>
              <w:t>组人员进行分工；</w:t>
            </w:r>
          </w:p>
          <w:p>
            <w:pPr>
              <w:widowControl/>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（3）搜集</w:t>
            </w:r>
            <w:r>
              <w:rPr>
                <w:rFonts w:hint="eastAsia" w:cs="Times New Roman"/>
                <w:sz w:val="24"/>
                <w:szCs w:val="24"/>
                <w:lang w:eastAsia="zh-CN"/>
              </w:rPr>
              <w:t>绩效</w:t>
            </w:r>
            <w:r>
              <w:rPr>
                <w:rFonts w:ascii="Times New Roman" w:hAnsi="Times New Roman" w:cs="Times New Roman"/>
                <w:sz w:val="24"/>
                <w:szCs w:val="24"/>
              </w:rPr>
              <w:t>评价资料，并进行分类、整理和分析；</w:t>
            </w:r>
          </w:p>
          <w:p>
            <w:pPr>
              <w:widowControl/>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（4）根据具体情况</w:t>
            </w:r>
            <w:r>
              <w:rPr>
                <w:rFonts w:hint="eastAsia" w:ascii="Times New Roman" w:hAnsi="Times New Roman" w:cs="Times New Roman"/>
                <w:sz w:val="24"/>
                <w:szCs w:val="24"/>
              </w:rPr>
              <w:t>对</w:t>
            </w:r>
            <w:r>
              <w:rPr>
                <w:rFonts w:ascii="Times New Roman" w:hAnsi="Times New Roman" w:cs="Times New Roman"/>
                <w:sz w:val="24"/>
                <w:szCs w:val="24"/>
              </w:rPr>
              <w:t>现场进行</w:t>
            </w:r>
            <w:r>
              <w:rPr>
                <w:rFonts w:hint="eastAsia" w:ascii="Times New Roman" w:hAnsi="Times New Roman" w:cs="Times New Roman"/>
                <w:sz w:val="24"/>
                <w:szCs w:val="24"/>
              </w:rPr>
              <w:t>考察、访谈、问卷调查</w:t>
            </w:r>
            <w:r>
              <w:rPr>
                <w:rFonts w:ascii="Times New Roman" w:hAnsi="Times New Roman" w:cs="Times New Roman"/>
                <w:sz w:val="24"/>
                <w:szCs w:val="24"/>
              </w:rPr>
              <w:t>；</w:t>
            </w:r>
          </w:p>
          <w:p>
            <w:pPr>
              <w:widowControl/>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（5）召开座谈会，经过对项目的研讨和商定，对绩效指标进行测评</w:t>
            </w:r>
            <w:r>
              <w:rPr>
                <w:rFonts w:hint="eastAsia" w:ascii="Times New Roman" w:hAnsi="Times New Roman" w:cs="Times New Roman"/>
                <w:sz w:val="24"/>
                <w:szCs w:val="24"/>
              </w:rPr>
              <w:t>；</w:t>
            </w:r>
          </w:p>
          <w:p>
            <w:pPr>
              <w:widowControl/>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（6）根据资料分析和现场调查情况，进行绩效指标评分</w:t>
            </w:r>
            <w:r>
              <w:rPr>
                <w:rFonts w:hint="eastAsia" w:ascii="Times New Roman" w:hAnsi="Times New Roman" w:cs="Times New Roman"/>
                <w:sz w:val="24"/>
                <w:szCs w:val="24"/>
              </w:rPr>
              <w:t>；</w:t>
            </w:r>
          </w:p>
          <w:p>
            <w:pPr>
              <w:spacing w:line="400" w:lineRule="exact"/>
              <w:ind w:firstLine="480" w:firstLineChars="200"/>
              <w:rPr>
                <w:rFonts w:ascii="Times New Roman" w:hAnsi="Times New Roman" w:cs="Times New Roman"/>
                <w:kern w:val="44"/>
                <w:sz w:val="24"/>
                <w:szCs w:val="24"/>
              </w:rPr>
            </w:pPr>
            <w:r>
              <w:rPr>
                <w:rFonts w:ascii="Times New Roman" w:hAnsi="Times New Roman" w:cs="Times New Roman"/>
                <w:sz w:val="24"/>
                <w:szCs w:val="24"/>
              </w:rPr>
              <w:t>（7）</w:t>
            </w:r>
            <w:r>
              <w:rPr>
                <w:rFonts w:ascii="Times New Roman" w:hAnsi="Times New Roman" w:cs="Times New Roman"/>
                <w:kern w:val="44"/>
                <w:sz w:val="24"/>
                <w:szCs w:val="24"/>
              </w:rPr>
              <w:t>编制工作底稿，汇总评分结果，出具绩效评价报告初稿</w:t>
            </w:r>
            <w:r>
              <w:rPr>
                <w:rFonts w:hint="eastAsia" w:ascii="Times New Roman" w:hAnsi="Times New Roman" w:cs="Times New Roman"/>
                <w:kern w:val="44"/>
                <w:sz w:val="24"/>
                <w:szCs w:val="24"/>
              </w:rPr>
              <w:t>；</w:t>
            </w:r>
          </w:p>
          <w:p>
            <w:pPr>
              <w:spacing w:line="400" w:lineRule="exact"/>
              <w:ind w:firstLine="480" w:firstLineChars="200"/>
              <w:rPr>
                <w:rFonts w:ascii="Times New Roman" w:hAnsi="Times New Roman" w:cs="Times New Roman"/>
                <w:kern w:val="44"/>
                <w:sz w:val="24"/>
                <w:szCs w:val="24"/>
              </w:rPr>
            </w:pPr>
            <w:r>
              <w:rPr>
                <w:rFonts w:ascii="Times New Roman" w:hAnsi="Times New Roman" w:cs="Times New Roman"/>
                <w:sz w:val="24"/>
                <w:szCs w:val="24"/>
              </w:rPr>
              <w:t>（8）</w:t>
            </w:r>
            <w:r>
              <w:rPr>
                <w:rFonts w:ascii="Times New Roman" w:hAnsi="Times New Roman" w:cs="Times New Roman"/>
                <w:kern w:val="44"/>
                <w:sz w:val="24"/>
                <w:szCs w:val="24"/>
              </w:rPr>
              <w:t>征求</w:t>
            </w:r>
            <w:r>
              <w:rPr>
                <w:rFonts w:hint="eastAsia" w:ascii="Times New Roman" w:hAnsi="Times New Roman" w:cs="Times New Roman"/>
                <w:kern w:val="44"/>
                <w:sz w:val="24"/>
                <w:szCs w:val="24"/>
              </w:rPr>
              <w:t>项目单位</w:t>
            </w:r>
            <w:r>
              <w:rPr>
                <w:rFonts w:ascii="Times New Roman" w:hAnsi="Times New Roman" w:cs="Times New Roman"/>
                <w:kern w:val="44"/>
                <w:sz w:val="24"/>
                <w:szCs w:val="24"/>
              </w:rPr>
              <w:t>的意见，形成项目绩效综合评价报告并提交报告。</w:t>
            </w:r>
          </w:p>
          <w:p>
            <w:pPr>
              <w:spacing w:line="400" w:lineRule="exact"/>
              <w:ind w:left="600" w:leftChars="200"/>
              <w:rPr>
                <w:rFonts w:ascii="仿宋" w:hAnsi="仿宋" w:cs="Times New Roman"/>
                <w:b/>
                <w:bCs/>
                <w:kern w:val="44"/>
                <w:sz w:val="28"/>
                <w:szCs w:val="28"/>
                <w:highlight w:val="none"/>
              </w:rPr>
            </w:pPr>
            <w:r>
              <w:rPr>
                <w:rFonts w:hint="eastAsia" w:ascii="仿宋" w:hAnsi="仿宋" w:cs="Times New Roman"/>
                <w:b/>
                <w:bCs/>
                <w:kern w:val="44"/>
                <w:sz w:val="28"/>
                <w:szCs w:val="28"/>
              </w:rPr>
              <w:t>6</w:t>
            </w:r>
            <w:r>
              <w:rPr>
                <w:rFonts w:ascii="仿宋" w:hAnsi="仿宋" w:cs="Times New Roman"/>
                <w:b/>
                <w:bCs/>
                <w:kern w:val="44"/>
                <w:sz w:val="28"/>
                <w:szCs w:val="28"/>
              </w:rPr>
              <w:t>.</w:t>
            </w:r>
            <w:r>
              <w:rPr>
                <w:rFonts w:hint="eastAsia" w:ascii="仿宋" w:hAnsi="仿宋" w:cs="Times New Roman"/>
                <w:b/>
                <w:bCs/>
                <w:kern w:val="44"/>
                <w:sz w:val="28"/>
                <w:szCs w:val="28"/>
                <w:lang w:eastAsia="zh-CN"/>
              </w:rPr>
              <w:t>绩效</w:t>
            </w:r>
            <w:r>
              <w:rPr>
                <w:rFonts w:hint="eastAsia" w:ascii="仿宋" w:hAnsi="仿宋" w:cs="Times New Roman"/>
                <w:b/>
                <w:bCs/>
                <w:kern w:val="44"/>
                <w:sz w:val="28"/>
                <w:szCs w:val="28"/>
                <w:highlight w:val="none"/>
              </w:rPr>
              <w:t>评价组织人员分工</w:t>
            </w:r>
          </w:p>
          <w:p>
            <w:pPr>
              <w:spacing w:line="400" w:lineRule="exact"/>
              <w:ind w:firstLine="480" w:firstLineChars="200"/>
              <w:rPr>
                <w:rFonts w:ascii="Times New Roman" w:hAnsi="Times New Roman" w:cs="Times New Roman"/>
                <w:sz w:val="24"/>
                <w:szCs w:val="24"/>
                <w:highlight w:val="none"/>
              </w:rPr>
            </w:pPr>
            <w:r>
              <w:rPr>
                <w:rFonts w:hint="eastAsia" w:ascii="Times New Roman" w:hAnsi="Times New Roman" w:cs="Times New Roman"/>
                <w:sz w:val="24"/>
                <w:szCs w:val="24"/>
                <w:highlight w:val="none"/>
              </w:rPr>
              <w:t>项目负责人：</w:t>
            </w:r>
            <w:r>
              <w:rPr>
                <w:rFonts w:hint="eastAsia" w:cs="Times New Roman"/>
                <w:sz w:val="24"/>
                <w:szCs w:val="24"/>
                <w:highlight w:val="none"/>
                <w:lang w:val="en-US" w:eastAsia="zh-CN"/>
              </w:rPr>
              <w:t xml:space="preserve">关惠枝 </w:t>
            </w:r>
            <w:r>
              <w:rPr>
                <w:rFonts w:hint="eastAsia" w:ascii="Times New Roman" w:hAnsi="Times New Roman" w:cs="Times New Roman"/>
                <w:sz w:val="24"/>
                <w:szCs w:val="24"/>
                <w:highlight w:val="none"/>
              </w:rPr>
              <w:t xml:space="preserve"> 对项目承担最终责任。</w:t>
            </w:r>
          </w:p>
          <w:p>
            <w:pPr>
              <w:spacing w:line="400" w:lineRule="exact"/>
              <w:ind w:firstLine="480" w:firstLineChars="200"/>
              <w:rPr>
                <w:rFonts w:ascii="Times New Roman" w:hAnsi="Times New Roman" w:cs="Times New Roman"/>
                <w:sz w:val="24"/>
                <w:szCs w:val="24"/>
                <w:highlight w:val="none"/>
              </w:rPr>
            </w:pPr>
            <w:r>
              <w:rPr>
                <w:rFonts w:ascii="Times New Roman" w:hAnsi="Times New Roman" w:cs="Times New Roman"/>
                <w:sz w:val="24"/>
                <w:szCs w:val="24"/>
                <w:highlight w:val="none"/>
              </w:rPr>
              <w:t>项目组组长：</w:t>
            </w:r>
            <w:r>
              <w:rPr>
                <w:rFonts w:hint="eastAsia" w:cs="Times New Roman"/>
                <w:sz w:val="24"/>
                <w:szCs w:val="24"/>
                <w:highlight w:val="none"/>
                <w:lang w:val="en-US" w:eastAsia="zh-CN"/>
              </w:rPr>
              <w:t>郭桂真</w:t>
            </w:r>
            <w:r>
              <w:rPr>
                <w:rFonts w:ascii="Times New Roman" w:hAnsi="Times New Roman" w:cs="Times New Roman"/>
                <w:sz w:val="24"/>
                <w:szCs w:val="24"/>
                <w:highlight w:val="none"/>
              </w:rPr>
              <w:t xml:space="preserve"> </w:t>
            </w:r>
            <w:r>
              <w:rPr>
                <w:rFonts w:hint="eastAsia" w:ascii="Times New Roman" w:hAnsi="Times New Roman" w:cs="Times New Roman"/>
                <w:sz w:val="24"/>
                <w:szCs w:val="24"/>
                <w:highlight w:val="none"/>
              </w:rPr>
              <w:t>负责协调项目的组织、协调、安排实施。</w:t>
            </w:r>
            <w:r>
              <w:rPr>
                <w:rFonts w:ascii="Times New Roman" w:hAnsi="Times New Roman" w:cs="Times New Roman"/>
                <w:sz w:val="24"/>
                <w:szCs w:val="24"/>
                <w:highlight w:val="none"/>
              </w:rPr>
              <w:t xml:space="preserve">  </w:t>
            </w:r>
          </w:p>
          <w:p>
            <w:pPr>
              <w:spacing w:line="400" w:lineRule="exact"/>
              <w:ind w:left="1920" w:leftChars="160" w:hanging="1440" w:hangingChars="600"/>
              <w:rPr>
                <w:rFonts w:ascii="仿宋" w:hAnsi="仿宋" w:cs="Times New Roman"/>
                <w:sz w:val="24"/>
                <w:szCs w:val="24"/>
                <w:highlight w:val="none"/>
              </w:rPr>
            </w:pPr>
            <w:r>
              <w:rPr>
                <w:rFonts w:ascii="Times New Roman" w:hAnsi="Times New Roman" w:cs="Times New Roman"/>
                <w:sz w:val="24"/>
                <w:szCs w:val="24"/>
                <w:highlight w:val="none"/>
              </w:rPr>
              <w:t>项目组成员：</w:t>
            </w:r>
            <w:r>
              <w:rPr>
                <w:rFonts w:hint="eastAsia" w:ascii="仿宋" w:hAnsi="仿宋" w:cs="Times New Roman"/>
                <w:sz w:val="24"/>
                <w:szCs w:val="24"/>
                <w:highlight w:val="none"/>
                <w:lang w:val="en-US" w:eastAsia="zh-CN"/>
              </w:rPr>
              <w:t>赵银娉</w:t>
            </w:r>
            <w:r>
              <w:rPr>
                <w:rFonts w:hint="eastAsia" w:ascii="仿宋" w:hAnsi="仿宋" w:cs="Times New Roman"/>
                <w:sz w:val="24"/>
                <w:szCs w:val="24"/>
                <w:highlight w:val="none"/>
              </w:rPr>
              <w:t xml:space="preserve"> 负责现场考察、问卷调查、访谈等资料收集整理工作以及绩效评价报告的撰写。</w:t>
            </w:r>
          </w:p>
          <w:p>
            <w:pPr>
              <w:spacing w:line="400" w:lineRule="exact"/>
              <w:ind w:left="1920" w:leftChars="640" w:firstLine="0" w:firstLineChars="0"/>
              <w:rPr>
                <w:rFonts w:ascii="仿宋" w:hAnsi="仿宋" w:cs="Times New Roman"/>
                <w:sz w:val="24"/>
                <w:szCs w:val="24"/>
                <w:highlight w:val="none"/>
              </w:rPr>
            </w:pPr>
            <w:r>
              <w:rPr>
                <w:rFonts w:hint="eastAsia" w:ascii="仿宋" w:hAnsi="仿宋" w:cs="Times New Roman"/>
                <w:sz w:val="24"/>
                <w:szCs w:val="24"/>
                <w:highlight w:val="none"/>
                <w:lang w:val="en-US" w:eastAsia="zh-CN"/>
              </w:rPr>
              <w:t xml:space="preserve">陈莲花 </w:t>
            </w:r>
            <w:r>
              <w:rPr>
                <w:rFonts w:hint="eastAsia" w:ascii="仿宋" w:hAnsi="仿宋" w:cs="Times New Roman"/>
                <w:sz w:val="24"/>
                <w:szCs w:val="24"/>
                <w:highlight w:val="none"/>
              </w:rPr>
              <w:t>负责现场考察、问卷调查、访谈等资料收集整理工作。</w:t>
            </w:r>
          </w:p>
          <w:p>
            <w:pPr>
              <w:spacing w:line="400" w:lineRule="exact"/>
              <w:ind w:firstLine="480" w:firstLineChars="200"/>
              <w:rPr>
                <w:rFonts w:ascii="Times New Roman" w:hAnsi="Times New Roman" w:eastAsia="仿宋_GB2312" w:cs="Times New Roman"/>
                <w:sz w:val="24"/>
                <w:szCs w:val="24"/>
              </w:rPr>
            </w:pPr>
            <w:r>
              <w:rPr>
                <w:rFonts w:hint="eastAsia" w:ascii="Times New Roman" w:hAnsi="Times New Roman" w:cs="Times New Roman"/>
                <w:sz w:val="24"/>
                <w:szCs w:val="24"/>
                <w:highlight w:val="none"/>
              </w:rPr>
              <w:t>质量复核：</w:t>
            </w:r>
            <w:r>
              <w:rPr>
                <w:rFonts w:hint="eastAsia" w:cs="Times New Roman"/>
                <w:sz w:val="24"/>
                <w:szCs w:val="24"/>
                <w:highlight w:val="none"/>
                <w:lang w:val="en-US" w:eastAsia="zh-CN"/>
              </w:rPr>
              <w:t xml:space="preserve">  关惠枝</w:t>
            </w:r>
            <w:r>
              <w:rPr>
                <w:rFonts w:hint="eastAsia" w:ascii="Times New Roman" w:hAnsi="Times New Roman" w:cs="Times New Roman"/>
                <w:sz w:val="24"/>
                <w:szCs w:val="24"/>
                <w:highlight w:val="none"/>
              </w:rPr>
              <w:t xml:space="preserve"> </w:t>
            </w:r>
            <w:r>
              <w:rPr>
                <w:rFonts w:ascii="Times New Roman" w:hAnsi="Times New Roman" w:cs="Times New Roman"/>
                <w:sz w:val="24"/>
                <w:szCs w:val="24"/>
                <w:highlight w:val="none"/>
              </w:rPr>
              <w:t xml:space="preserve"> </w:t>
            </w:r>
            <w:r>
              <w:rPr>
                <w:rFonts w:hint="eastAsia" w:ascii="Times New Roman" w:hAnsi="Times New Roman" w:cs="Times New Roman"/>
                <w:sz w:val="24"/>
                <w:szCs w:val="24"/>
                <w:highlight w:val="none"/>
              </w:rPr>
              <w:t>负责对绩效报告的审核和复核。</w:t>
            </w:r>
          </w:p>
        </w:tc>
      </w:tr>
    </w:tbl>
    <w:p>
      <w:pPr>
        <w:pStyle w:val="5"/>
        <w:rPr>
          <w:rFonts w:hint="eastAsia"/>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jc w:val="left"/>
        <w:outlineLvl w:val="0"/>
        <w:rPr>
          <w:rFonts w:hint="eastAsia" w:ascii="仿宋" w:hAnsi="仿宋" w:eastAsia="仿宋" w:cs="仿宋"/>
          <w:b/>
          <w:bCs/>
        </w:rPr>
      </w:pPr>
      <w:bookmarkStart w:id="78" w:name="_Toc23909"/>
      <w:bookmarkStart w:id="79" w:name="_Toc16343"/>
      <w:bookmarkStart w:id="80" w:name="_Toc18938"/>
      <w:r>
        <w:rPr>
          <w:rFonts w:hint="eastAsia" w:ascii="仿宋" w:hAnsi="仿宋" w:eastAsia="仿宋" w:cs="仿宋"/>
          <w:b/>
          <w:bCs/>
        </w:rPr>
        <w:t>附件-3 评价指标及标准设置</w:t>
      </w:r>
      <w:bookmarkEnd w:id="78"/>
      <w:bookmarkEnd w:id="79"/>
      <w:bookmarkEnd w:id="80"/>
    </w:p>
    <w:p>
      <w:pPr>
        <w:pStyle w:val="5"/>
        <w:jc w:val="center"/>
        <w:rPr>
          <w:rFonts w:hint="eastAsia" w:ascii="宋体" w:hAnsi="宋体" w:eastAsia="宋体" w:cs="宋体"/>
          <w:b/>
          <w:bCs/>
          <w:color w:val="000000"/>
          <w:sz w:val="36"/>
          <w:szCs w:val="36"/>
        </w:rPr>
      </w:pPr>
      <w:bookmarkStart w:id="81" w:name="_Toc144"/>
      <w:bookmarkStart w:id="82" w:name="_Toc21929"/>
      <w:bookmarkStart w:id="83" w:name="_Toc18536"/>
      <w:bookmarkStart w:id="84" w:name="_Toc28409"/>
      <w:r>
        <w:rPr>
          <w:rFonts w:hint="eastAsia" w:asciiTheme="minorEastAsia" w:hAnsiTheme="minorEastAsia" w:eastAsiaTheme="minorEastAsia" w:cstheme="minorEastAsia"/>
          <w:b/>
          <w:bCs/>
          <w:sz w:val="36"/>
          <w:szCs w:val="36"/>
          <w:lang w:val="en-US" w:eastAsia="zh-CN"/>
        </w:rPr>
        <w:t>2022年教育专项资金</w:t>
      </w:r>
      <w:r>
        <w:rPr>
          <w:rFonts w:hint="eastAsia" w:ascii="宋体" w:hAnsi="宋体" w:eastAsia="宋体" w:cs="宋体"/>
          <w:b/>
          <w:bCs/>
          <w:color w:val="000000"/>
          <w:sz w:val="36"/>
          <w:szCs w:val="36"/>
        </w:rPr>
        <w:t>项目支出绩效评价指标体系</w:t>
      </w:r>
      <w:bookmarkEnd w:id="81"/>
      <w:bookmarkEnd w:id="82"/>
      <w:bookmarkEnd w:id="83"/>
      <w:bookmarkEnd w:id="84"/>
    </w:p>
    <w:tbl>
      <w:tblPr>
        <w:tblStyle w:val="11"/>
        <w:tblW w:w="1262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964"/>
        <w:gridCol w:w="958"/>
        <w:gridCol w:w="1918"/>
        <w:gridCol w:w="4396"/>
        <w:gridCol w:w="1463"/>
        <w:gridCol w:w="1602"/>
        <w:gridCol w:w="132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blHeader/>
          <w:jc w:val="center"/>
        </w:trPr>
        <w:tc>
          <w:tcPr>
            <w:tcW w:w="964" w:type="dxa"/>
            <w:shd w:val="clear" w:color="auto" w:fill="auto"/>
            <w:noWrap w:val="0"/>
            <w:vAlign w:val="center"/>
          </w:tcPr>
          <w:p>
            <w:pPr>
              <w:widowControl/>
              <w:spacing w:line="0" w:lineRule="atLeas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一级指标</w:t>
            </w:r>
          </w:p>
        </w:tc>
        <w:tc>
          <w:tcPr>
            <w:tcW w:w="958" w:type="dxa"/>
            <w:shd w:val="clear" w:color="auto" w:fill="auto"/>
            <w:noWrap w:val="0"/>
            <w:vAlign w:val="center"/>
          </w:tcPr>
          <w:p>
            <w:pPr>
              <w:widowControl/>
              <w:spacing w:line="0" w:lineRule="atLeas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二级指标</w:t>
            </w:r>
          </w:p>
        </w:tc>
        <w:tc>
          <w:tcPr>
            <w:tcW w:w="1918" w:type="dxa"/>
            <w:shd w:val="clear" w:color="auto" w:fill="auto"/>
            <w:noWrap w:val="0"/>
            <w:vAlign w:val="center"/>
          </w:tcPr>
          <w:p>
            <w:pPr>
              <w:widowControl/>
              <w:spacing w:line="0" w:lineRule="atLeas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三级指标</w:t>
            </w:r>
          </w:p>
        </w:tc>
        <w:tc>
          <w:tcPr>
            <w:tcW w:w="4396" w:type="dxa"/>
            <w:shd w:val="clear" w:color="auto" w:fill="auto"/>
            <w:noWrap w:val="0"/>
            <w:vAlign w:val="center"/>
          </w:tcPr>
          <w:p>
            <w:pPr>
              <w:widowControl/>
              <w:spacing w:line="0" w:lineRule="atLeas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指标说明</w:t>
            </w:r>
          </w:p>
        </w:tc>
        <w:tc>
          <w:tcPr>
            <w:tcW w:w="1463" w:type="dxa"/>
            <w:shd w:val="clear" w:color="auto" w:fill="auto"/>
            <w:noWrap w:val="0"/>
            <w:vAlign w:val="center"/>
          </w:tcPr>
          <w:p>
            <w:pPr>
              <w:widowControl/>
              <w:spacing w:line="0" w:lineRule="atLeast"/>
              <w:jc w:val="center"/>
              <w:rPr>
                <w:rFonts w:hint="default"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数据来源</w:t>
            </w:r>
          </w:p>
        </w:tc>
        <w:tc>
          <w:tcPr>
            <w:tcW w:w="1602" w:type="dxa"/>
            <w:shd w:val="clear" w:color="auto" w:fill="auto"/>
            <w:noWrap w:val="0"/>
            <w:vAlign w:val="center"/>
          </w:tcPr>
          <w:p>
            <w:pPr>
              <w:widowControl/>
              <w:spacing w:line="0" w:lineRule="atLeast"/>
              <w:jc w:val="center"/>
              <w:rPr>
                <w:rFonts w:hint="default"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评价标准</w:t>
            </w:r>
          </w:p>
        </w:tc>
        <w:tc>
          <w:tcPr>
            <w:tcW w:w="1327" w:type="dxa"/>
            <w:shd w:val="clear" w:color="auto" w:fill="auto"/>
            <w:noWrap w:val="0"/>
            <w:vAlign w:val="center"/>
          </w:tcPr>
          <w:p>
            <w:pPr>
              <w:widowControl/>
              <w:spacing w:line="0" w:lineRule="atLeast"/>
              <w:jc w:val="center"/>
              <w:rPr>
                <w:rFonts w:hint="default"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业绩值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30" w:hRule="atLeast"/>
          <w:jc w:val="center"/>
        </w:trPr>
        <w:tc>
          <w:tcPr>
            <w:tcW w:w="964" w:type="dxa"/>
            <w:vMerge w:val="restart"/>
            <w:shd w:val="clear" w:color="auto" w:fill="auto"/>
            <w:noWrap w:val="0"/>
            <w:vAlign w:val="center"/>
          </w:tcPr>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决策</w:t>
            </w:r>
          </w:p>
          <w:p>
            <w:pPr>
              <w:widowControl/>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15）</w:t>
            </w:r>
            <w:r>
              <w:rPr>
                <w:rFonts w:hint="eastAsia" w:ascii="宋体" w:hAnsi="宋体" w:eastAsia="宋体" w:cs="宋体"/>
                <w:color w:val="000000"/>
                <w:kern w:val="0"/>
                <w:sz w:val="18"/>
                <w:szCs w:val="18"/>
              </w:rPr>
              <w:t>　</w:t>
            </w:r>
          </w:p>
        </w:tc>
        <w:tc>
          <w:tcPr>
            <w:tcW w:w="958" w:type="dxa"/>
            <w:vMerge w:val="restart"/>
            <w:shd w:val="clear" w:color="auto" w:fill="auto"/>
            <w:noWrap w:val="0"/>
            <w:vAlign w:val="center"/>
          </w:tcPr>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项目立项</w:t>
            </w:r>
          </w:p>
          <w:p>
            <w:pPr>
              <w:widowControl/>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4）</w:t>
            </w:r>
            <w:r>
              <w:rPr>
                <w:rFonts w:hint="eastAsia" w:ascii="宋体" w:hAnsi="宋体" w:eastAsia="宋体" w:cs="宋体"/>
                <w:color w:val="000000"/>
                <w:kern w:val="0"/>
                <w:sz w:val="18"/>
                <w:szCs w:val="18"/>
              </w:rPr>
              <w:t>　</w:t>
            </w:r>
          </w:p>
        </w:tc>
        <w:tc>
          <w:tcPr>
            <w:tcW w:w="1918" w:type="dxa"/>
            <w:shd w:val="clear" w:color="auto" w:fill="auto"/>
            <w:noWrap w:val="0"/>
            <w:vAlign w:val="center"/>
          </w:tcPr>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立项依据</w:t>
            </w:r>
          </w:p>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充分性</w:t>
            </w:r>
          </w:p>
          <w:p>
            <w:pPr>
              <w:widowControl/>
              <w:spacing w:line="0" w:lineRule="atLeast"/>
              <w:jc w:val="center"/>
              <w:rPr>
                <w:rFonts w:hint="eastAsia" w:eastAsia="宋体"/>
                <w:lang w:val="en-US" w:eastAsia="zh-CN"/>
              </w:rPr>
            </w:pPr>
            <w:r>
              <w:rPr>
                <w:rFonts w:hint="eastAsia" w:ascii="宋体" w:hAnsi="宋体" w:eastAsia="宋体" w:cs="宋体"/>
                <w:color w:val="000000"/>
                <w:kern w:val="0"/>
                <w:sz w:val="18"/>
                <w:szCs w:val="18"/>
                <w:lang w:val="en-US" w:eastAsia="zh-CN"/>
              </w:rPr>
              <w:t>（2）</w:t>
            </w:r>
          </w:p>
        </w:tc>
        <w:tc>
          <w:tcPr>
            <w:tcW w:w="4396" w:type="dxa"/>
            <w:shd w:val="clear" w:color="auto" w:fill="auto"/>
            <w:noWrap w:val="0"/>
            <w:vAlign w:val="center"/>
          </w:tcPr>
          <w:p>
            <w:pPr>
              <w:widowControl/>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评价要点：①项目立项是否符合国家法律法规、国民经济发展规划和相关政策；②项目立项是否符合行业发展规划和政策要求；③项目立项是否与部门职责范围相符，属于部门履职所需；④项目是否属于公共财政支持范围，是否符合中央、地方事权支出责任划分原则。</w:t>
            </w:r>
          </w:p>
        </w:tc>
        <w:tc>
          <w:tcPr>
            <w:tcW w:w="1463" w:type="dxa"/>
            <w:shd w:val="clear" w:color="auto" w:fill="auto"/>
            <w:noWrap w:val="0"/>
            <w:vAlign w:val="center"/>
          </w:tcPr>
          <w:p>
            <w:pPr>
              <w:widowControl/>
              <w:spacing w:line="0" w:lineRule="atLeas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立项文件中对目标的阐述</w:t>
            </w:r>
          </w:p>
        </w:tc>
        <w:tc>
          <w:tcPr>
            <w:tcW w:w="1602" w:type="dxa"/>
            <w:shd w:val="clear" w:color="auto" w:fill="auto"/>
            <w:noWrap w:val="0"/>
            <w:vAlign w:val="center"/>
          </w:tcPr>
          <w:p>
            <w:pPr>
              <w:widowControl/>
              <w:spacing w:line="0" w:lineRule="atLeas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具备一个要素得0.5分，否则不得分。</w:t>
            </w:r>
          </w:p>
        </w:tc>
        <w:tc>
          <w:tcPr>
            <w:tcW w:w="1327" w:type="dxa"/>
            <w:shd w:val="clear" w:color="auto" w:fill="auto"/>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充分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3" w:hRule="atLeast"/>
          <w:jc w:val="center"/>
        </w:trPr>
        <w:tc>
          <w:tcPr>
            <w:tcW w:w="964" w:type="dxa"/>
            <w:vMerge w:val="continue"/>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958" w:type="dxa"/>
            <w:vMerge w:val="continue"/>
            <w:shd w:val="clear" w:color="auto" w:fill="auto"/>
            <w:noWrap w:val="0"/>
            <w:vAlign w:val="center"/>
          </w:tcPr>
          <w:p>
            <w:pPr>
              <w:widowControl/>
              <w:spacing w:line="0" w:lineRule="atLeast"/>
              <w:jc w:val="center"/>
              <w:rPr>
                <w:rFonts w:ascii="宋体" w:hAnsi="宋体" w:eastAsia="宋体" w:cs="宋体"/>
                <w:color w:val="000000"/>
                <w:kern w:val="0"/>
                <w:sz w:val="18"/>
                <w:szCs w:val="18"/>
              </w:rPr>
            </w:pPr>
          </w:p>
        </w:tc>
        <w:tc>
          <w:tcPr>
            <w:tcW w:w="1918" w:type="dxa"/>
            <w:shd w:val="clear" w:color="auto" w:fill="auto"/>
            <w:noWrap w:val="0"/>
            <w:vAlign w:val="center"/>
          </w:tcPr>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立项程序</w:t>
            </w:r>
          </w:p>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规范性</w:t>
            </w:r>
          </w:p>
          <w:p>
            <w:pPr>
              <w:widowControl/>
              <w:spacing w:line="0" w:lineRule="atLeast"/>
              <w:jc w:val="center"/>
              <w:rPr>
                <w:rFonts w:hint="eastAsia" w:eastAsia="宋体"/>
                <w:lang w:eastAsia="zh-CN"/>
              </w:rPr>
            </w:pP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lang w:eastAsia="zh-CN"/>
              </w:rPr>
              <w:t>）</w:t>
            </w:r>
          </w:p>
        </w:tc>
        <w:tc>
          <w:tcPr>
            <w:tcW w:w="4396" w:type="dxa"/>
            <w:shd w:val="clear" w:color="auto" w:fill="auto"/>
            <w:noWrap w:val="0"/>
            <w:vAlign w:val="center"/>
          </w:tcPr>
          <w:p>
            <w:pPr>
              <w:widowControl/>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评价要点：①项目是否按照规定的程序申请设立；②审批文件、材料是否符合相关要求；③事前是否已经过必要的可行性研究、专家论证、风险评估、绩效评估、集体决策。</w:t>
            </w:r>
          </w:p>
        </w:tc>
        <w:tc>
          <w:tcPr>
            <w:tcW w:w="1463" w:type="dxa"/>
            <w:shd w:val="clear" w:color="auto" w:fill="auto"/>
            <w:noWrap w:val="0"/>
            <w:vAlign w:val="center"/>
          </w:tcPr>
          <w:p>
            <w:pPr>
              <w:widowControl/>
              <w:spacing w:line="0" w:lineRule="atLeas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政策文件，资金审批请示及批复文件</w:t>
            </w:r>
          </w:p>
        </w:tc>
        <w:tc>
          <w:tcPr>
            <w:tcW w:w="1602" w:type="dxa"/>
            <w:shd w:val="clear" w:color="auto" w:fill="auto"/>
            <w:noWrap w:val="0"/>
            <w:vAlign w:val="center"/>
          </w:tcPr>
          <w:p>
            <w:pPr>
              <w:widowControl/>
              <w:spacing w:line="0" w:lineRule="atLeas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具备要素</w:t>
            </w:r>
            <w:r>
              <w:rPr>
                <w:rFonts w:hint="eastAsia" w:ascii="宋体" w:hAnsi="宋体" w:eastAsia="宋体" w:cs="宋体"/>
                <w:color w:val="000000"/>
                <w:kern w:val="0"/>
                <w:sz w:val="18"/>
                <w:szCs w:val="18"/>
              </w:rPr>
              <w:t>①</w:t>
            </w:r>
            <w:r>
              <w:rPr>
                <w:rFonts w:hint="eastAsia" w:ascii="宋体" w:hAnsi="宋体" w:eastAsia="宋体" w:cs="宋体"/>
                <w:color w:val="000000"/>
                <w:kern w:val="0"/>
                <w:sz w:val="18"/>
                <w:szCs w:val="18"/>
                <w:lang w:val="en-US" w:eastAsia="zh-CN"/>
              </w:rPr>
              <w:t>和</w:t>
            </w:r>
            <w:r>
              <w:rPr>
                <w:rFonts w:hint="eastAsia" w:ascii="宋体" w:hAnsi="宋体" w:eastAsia="宋体" w:cs="宋体"/>
                <w:color w:val="000000"/>
                <w:kern w:val="0"/>
                <w:sz w:val="18"/>
                <w:szCs w:val="18"/>
              </w:rPr>
              <w:t>②</w:t>
            </w:r>
            <w:r>
              <w:rPr>
                <w:rFonts w:hint="eastAsia" w:ascii="宋体" w:hAnsi="宋体" w:eastAsia="宋体" w:cs="宋体"/>
                <w:color w:val="000000"/>
                <w:kern w:val="0"/>
                <w:sz w:val="18"/>
                <w:szCs w:val="18"/>
                <w:lang w:val="en-US" w:eastAsia="zh-CN"/>
              </w:rPr>
              <w:t>之一的，分别得0.6分；具备要素</w:t>
            </w:r>
            <w:r>
              <w:rPr>
                <w:rFonts w:hint="eastAsia" w:ascii="宋体" w:hAnsi="宋体" w:eastAsia="宋体" w:cs="宋体"/>
                <w:color w:val="000000"/>
                <w:kern w:val="0"/>
                <w:sz w:val="18"/>
                <w:szCs w:val="18"/>
              </w:rPr>
              <w:t>③</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得0.8分。</w:t>
            </w:r>
          </w:p>
        </w:tc>
        <w:tc>
          <w:tcPr>
            <w:tcW w:w="1327" w:type="dxa"/>
            <w:shd w:val="clear" w:color="auto" w:fill="auto"/>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基本规范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3" w:hRule="atLeast"/>
          <w:jc w:val="center"/>
        </w:trPr>
        <w:tc>
          <w:tcPr>
            <w:tcW w:w="964" w:type="dxa"/>
            <w:vMerge w:val="continue"/>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958" w:type="dxa"/>
            <w:vMerge w:val="restart"/>
            <w:shd w:val="clear" w:color="auto" w:fill="auto"/>
            <w:noWrap w:val="0"/>
            <w:vAlign w:val="center"/>
          </w:tcPr>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绩效目标</w:t>
            </w:r>
          </w:p>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6）</w:t>
            </w:r>
            <w:r>
              <w:rPr>
                <w:rFonts w:hint="eastAsia" w:ascii="宋体" w:hAnsi="宋体" w:eastAsia="宋体" w:cs="宋体"/>
                <w:color w:val="000000"/>
                <w:kern w:val="0"/>
                <w:sz w:val="18"/>
                <w:szCs w:val="18"/>
              </w:rPr>
              <w:t>　</w:t>
            </w:r>
          </w:p>
        </w:tc>
        <w:tc>
          <w:tcPr>
            <w:tcW w:w="1918" w:type="dxa"/>
            <w:shd w:val="clear" w:color="auto" w:fill="auto"/>
            <w:noWrap w:val="0"/>
            <w:vAlign w:val="center"/>
          </w:tcPr>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绩效目标</w:t>
            </w:r>
          </w:p>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合理性</w:t>
            </w:r>
          </w:p>
          <w:p>
            <w:pPr>
              <w:widowControl/>
              <w:spacing w:line="0" w:lineRule="atLeas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lang w:eastAsia="zh-CN"/>
              </w:rPr>
              <w:t>）</w:t>
            </w:r>
          </w:p>
        </w:tc>
        <w:tc>
          <w:tcPr>
            <w:tcW w:w="4396" w:type="dxa"/>
            <w:shd w:val="clear" w:color="auto" w:fill="auto"/>
            <w:noWrap w:val="0"/>
            <w:vAlign w:val="center"/>
          </w:tcPr>
          <w:p>
            <w:pPr>
              <w:widowControl/>
              <w:spacing w:line="0" w:lineRule="atLeas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评价要点：（如未设定预算绩效目标，也可考核其他工作任务目标）①项目是否有绩效目标；②项目绩效目标与实际工作内容是否具有相关性；③项目预期产出效益和效果是否符合正常的业绩水平</w:t>
            </w:r>
            <w:r>
              <w:rPr>
                <w:rFonts w:hint="eastAsia" w:ascii="宋体" w:hAnsi="宋体" w:eastAsia="宋体" w:cs="宋体"/>
                <w:color w:val="000000"/>
                <w:kern w:val="0"/>
                <w:sz w:val="18"/>
                <w:szCs w:val="18"/>
                <w:lang w:eastAsia="zh-CN"/>
              </w:rPr>
              <w:t>。</w:t>
            </w:r>
          </w:p>
        </w:tc>
        <w:tc>
          <w:tcPr>
            <w:tcW w:w="1463" w:type="dxa"/>
            <w:shd w:val="clear" w:color="auto" w:fill="auto"/>
            <w:noWrap w:val="0"/>
            <w:vAlign w:val="center"/>
          </w:tcPr>
          <w:p>
            <w:pPr>
              <w:widowControl/>
              <w:spacing w:line="0" w:lineRule="atLeas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绩效目标申报表</w:t>
            </w:r>
          </w:p>
        </w:tc>
        <w:tc>
          <w:tcPr>
            <w:tcW w:w="1602" w:type="dxa"/>
            <w:shd w:val="clear" w:color="auto" w:fill="auto"/>
            <w:noWrap w:val="0"/>
            <w:vAlign w:val="center"/>
          </w:tcPr>
          <w:p>
            <w:pPr>
              <w:widowControl/>
              <w:spacing w:line="0" w:lineRule="atLeas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具备一个要素得1分，否则不得分。</w:t>
            </w:r>
          </w:p>
        </w:tc>
        <w:tc>
          <w:tcPr>
            <w:tcW w:w="1327" w:type="dxa"/>
            <w:shd w:val="clear" w:color="auto" w:fill="auto"/>
            <w:noWrap w:val="0"/>
            <w:vAlign w:val="center"/>
          </w:tcPr>
          <w:p>
            <w:pPr>
              <w:widowControl/>
              <w:spacing w:line="0" w:lineRule="atLeas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不合理</w:t>
            </w:r>
          </w:p>
          <w:p>
            <w:pPr>
              <w:widowControl/>
              <w:spacing w:line="0" w:lineRule="atLeast"/>
              <w:jc w:val="center"/>
              <w:rPr>
                <w:rFonts w:hint="default" w:ascii="宋体" w:hAnsi="宋体" w:eastAsia="宋体" w:cs="宋体"/>
                <w:color w:val="000000"/>
                <w:kern w:val="0"/>
                <w:sz w:val="18"/>
                <w:szCs w:val="1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0" w:hRule="atLeast"/>
          <w:jc w:val="center"/>
        </w:trPr>
        <w:tc>
          <w:tcPr>
            <w:tcW w:w="964" w:type="dxa"/>
            <w:vMerge w:val="continue"/>
            <w:shd w:val="clear" w:color="auto" w:fill="auto"/>
            <w:noWrap w:val="0"/>
            <w:vAlign w:val="center"/>
          </w:tcPr>
          <w:p>
            <w:pPr>
              <w:widowControl/>
              <w:spacing w:line="0" w:lineRule="atLeast"/>
              <w:jc w:val="center"/>
              <w:rPr>
                <w:rFonts w:ascii="宋体" w:hAnsi="宋体" w:eastAsia="宋体" w:cs="宋体"/>
                <w:color w:val="000000"/>
                <w:kern w:val="0"/>
                <w:sz w:val="18"/>
                <w:szCs w:val="18"/>
              </w:rPr>
            </w:pPr>
          </w:p>
        </w:tc>
        <w:tc>
          <w:tcPr>
            <w:tcW w:w="958" w:type="dxa"/>
            <w:vMerge w:val="continue"/>
            <w:shd w:val="clear" w:color="auto" w:fill="auto"/>
            <w:noWrap w:val="0"/>
            <w:vAlign w:val="center"/>
          </w:tcPr>
          <w:p>
            <w:pPr>
              <w:widowControl/>
              <w:spacing w:line="0" w:lineRule="atLeast"/>
              <w:jc w:val="center"/>
              <w:rPr>
                <w:rFonts w:hint="eastAsia" w:ascii="宋体" w:hAnsi="宋体" w:eastAsia="宋体" w:cs="宋体"/>
                <w:color w:val="000000"/>
                <w:kern w:val="0"/>
                <w:sz w:val="18"/>
                <w:szCs w:val="18"/>
              </w:rPr>
            </w:pPr>
          </w:p>
        </w:tc>
        <w:tc>
          <w:tcPr>
            <w:tcW w:w="1918" w:type="dxa"/>
            <w:shd w:val="clear" w:color="auto" w:fill="auto"/>
            <w:noWrap w:val="0"/>
            <w:vAlign w:val="center"/>
          </w:tcPr>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绩效指标</w:t>
            </w:r>
          </w:p>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明确性</w:t>
            </w:r>
          </w:p>
          <w:p>
            <w:pPr>
              <w:widowControl/>
              <w:spacing w:line="0" w:lineRule="atLeas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lang w:eastAsia="zh-CN"/>
              </w:rPr>
              <w:t>）</w:t>
            </w:r>
          </w:p>
        </w:tc>
        <w:tc>
          <w:tcPr>
            <w:tcW w:w="4396" w:type="dxa"/>
            <w:shd w:val="clear" w:color="auto" w:fill="auto"/>
            <w:noWrap w:val="0"/>
            <w:vAlign w:val="center"/>
          </w:tcPr>
          <w:p>
            <w:pPr>
              <w:widowControl/>
              <w:spacing w:line="0" w:lineRule="atLeast"/>
              <w:jc w:val="left"/>
              <w:rPr>
                <w:rFonts w:hint="eastAsia"/>
                <w:lang w:eastAsia="zh-CN"/>
              </w:rPr>
            </w:pPr>
            <w:r>
              <w:rPr>
                <w:rFonts w:hint="eastAsia" w:ascii="宋体" w:hAnsi="宋体" w:eastAsia="宋体" w:cs="宋体"/>
                <w:color w:val="000000"/>
                <w:kern w:val="0"/>
                <w:sz w:val="18"/>
                <w:szCs w:val="18"/>
              </w:rPr>
              <w:t>评价要点：①是否将项目绩效目标细化分解为具体的绩效指标；②是否通过清晰、可衡量的指标值予以体现；③是否与项目目标任务数或计划数相对应。</w:t>
            </w:r>
          </w:p>
        </w:tc>
        <w:tc>
          <w:tcPr>
            <w:tcW w:w="1463" w:type="dxa"/>
            <w:shd w:val="clear" w:color="auto" w:fill="auto"/>
            <w:noWrap w:val="0"/>
            <w:vAlign w:val="center"/>
          </w:tcPr>
          <w:p>
            <w:pPr>
              <w:widowControl/>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绩效目标申报表</w:t>
            </w:r>
          </w:p>
        </w:tc>
        <w:tc>
          <w:tcPr>
            <w:tcW w:w="1602" w:type="dxa"/>
            <w:shd w:val="clear" w:color="auto" w:fill="auto"/>
            <w:noWrap w:val="0"/>
            <w:vAlign w:val="center"/>
          </w:tcPr>
          <w:p>
            <w:pPr>
              <w:widowControl/>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具备一个要素得1分，否则不得分。</w:t>
            </w:r>
          </w:p>
        </w:tc>
        <w:tc>
          <w:tcPr>
            <w:tcW w:w="1327" w:type="dxa"/>
            <w:shd w:val="clear" w:color="auto" w:fill="auto"/>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不明确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4" w:hRule="atLeast"/>
          <w:jc w:val="center"/>
        </w:trPr>
        <w:tc>
          <w:tcPr>
            <w:tcW w:w="964" w:type="dxa"/>
            <w:vMerge w:val="continue"/>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958" w:type="dxa"/>
            <w:vMerge w:val="restart"/>
            <w:shd w:val="clear" w:color="auto" w:fill="auto"/>
            <w:noWrap w:val="0"/>
            <w:vAlign w:val="center"/>
          </w:tcPr>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资金投入</w:t>
            </w:r>
          </w:p>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5）</w:t>
            </w:r>
          </w:p>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918" w:type="dxa"/>
            <w:shd w:val="clear" w:color="auto" w:fill="auto"/>
            <w:noWrap w:val="0"/>
            <w:vAlign w:val="center"/>
          </w:tcPr>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预算编制</w:t>
            </w:r>
          </w:p>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科学性</w:t>
            </w:r>
          </w:p>
          <w:p>
            <w:pPr>
              <w:widowControl/>
              <w:spacing w:line="0" w:lineRule="atLeas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lang w:eastAsia="zh-CN"/>
              </w:rPr>
              <w:t>）</w:t>
            </w:r>
          </w:p>
        </w:tc>
        <w:tc>
          <w:tcPr>
            <w:tcW w:w="4396" w:type="dxa"/>
            <w:shd w:val="clear" w:color="auto" w:fill="auto"/>
            <w:noWrap w:val="0"/>
            <w:vAlign w:val="center"/>
          </w:tcPr>
          <w:p>
            <w:pPr>
              <w:widowControl/>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评价要点：①预算编制是否经过科学论证；②预算内容与项目内容是否匹配；③预算额度测算依据是否充分，是否按照标准编制；④预算确定的项目投资额或资金量是否与工作任务相匹配。</w:t>
            </w:r>
          </w:p>
        </w:tc>
        <w:tc>
          <w:tcPr>
            <w:tcW w:w="1463" w:type="dxa"/>
            <w:shd w:val="clear" w:color="auto" w:fill="auto"/>
            <w:noWrap w:val="0"/>
            <w:vAlign w:val="center"/>
          </w:tcPr>
          <w:p>
            <w:pPr>
              <w:widowControl/>
              <w:spacing w:line="0" w:lineRule="atLeas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预算申报文件</w:t>
            </w:r>
          </w:p>
        </w:tc>
        <w:tc>
          <w:tcPr>
            <w:tcW w:w="1602" w:type="dxa"/>
            <w:shd w:val="clear" w:color="auto" w:fill="auto"/>
            <w:noWrap w:val="0"/>
            <w:vAlign w:val="center"/>
          </w:tcPr>
          <w:p>
            <w:pPr>
              <w:widowControl/>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具备一个要素得0.75分，否则不得分。</w:t>
            </w:r>
          </w:p>
        </w:tc>
        <w:tc>
          <w:tcPr>
            <w:tcW w:w="1327" w:type="dxa"/>
            <w:shd w:val="clear" w:color="auto" w:fill="auto"/>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不科学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4" w:hRule="atLeast"/>
          <w:jc w:val="center"/>
        </w:trPr>
        <w:tc>
          <w:tcPr>
            <w:tcW w:w="964" w:type="dxa"/>
            <w:vMerge w:val="continue"/>
            <w:shd w:val="clear" w:color="auto" w:fill="auto"/>
            <w:noWrap w:val="0"/>
            <w:vAlign w:val="center"/>
          </w:tcPr>
          <w:p>
            <w:pPr>
              <w:widowControl/>
              <w:spacing w:line="0" w:lineRule="atLeast"/>
              <w:jc w:val="center"/>
              <w:rPr>
                <w:rFonts w:ascii="宋体" w:hAnsi="宋体" w:eastAsia="宋体" w:cs="宋体"/>
                <w:color w:val="000000"/>
                <w:kern w:val="0"/>
                <w:sz w:val="18"/>
                <w:szCs w:val="18"/>
              </w:rPr>
            </w:pPr>
          </w:p>
        </w:tc>
        <w:tc>
          <w:tcPr>
            <w:tcW w:w="958" w:type="dxa"/>
            <w:vMerge w:val="continue"/>
            <w:shd w:val="clear" w:color="auto" w:fill="auto"/>
            <w:noWrap w:val="0"/>
            <w:vAlign w:val="center"/>
          </w:tcPr>
          <w:p>
            <w:pPr>
              <w:widowControl/>
              <w:spacing w:line="0" w:lineRule="atLeast"/>
              <w:jc w:val="center"/>
              <w:rPr>
                <w:rFonts w:ascii="宋体" w:hAnsi="宋体" w:eastAsia="宋体" w:cs="宋体"/>
                <w:color w:val="000000"/>
                <w:kern w:val="0"/>
                <w:sz w:val="18"/>
                <w:szCs w:val="18"/>
              </w:rPr>
            </w:pPr>
          </w:p>
        </w:tc>
        <w:tc>
          <w:tcPr>
            <w:tcW w:w="1918" w:type="dxa"/>
            <w:shd w:val="clear" w:color="auto" w:fill="auto"/>
            <w:noWrap w:val="0"/>
            <w:vAlign w:val="center"/>
          </w:tcPr>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资金分配</w:t>
            </w:r>
          </w:p>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合理性</w:t>
            </w:r>
          </w:p>
          <w:p>
            <w:pPr>
              <w:widowControl/>
              <w:spacing w:line="0" w:lineRule="atLeas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lang w:eastAsia="zh-CN"/>
              </w:rPr>
              <w:t>）</w:t>
            </w:r>
          </w:p>
        </w:tc>
        <w:tc>
          <w:tcPr>
            <w:tcW w:w="4396" w:type="dxa"/>
            <w:shd w:val="clear" w:color="auto" w:fill="auto"/>
            <w:noWrap w:val="0"/>
            <w:vAlign w:val="center"/>
          </w:tcPr>
          <w:p>
            <w:pPr>
              <w:widowControl/>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评价要点：①预算资金分配依据是否充分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；②资金分配额度是否合理，与项目单位或地方实际是否相适应。</w:t>
            </w:r>
          </w:p>
        </w:tc>
        <w:tc>
          <w:tcPr>
            <w:tcW w:w="1463" w:type="dxa"/>
            <w:shd w:val="clear" w:color="auto" w:fill="auto"/>
            <w:noWrap w:val="0"/>
            <w:vAlign w:val="center"/>
          </w:tcPr>
          <w:p>
            <w:pPr>
              <w:widowControl/>
              <w:spacing w:line="0" w:lineRule="atLeas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预算批复文件</w:t>
            </w:r>
          </w:p>
        </w:tc>
        <w:tc>
          <w:tcPr>
            <w:tcW w:w="1602" w:type="dxa"/>
            <w:shd w:val="clear" w:color="auto" w:fill="auto"/>
            <w:noWrap w:val="0"/>
            <w:vAlign w:val="center"/>
          </w:tcPr>
          <w:p>
            <w:pPr>
              <w:widowControl/>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具备一个要素得1分，否则不得分。</w:t>
            </w:r>
          </w:p>
        </w:tc>
        <w:tc>
          <w:tcPr>
            <w:tcW w:w="1327" w:type="dxa"/>
            <w:shd w:val="clear" w:color="auto" w:fill="auto"/>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不确定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8" w:hRule="atLeast"/>
          <w:jc w:val="center"/>
        </w:trPr>
        <w:tc>
          <w:tcPr>
            <w:tcW w:w="964" w:type="dxa"/>
            <w:vMerge w:val="restart"/>
            <w:shd w:val="clear" w:color="auto" w:fill="auto"/>
            <w:noWrap w:val="0"/>
            <w:vAlign w:val="center"/>
          </w:tcPr>
          <w:p>
            <w:pPr>
              <w:spacing w:line="0" w:lineRule="atLeast"/>
              <w:jc w:val="both"/>
              <w:rPr>
                <w:rFonts w:hint="eastAsia" w:ascii="宋体" w:hAnsi="宋体" w:eastAsia="宋体" w:cs="宋体"/>
                <w:color w:val="000000"/>
                <w:kern w:val="0"/>
                <w:sz w:val="18"/>
                <w:szCs w:val="18"/>
              </w:rPr>
            </w:pPr>
          </w:p>
          <w:p>
            <w:pPr>
              <w:widowControl/>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p>
            <w:pPr>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过程</w:t>
            </w:r>
          </w:p>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25）</w:t>
            </w:r>
            <w:r>
              <w:rPr>
                <w:rFonts w:hint="eastAsia" w:ascii="宋体" w:hAnsi="宋体" w:eastAsia="宋体" w:cs="宋体"/>
                <w:color w:val="000000"/>
                <w:kern w:val="0"/>
                <w:sz w:val="18"/>
                <w:szCs w:val="18"/>
              </w:rPr>
              <w:t>　</w:t>
            </w:r>
          </w:p>
        </w:tc>
        <w:tc>
          <w:tcPr>
            <w:tcW w:w="958" w:type="dxa"/>
            <w:vMerge w:val="restart"/>
            <w:shd w:val="clear" w:color="auto" w:fill="auto"/>
            <w:noWrap w:val="0"/>
            <w:vAlign w:val="center"/>
          </w:tcPr>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资金管理</w:t>
            </w:r>
          </w:p>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9）</w:t>
            </w:r>
          </w:p>
        </w:tc>
        <w:tc>
          <w:tcPr>
            <w:tcW w:w="1918" w:type="dxa"/>
            <w:shd w:val="clear" w:color="auto" w:fill="auto"/>
            <w:noWrap w:val="0"/>
            <w:vAlign w:val="center"/>
          </w:tcPr>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资金到位率</w:t>
            </w:r>
          </w:p>
          <w:p>
            <w:pPr>
              <w:widowControl/>
              <w:spacing w:line="0" w:lineRule="atLeas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lang w:eastAsia="zh-CN"/>
              </w:rPr>
              <w:t>）</w:t>
            </w:r>
          </w:p>
        </w:tc>
        <w:tc>
          <w:tcPr>
            <w:tcW w:w="4396" w:type="dxa"/>
            <w:shd w:val="clear" w:color="auto" w:fill="auto"/>
            <w:noWrap w:val="0"/>
            <w:vAlign w:val="center"/>
          </w:tcPr>
          <w:p>
            <w:pPr>
              <w:widowControl/>
              <w:spacing w:line="0" w:lineRule="atLeas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资金到位率=（实际到位资金/预算资金）×100%。</w:t>
            </w:r>
          </w:p>
          <w:p>
            <w:pPr>
              <w:widowControl/>
              <w:spacing w:line="0" w:lineRule="atLeas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实际到位资金：一定时期（本年度或项目期）内落实到具体项目的资金。</w:t>
            </w:r>
          </w:p>
          <w:p>
            <w:pPr>
              <w:widowControl/>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预算资金：一定时期（本年度或项目期）内预算安排到具体项目的资金。</w:t>
            </w:r>
          </w:p>
        </w:tc>
        <w:tc>
          <w:tcPr>
            <w:tcW w:w="1463" w:type="dxa"/>
            <w:shd w:val="clear" w:color="auto" w:fill="auto"/>
            <w:noWrap w:val="0"/>
            <w:vAlign w:val="center"/>
          </w:tcPr>
          <w:p>
            <w:pPr>
              <w:widowControl/>
              <w:spacing w:line="0" w:lineRule="atLeas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项目单位、实施单位会计资料</w:t>
            </w:r>
          </w:p>
        </w:tc>
        <w:tc>
          <w:tcPr>
            <w:tcW w:w="1602" w:type="dxa"/>
            <w:shd w:val="clear" w:color="auto" w:fill="auto"/>
            <w:noWrap w:val="0"/>
            <w:vAlign w:val="center"/>
          </w:tcPr>
          <w:p>
            <w:pPr>
              <w:widowControl/>
              <w:spacing w:line="0" w:lineRule="atLeas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资金到位率</w:t>
            </w:r>
            <w:r>
              <w:rPr>
                <w:rFonts w:hint="default" w:ascii="Arial" w:hAnsi="Arial" w:eastAsia="宋体" w:cs="Arial"/>
                <w:color w:val="000000"/>
                <w:kern w:val="0"/>
                <w:sz w:val="18"/>
                <w:szCs w:val="18"/>
                <w:lang w:val="en-US" w:eastAsia="zh-CN"/>
              </w:rPr>
              <w:t>×</w:t>
            </w:r>
            <w:r>
              <w:rPr>
                <w:rFonts w:hint="eastAsia" w:ascii="宋体" w:hAnsi="宋体" w:eastAsia="宋体" w:cs="宋体"/>
                <w:color w:val="000000"/>
                <w:kern w:val="0"/>
                <w:sz w:val="18"/>
                <w:szCs w:val="18"/>
                <w:lang w:val="en-US" w:eastAsia="zh-CN"/>
              </w:rPr>
              <w:t>分值</w:t>
            </w:r>
          </w:p>
        </w:tc>
        <w:tc>
          <w:tcPr>
            <w:tcW w:w="1327" w:type="dxa"/>
            <w:shd w:val="clear" w:color="auto" w:fill="auto"/>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90.31%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8" w:hRule="atLeast"/>
          <w:jc w:val="center"/>
        </w:trPr>
        <w:tc>
          <w:tcPr>
            <w:tcW w:w="964" w:type="dxa"/>
            <w:vMerge w:val="continue"/>
            <w:shd w:val="clear" w:color="auto" w:fill="auto"/>
            <w:noWrap w:val="0"/>
            <w:vAlign w:val="center"/>
          </w:tcPr>
          <w:p>
            <w:pPr>
              <w:spacing w:line="0" w:lineRule="atLeast"/>
              <w:jc w:val="center"/>
              <w:rPr>
                <w:rFonts w:hint="eastAsia" w:ascii="宋体" w:hAnsi="宋体" w:eastAsia="宋体" w:cs="宋体"/>
                <w:color w:val="000000"/>
                <w:kern w:val="0"/>
                <w:sz w:val="18"/>
                <w:szCs w:val="18"/>
              </w:rPr>
            </w:pPr>
          </w:p>
        </w:tc>
        <w:tc>
          <w:tcPr>
            <w:tcW w:w="958" w:type="dxa"/>
            <w:vMerge w:val="continue"/>
            <w:shd w:val="clear" w:color="auto" w:fill="auto"/>
            <w:noWrap w:val="0"/>
            <w:vAlign w:val="center"/>
          </w:tcPr>
          <w:p>
            <w:pPr>
              <w:spacing w:line="0" w:lineRule="atLeast"/>
              <w:jc w:val="center"/>
              <w:rPr>
                <w:rFonts w:hint="eastAsia" w:ascii="宋体" w:hAnsi="宋体" w:eastAsia="宋体" w:cs="宋体"/>
                <w:color w:val="000000"/>
                <w:kern w:val="0"/>
                <w:sz w:val="18"/>
                <w:szCs w:val="18"/>
              </w:rPr>
            </w:pPr>
          </w:p>
        </w:tc>
        <w:tc>
          <w:tcPr>
            <w:tcW w:w="1918" w:type="dxa"/>
            <w:shd w:val="clear" w:color="auto" w:fill="auto"/>
            <w:noWrap w:val="0"/>
            <w:vAlign w:val="center"/>
          </w:tcPr>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预算</w:t>
            </w:r>
            <w:r>
              <w:rPr>
                <w:rFonts w:hint="eastAsia" w:ascii="宋体" w:hAnsi="宋体" w:eastAsia="宋体" w:cs="宋体"/>
                <w:color w:val="000000"/>
                <w:kern w:val="0"/>
                <w:sz w:val="18"/>
                <w:szCs w:val="18"/>
              </w:rPr>
              <w:t>执行率</w:t>
            </w:r>
          </w:p>
          <w:p>
            <w:pPr>
              <w:widowControl/>
              <w:spacing w:line="0" w:lineRule="atLeas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lang w:eastAsia="zh-CN"/>
              </w:rPr>
              <w:t>）</w:t>
            </w:r>
          </w:p>
        </w:tc>
        <w:tc>
          <w:tcPr>
            <w:tcW w:w="4396" w:type="dxa"/>
            <w:shd w:val="clear" w:color="auto" w:fill="auto"/>
            <w:noWrap w:val="0"/>
            <w:vAlign w:val="center"/>
          </w:tcPr>
          <w:p>
            <w:pPr>
              <w:widowControl/>
              <w:spacing w:line="0" w:lineRule="atLeas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预算执行率=（实际支出资金/实际到位</w:t>
            </w:r>
            <w:r>
              <w:rPr>
                <w:rFonts w:hint="eastAsia" w:ascii="宋体" w:hAnsi="宋体" w:eastAsia="宋体" w:cs="宋体"/>
                <w:color w:val="000000"/>
                <w:kern w:val="0"/>
                <w:sz w:val="18"/>
                <w:szCs w:val="18"/>
                <w:lang w:val="en-US" w:eastAsia="zh-CN"/>
              </w:rPr>
              <w:t>应执行</w:t>
            </w:r>
            <w:r>
              <w:rPr>
                <w:rFonts w:hint="eastAsia" w:ascii="宋体" w:hAnsi="宋体" w:eastAsia="宋体" w:cs="宋体"/>
                <w:color w:val="000000"/>
                <w:kern w:val="0"/>
                <w:sz w:val="18"/>
                <w:szCs w:val="18"/>
              </w:rPr>
              <w:t>资金）×100%。</w:t>
            </w:r>
          </w:p>
          <w:p>
            <w:pPr>
              <w:widowControl/>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实际支出资金：一定时期（本年度或项目期）内项目实际拨付的资金。</w:t>
            </w:r>
          </w:p>
        </w:tc>
        <w:tc>
          <w:tcPr>
            <w:tcW w:w="1463" w:type="dxa"/>
            <w:shd w:val="clear" w:color="auto" w:fill="auto"/>
            <w:noWrap w:val="0"/>
            <w:vAlign w:val="center"/>
          </w:tcPr>
          <w:p>
            <w:pPr>
              <w:widowControl/>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项目单位、实施单位会计资料</w:t>
            </w:r>
          </w:p>
        </w:tc>
        <w:tc>
          <w:tcPr>
            <w:tcW w:w="1602" w:type="dxa"/>
            <w:shd w:val="clear" w:color="auto" w:fill="auto"/>
            <w:noWrap w:val="0"/>
            <w:vAlign w:val="center"/>
          </w:tcPr>
          <w:p>
            <w:pPr>
              <w:widowControl/>
              <w:spacing w:line="0" w:lineRule="atLeas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预算执行率</w:t>
            </w:r>
            <w:r>
              <w:rPr>
                <w:rFonts w:hint="default" w:ascii="Arial" w:hAnsi="Arial" w:eastAsia="宋体" w:cs="Arial"/>
                <w:color w:val="000000"/>
                <w:kern w:val="0"/>
                <w:sz w:val="18"/>
                <w:szCs w:val="18"/>
                <w:lang w:val="en-US" w:eastAsia="zh-CN"/>
              </w:rPr>
              <w:t>×</w:t>
            </w:r>
            <w:r>
              <w:rPr>
                <w:rFonts w:hint="eastAsia" w:ascii="宋体" w:hAnsi="宋体" w:eastAsia="宋体" w:cs="宋体"/>
                <w:color w:val="000000"/>
                <w:kern w:val="0"/>
                <w:sz w:val="18"/>
                <w:szCs w:val="18"/>
                <w:lang w:val="en-US" w:eastAsia="zh-CN"/>
              </w:rPr>
              <w:t>分值</w:t>
            </w:r>
          </w:p>
        </w:tc>
        <w:tc>
          <w:tcPr>
            <w:tcW w:w="1327" w:type="dxa"/>
            <w:shd w:val="clear" w:color="auto" w:fill="auto"/>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3" w:hRule="atLeast"/>
          <w:jc w:val="center"/>
        </w:trPr>
        <w:tc>
          <w:tcPr>
            <w:tcW w:w="964" w:type="dxa"/>
            <w:vMerge w:val="continue"/>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958" w:type="dxa"/>
            <w:vMerge w:val="continue"/>
            <w:shd w:val="clear" w:color="auto" w:fill="auto"/>
            <w:noWrap w:val="0"/>
            <w:vAlign w:val="center"/>
          </w:tcPr>
          <w:p>
            <w:pPr>
              <w:widowControl/>
              <w:spacing w:line="0" w:lineRule="atLeast"/>
              <w:jc w:val="center"/>
              <w:rPr>
                <w:rFonts w:ascii="宋体" w:hAnsi="宋体" w:eastAsia="宋体" w:cs="宋体"/>
                <w:color w:val="000000"/>
                <w:kern w:val="0"/>
                <w:sz w:val="18"/>
                <w:szCs w:val="18"/>
              </w:rPr>
            </w:pPr>
          </w:p>
        </w:tc>
        <w:tc>
          <w:tcPr>
            <w:tcW w:w="1918" w:type="dxa"/>
            <w:shd w:val="clear" w:color="auto" w:fill="auto"/>
            <w:noWrap w:val="0"/>
            <w:vAlign w:val="center"/>
          </w:tcPr>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资金使用</w:t>
            </w:r>
          </w:p>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合规性</w:t>
            </w:r>
          </w:p>
          <w:p>
            <w:pPr>
              <w:widowControl/>
              <w:spacing w:line="0" w:lineRule="atLeas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lang w:eastAsia="zh-CN"/>
              </w:rPr>
              <w:t>）</w:t>
            </w:r>
          </w:p>
        </w:tc>
        <w:tc>
          <w:tcPr>
            <w:tcW w:w="4396" w:type="dxa"/>
            <w:shd w:val="clear" w:color="auto" w:fill="auto"/>
            <w:noWrap w:val="0"/>
            <w:vAlign w:val="center"/>
          </w:tcPr>
          <w:p>
            <w:pPr>
              <w:widowControl/>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评价要点：①是否符合国家财经法规和财务管理制度以及有关专项资金管理办法的规定；②资金的拨付是否有完整的审批程序和手续；③是否符合项目预算批复或合同规定的用途；④是否存在截留、挤占、挪用、虚列支出等情况。</w:t>
            </w:r>
          </w:p>
        </w:tc>
        <w:tc>
          <w:tcPr>
            <w:tcW w:w="1463" w:type="dxa"/>
            <w:shd w:val="clear" w:color="auto" w:fill="auto"/>
            <w:noWrap w:val="0"/>
            <w:vAlign w:val="center"/>
          </w:tcPr>
          <w:p>
            <w:pPr>
              <w:widowControl/>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项目单位、实施单位会计资料</w:t>
            </w:r>
          </w:p>
        </w:tc>
        <w:tc>
          <w:tcPr>
            <w:tcW w:w="1602" w:type="dxa"/>
            <w:shd w:val="clear" w:color="auto" w:fill="auto"/>
            <w:noWrap w:val="0"/>
            <w:vAlign w:val="center"/>
          </w:tcPr>
          <w:p>
            <w:pPr>
              <w:widowControl/>
              <w:spacing w:line="0" w:lineRule="atLeas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每存在一个要素，该指标分值为0。</w:t>
            </w:r>
          </w:p>
        </w:tc>
        <w:tc>
          <w:tcPr>
            <w:tcW w:w="1327" w:type="dxa"/>
            <w:shd w:val="clear" w:color="auto" w:fill="auto"/>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不合规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6" w:hRule="atLeast"/>
          <w:jc w:val="center"/>
        </w:trPr>
        <w:tc>
          <w:tcPr>
            <w:tcW w:w="964" w:type="dxa"/>
            <w:vMerge w:val="continue"/>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958" w:type="dxa"/>
            <w:vMerge w:val="restart"/>
            <w:shd w:val="clear" w:color="auto" w:fill="auto"/>
            <w:noWrap w:val="0"/>
            <w:vAlign w:val="center"/>
          </w:tcPr>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业务管理</w:t>
            </w:r>
          </w:p>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6）</w:t>
            </w:r>
          </w:p>
          <w:p>
            <w:pPr>
              <w:spacing w:line="0" w:lineRule="atLeas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918" w:type="dxa"/>
            <w:shd w:val="clear" w:color="auto" w:fill="auto"/>
            <w:noWrap w:val="0"/>
            <w:vAlign w:val="center"/>
          </w:tcPr>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管理制度</w:t>
            </w:r>
          </w:p>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健全性</w:t>
            </w:r>
          </w:p>
          <w:p>
            <w:pPr>
              <w:widowControl/>
              <w:spacing w:line="0" w:lineRule="atLeas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lang w:eastAsia="zh-CN"/>
              </w:rPr>
              <w:t>）</w:t>
            </w:r>
          </w:p>
        </w:tc>
        <w:tc>
          <w:tcPr>
            <w:tcW w:w="4396" w:type="dxa"/>
            <w:shd w:val="clear" w:color="auto" w:fill="auto"/>
            <w:noWrap w:val="0"/>
            <w:vAlign w:val="center"/>
          </w:tcPr>
          <w:p>
            <w:pPr>
              <w:widowControl/>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评价要点：①</w:t>
            </w:r>
            <w:r>
              <w:rPr>
                <w:rFonts w:hint="eastAsia" w:ascii="宋体" w:hAnsi="宋体" w:eastAsia="宋体" w:cs="宋体"/>
                <w:color w:val="000000"/>
                <w:kern w:val="0"/>
                <w:sz w:val="18"/>
                <w:szCs w:val="18"/>
                <w:lang w:val="en-US" w:eastAsia="zh-CN"/>
              </w:rPr>
              <w:t>项目单位和实施单位</w:t>
            </w:r>
            <w:r>
              <w:rPr>
                <w:rFonts w:hint="eastAsia" w:ascii="宋体" w:hAnsi="宋体" w:eastAsia="宋体" w:cs="宋体"/>
                <w:color w:val="000000"/>
                <w:kern w:val="0"/>
                <w:sz w:val="18"/>
                <w:szCs w:val="18"/>
              </w:rPr>
              <w:t>是否已制定或具有相应的财务和业务管理制度；②</w:t>
            </w:r>
            <w:r>
              <w:rPr>
                <w:rFonts w:hint="eastAsia" w:ascii="宋体" w:hAnsi="宋体" w:eastAsia="宋体" w:cs="宋体"/>
                <w:color w:val="000000"/>
                <w:kern w:val="0"/>
                <w:sz w:val="18"/>
                <w:szCs w:val="18"/>
                <w:lang w:val="en-US" w:eastAsia="zh-CN"/>
              </w:rPr>
              <w:t>项目单位和实施单位</w:t>
            </w:r>
            <w:r>
              <w:rPr>
                <w:rFonts w:hint="eastAsia" w:ascii="宋体" w:hAnsi="宋体" w:eastAsia="宋体" w:cs="宋体"/>
                <w:color w:val="000000"/>
                <w:kern w:val="0"/>
                <w:sz w:val="18"/>
                <w:szCs w:val="18"/>
              </w:rPr>
              <w:t>财务和业务管理制度是否合法、合规、完整。</w:t>
            </w:r>
          </w:p>
        </w:tc>
        <w:tc>
          <w:tcPr>
            <w:tcW w:w="1463" w:type="dxa"/>
            <w:shd w:val="clear" w:color="auto" w:fill="auto"/>
            <w:noWrap w:val="0"/>
            <w:vAlign w:val="center"/>
          </w:tcPr>
          <w:p>
            <w:pPr>
              <w:widowControl/>
              <w:spacing w:line="0" w:lineRule="atLeas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项目单位和实施单位制度、办法</w:t>
            </w:r>
          </w:p>
        </w:tc>
        <w:tc>
          <w:tcPr>
            <w:tcW w:w="1602" w:type="dxa"/>
            <w:shd w:val="clear" w:color="auto" w:fill="auto"/>
            <w:noWrap w:val="0"/>
            <w:vAlign w:val="center"/>
          </w:tcPr>
          <w:p>
            <w:pPr>
              <w:widowControl/>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具备一个要素得1.5分，否则不得分。</w:t>
            </w:r>
          </w:p>
        </w:tc>
        <w:tc>
          <w:tcPr>
            <w:tcW w:w="1327" w:type="dxa"/>
            <w:shd w:val="clear" w:color="auto" w:fill="auto"/>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不健全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3" w:hRule="atLeast"/>
          <w:jc w:val="center"/>
        </w:trPr>
        <w:tc>
          <w:tcPr>
            <w:tcW w:w="964" w:type="dxa"/>
            <w:vMerge w:val="continue"/>
            <w:shd w:val="clear" w:color="auto" w:fill="auto"/>
            <w:noWrap w:val="0"/>
            <w:vAlign w:val="center"/>
          </w:tcPr>
          <w:p>
            <w:pPr>
              <w:widowControl/>
              <w:spacing w:line="0" w:lineRule="atLeast"/>
              <w:jc w:val="center"/>
              <w:rPr>
                <w:rFonts w:ascii="宋体" w:hAnsi="宋体" w:eastAsia="宋体" w:cs="宋体"/>
                <w:color w:val="000000"/>
                <w:kern w:val="0"/>
                <w:sz w:val="18"/>
                <w:szCs w:val="18"/>
              </w:rPr>
            </w:pPr>
          </w:p>
        </w:tc>
        <w:tc>
          <w:tcPr>
            <w:tcW w:w="958" w:type="dxa"/>
            <w:vMerge w:val="continue"/>
            <w:shd w:val="clear" w:color="auto" w:fill="auto"/>
            <w:noWrap w:val="0"/>
            <w:vAlign w:val="center"/>
          </w:tcPr>
          <w:p>
            <w:pPr>
              <w:widowControl/>
              <w:spacing w:line="0" w:lineRule="atLeast"/>
              <w:jc w:val="center"/>
              <w:rPr>
                <w:rFonts w:ascii="宋体" w:hAnsi="宋体" w:eastAsia="宋体" w:cs="宋体"/>
                <w:color w:val="000000"/>
                <w:kern w:val="0"/>
                <w:sz w:val="18"/>
                <w:szCs w:val="18"/>
              </w:rPr>
            </w:pPr>
          </w:p>
        </w:tc>
        <w:tc>
          <w:tcPr>
            <w:tcW w:w="1918" w:type="dxa"/>
            <w:shd w:val="clear" w:color="auto" w:fill="auto"/>
            <w:noWrap w:val="0"/>
            <w:vAlign w:val="center"/>
          </w:tcPr>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制度执行</w:t>
            </w:r>
          </w:p>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有效性</w:t>
            </w:r>
          </w:p>
          <w:p>
            <w:pPr>
              <w:widowControl/>
              <w:spacing w:line="0" w:lineRule="atLeas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lang w:eastAsia="zh-CN"/>
              </w:rPr>
              <w:t>）</w:t>
            </w:r>
          </w:p>
        </w:tc>
        <w:tc>
          <w:tcPr>
            <w:tcW w:w="4396" w:type="dxa"/>
            <w:shd w:val="clear" w:color="auto" w:fill="auto"/>
            <w:noWrap w:val="0"/>
            <w:vAlign w:val="center"/>
          </w:tcPr>
          <w:p>
            <w:pPr>
              <w:widowControl/>
              <w:spacing w:line="0" w:lineRule="atLeas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评价要点：①</w:t>
            </w:r>
            <w:r>
              <w:rPr>
                <w:rFonts w:hint="eastAsia" w:ascii="宋体" w:hAnsi="宋体" w:eastAsia="宋体" w:cs="宋体"/>
                <w:color w:val="000000"/>
                <w:kern w:val="0"/>
                <w:sz w:val="18"/>
                <w:szCs w:val="18"/>
                <w:lang w:val="en-US" w:eastAsia="zh-CN"/>
              </w:rPr>
              <w:t>项目单位监管工作是否有效</w:t>
            </w:r>
            <w:r>
              <w:rPr>
                <w:rFonts w:hint="eastAsia" w:ascii="宋体" w:hAnsi="宋体" w:eastAsia="宋体" w:cs="宋体"/>
                <w:color w:val="000000"/>
                <w:kern w:val="0"/>
                <w:sz w:val="18"/>
                <w:szCs w:val="18"/>
              </w:rPr>
              <w:t>；②</w:t>
            </w:r>
            <w:r>
              <w:rPr>
                <w:rFonts w:hint="eastAsia" w:ascii="宋体" w:hAnsi="宋体" w:eastAsia="宋体" w:cs="宋体"/>
                <w:color w:val="000000"/>
                <w:kern w:val="0"/>
                <w:sz w:val="18"/>
                <w:szCs w:val="18"/>
                <w:lang w:val="en-US" w:eastAsia="zh-CN"/>
              </w:rPr>
              <w:t>实施单位各项制度执行是否有效，能否保障项目顺利进行</w:t>
            </w:r>
            <w:r>
              <w:rPr>
                <w:rFonts w:hint="eastAsia" w:ascii="宋体" w:hAnsi="宋体" w:eastAsia="宋体" w:cs="宋体"/>
                <w:color w:val="000000"/>
                <w:kern w:val="0"/>
                <w:sz w:val="18"/>
                <w:szCs w:val="18"/>
              </w:rPr>
              <w:t>。</w:t>
            </w:r>
          </w:p>
        </w:tc>
        <w:tc>
          <w:tcPr>
            <w:tcW w:w="1463" w:type="dxa"/>
            <w:shd w:val="clear" w:color="auto" w:fill="auto"/>
            <w:noWrap w:val="0"/>
            <w:vAlign w:val="center"/>
          </w:tcPr>
          <w:p>
            <w:pPr>
              <w:widowControl/>
              <w:spacing w:line="0" w:lineRule="atLeas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相关管理资料、实地考察、访谈、问卷等</w:t>
            </w:r>
          </w:p>
        </w:tc>
        <w:tc>
          <w:tcPr>
            <w:tcW w:w="1602" w:type="dxa"/>
            <w:shd w:val="clear" w:color="auto" w:fill="auto"/>
            <w:noWrap w:val="0"/>
            <w:vAlign w:val="center"/>
          </w:tcPr>
          <w:p>
            <w:pPr>
              <w:widowControl/>
              <w:spacing w:line="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具备一个要素得1.5分，否则不得分。</w:t>
            </w:r>
          </w:p>
        </w:tc>
        <w:tc>
          <w:tcPr>
            <w:tcW w:w="1327" w:type="dxa"/>
            <w:shd w:val="clear" w:color="auto" w:fill="auto"/>
            <w:noWrap w:val="0"/>
            <w:vAlign w:val="center"/>
          </w:tcPr>
          <w:p>
            <w:pPr>
              <w:widowControl/>
              <w:spacing w:line="0" w:lineRule="atLeas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无效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3" w:hRule="atLeast"/>
          <w:jc w:val="center"/>
        </w:trPr>
        <w:tc>
          <w:tcPr>
            <w:tcW w:w="964" w:type="dxa"/>
            <w:vMerge w:val="continue"/>
            <w:shd w:val="clear" w:color="auto" w:fill="auto"/>
            <w:noWrap w:val="0"/>
            <w:vAlign w:val="center"/>
          </w:tcPr>
          <w:p>
            <w:pPr>
              <w:widowControl/>
              <w:spacing w:line="0" w:lineRule="atLeast"/>
              <w:jc w:val="center"/>
              <w:rPr>
                <w:rFonts w:ascii="宋体" w:hAnsi="宋体" w:eastAsia="宋体" w:cs="宋体"/>
                <w:color w:val="000000"/>
                <w:kern w:val="0"/>
                <w:sz w:val="18"/>
                <w:szCs w:val="18"/>
              </w:rPr>
            </w:pPr>
          </w:p>
        </w:tc>
        <w:tc>
          <w:tcPr>
            <w:tcW w:w="958" w:type="dxa"/>
            <w:vMerge w:val="restart"/>
            <w:shd w:val="clear" w:color="auto" w:fill="auto"/>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eastAsia="zh-CN"/>
              </w:rPr>
              <w:t>实施管理</w:t>
            </w:r>
            <w:r>
              <w:rPr>
                <w:rFonts w:hint="eastAsia" w:ascii="宋体" w:hAnsi="宋体" w:eastAsia="宋体" w:cs="宋体"/>
                <w:color w:val="000000"/>
                <w:kern w:val="0"/>
                <w:sz w:val="18"/>
                <w:szCs w:val="18"/>
                <w:lang w:val="en-US" w:eastAsia="zh-CN"/>
              </w:rPr>
              <w:t>(10)</w:t>
            </w:r>
          </w:p>
        </w:tc>
        <w:tc>
          <w:tcPr>
            <w:tcW w:w="1918" w:type="dxa"/>
            <w:shd w:val="clear" w:color="auto" w:fill="auto"/>
            <w:noWrap w:val="0"/>
            <w:vAlign w:val="center"/>
          </w:tcPr>
          <w:p>
            <w:pPr>
              <w:widowControl/>
              <w:spacing w:line="0" w:lineRule="atLeast"/>
              <w:jc w:val="center"/>
              <w:rPr>
                <w:rFonts w:hint="eastAsia" w:ascii="宋体" w:hAnsi="宋体" w:eastAsia="宋体" w:cs="宋体"/>
                <w:color w:val="000000"/>
                <w:kern w:val="0"/>
                <w:sz w:val="18"/>
                <w:szCs w:val="18"/>
                <w:lang w:eastAsia="zh-CN"/>
              </w:rPr>
            </w:pPr>
            <w:r>
              <w:rPr>
                <w:rFonts w:hint="eastAsia" w:ascii="宋体" w:hAnsi="宋体" w:eastAsia="宋体" w:cs="宋体"/>
                <w:i w:val="0"/>
                <w:iCs w:val="0"/>
                <w:color w:val="000000"/>
                <w:kern w:val="0"/>
                <w:sz w:val="18"/>
                <w:szCs w:val="18"/>
                <w:u w:val="none"/>
                <w:lang w:val="en-US" w:eastAsia="zh-CN" w:bidi="ar"/>
              </w:rPr>
              <w:t>政府采购规范性（5）</w:t>
            </w:r>
          </w:p>
        </w:tc>
        <w:tc>
          <w:tcPr>
            <w:tcW w:w="4396" w:type="dxa"/>
            <w:shd w:val="clear" w:color="auto" w:fill="auto"/>
            <w:noWrap w:val="0"/>
            <w:vAlign w:val="center"/>
          </w:tcPr>
          <w:p>
            <w:pPr>
              <w:widowControl/>
              <w:spacing w:line="0" w:lineRule="atLeas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评价要点：</w:t>
            </w:r>
            <w:r>
              <w:rPr>
                <w:rFonts w:hint="eastAsia" w:ascii="宋体" w:hAnsi="宋体" w:eastAsia="宋体" w:cs="宋体"/>
                <w:color w:val="000000"/>
                <w:kern w:val="0"/>
                <w:sz w:val="18"/>
                <w:szCs w:val="18"/>
              </w:rPr>
              <w:t>1.项目是否按照政府采购规定程序进行申报；</w:t>
            </w:r>
          </w:p>
          <w:p>
            <w:pPr>
              <w:widowControl/>
              <w:spacing w:line="0" w:lineRule="atLeas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2.政府采购的主体范围是否明确；</w:t>
            </w:r>
          </w:p>
          <w:p>
            <w:pPr>
              <w:widowControl/>
              <w:spacing w:line="0" w:lineRule="atLeas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3.政府采购资金来源和规模是否明确；</w:t>
            </w:r>
          </w:p>
          <w:p>
            <w:pPr>
              <w:widowControl/>
              <w:spacing w:line="0" w:lineRule="atLeas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4.政府采购标的范围是否明确；5.政府采购契约形式是否明确；6.是否符合政府采购时限要求；7.政府采购事项是否依法进行了备案或者审批；</w:t>
            </w:r>
          </w:p>
          <w:p>
            <w:pPr>
              <w:widowControl/>
              <w:spacing w:line="0" w:lineRule="atLeas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8.是否按照政府采购法律法规规定发布政府采购项目信息；</w:t>
            </w:r>
          </w:p>
          <w:p>
            <w:pPr>
              <w:widowControl/>
              <w:spacing w:line="0" w:lineRule="atLeas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9.政府采购项目信息是否按规定及时发布；</w:t>
            </w:r>
          </w:p>
          <w:p>
            <w:pPr>
              <w:widowControl/>
              <w:spacing w:line="0" w:lineRule="atLeas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10.是否按照采购相关法律法规流程执行。</w:t>
            </w:r>
          </w:p>
        </w:tc>
        <w:tc>
          <w:tcPr>
            <w:tcW w:w="1463" w:type="dxa"/>
            <w:shd w:val="clear" w:color="auto" w:fill="auto"/>
            <w:noWrap w:val="0"/>
            <w:vAlign w:val="center"/>
          </w:tcPr>
          <w:p>
            <w:pPr>
              <w:widowControl/>
              <w:spacing w:line="0" w:lineRule="atLeas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相关招投标资料、访谈等</w:t>
            </w:r>
          </w:p>
        </w:tc>
        <w:tc>
          <w:tcPr>
            <w:tcW w:w="1602" w:type="dxa"/>
            <w:shd w:val="clear" w:color="auto" w:fill="auto"/>
            <w:noWrap w:val="0"/>
            <w:vAlign w:val="center"/>
          </w:tcPr>
          <w:p>
            <w:pPr>
              <w:widowControl/>
              <w:spacing w:line="0" w:lineRule="atLeas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具备一个要素得0.5分，否则不得分。</w:t>
            </w:r>
          </w:p>
        </w:tc>
        <w:tc>
          <w:tcPr>
            <w:tcW w:w="1327" w:type="dxa"/>
            <w:shd w:val="clear" w:color="auto" w:fill="auto"/>
            <w:noWrap w:val="0"/>
            <w:vAlign w:val="center"/>
          </w:tcPr>
          <w:p>
            <w:pPr>
              <w:widowControl/>
              <w:spacing w:line="0" w:lineRule="atLeas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规范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3" w:hRule="atLeast"/>
          <w:jc w:val="center"/>
        </w:trPr>
        <w:tc>
          <w:tcPr>
            <w:tcW w:w="964" w:type="dxa"/>
            <w:vMerge w:val="continue"/>
            <w:shd w:val="clear" w:color="auto" w:fill="auto"/>
            <w:noWrap w:val="0"/>
            <w:vAlign w:val="center"/>
          </w:tcPr>
          <w:p>
            <w:pPr>
              <w:widowControl/>
              <w:spacing w:line="0" w:lineRule="atLeast"/>
              <w:jc w:val="center"/>
              <w:rPr>
                <w:rFonts w:ascii="宋体" w:hAnsi="宋体" w:eastAsia="宋体" w:cs="宋体"/>
                <w:color w:val="000000"/>
                <w:kern w:val="0"/>
                <w:sz w:val="18"/>
                <w:szCs w:val="18"/>
              </w:rPr>
            </w:pPr>
          </w:p>
        </w:tc>
        <w:tc>
          <w:tcPr>
            <w:tcW w:w="958" w:type="dxa"/>
            <w:vMerge w:val="continue"/>
            <w:shd w:val="clear" w:color="auto" w:fill="auto"/>
            <w:noWrap w:val="0"/>
            <w:vAlign w:val="center"/>
          </w:tcPr>
          <w:p>
            <w:pPr>
              <w:widowControl/>
              <w:spacing w:line="0" w:lineRule="atLeast"/>
              <w:jc w:val="center"/>
              <w:rPr>
                <w:rFonts w:ascii="宋体" w:hAnsi="宋体" w:eastAsia="宋体" w:cs="宋体"/>
                <w:color w:val="000000"/>
                <w:kern w:val="0"/>
                <w:sz w:val="18"/>
                <w:szCs w:val="18"/>
              </w:rPr>
            </w:pPr>
          </w:p>
        </w:tc>
        <w:tc>
          <w:tcPr>
            <w:tcW w:w="1918" w:type="dxa"/>
            <w:shd w:val="clear" w:color="auto" w:fill="auto"/>
            <w:noWrap w:val="0"/>
            <w:vAlign w:val="center"/>
          </w:tcPr>
          <w:p>
            <w:pPr>
              <w:widowControl/>
              <w:spacing w:line="0" w:lineRule="atLeast"/>
              <w:jc w:val="center"/>
              <w:rPr>
                <w:rFonts w:hint="eastAsia" w:ascii="宋体" w:hAnsi="宋体" w:eastAsia="宋体" w:cs="宋体"/>
                <w:color w:val="000000"/>
                <w:kern w:val="0"/>
                <w:sz w:val="18"/>
                <w:szCs w:val="18"/>
                <w:lang w:eastAsia="zh-CN"/>
              </w:rPr>
            </w:pPr>
            <w:r>
              <w:rPr>
                <w:rFonts w:hint="eastAsia" w:ascii="宋体" w:hAnsi="宋体" w:eastAsia="宋体" w:cs="宋体"/>
                <w:i w:val="0"/>
                <w:iCs w:val="0"/>
                <w:color w:val="000000"/>
                <w:kern w:val="0"/>
                <w:sz w:val="18"/>
                <w:szCs w:val="18"/>
                <w:u w:val="none"/>
                <w:lang w:val="en-US" w:eastAsia="zh-CN" w:bidi="ar"/>
              </w:rPr>
              <w:t>合同管理完备性（3）</w:t>
            </w:r>
          </w:p>
        </w:tc>
        <w:tc>
          <w:tcPr>
            <w:tcW w:w="4396" w:type="dxa"/>
            <w:shd w:val="clear" w:color="auto" w:fill="auto"/>
            <w:noWrap w:val="0"/>
            <w:vAlign w:val="center"/>
          </w:tcPr>
          <w:p>
            <w:pPr>
              <w:widowControl/>
              <w:spacing w:line="0" w:lineRule="atLeas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评价要点：1.是否按规定签署相关合同、协议；</w:t>
            </w:r>
            <w:r>
              <w:rPr>
                <w:rFonts w:hint="eastAsia" w:ascii="宋体" w:hAnsi="宋体" w:eastAsia="宋体" w:cs="宋体"/>
                <w:color w:val="000000"/>
                <w:kern w:val="0"/>
                <w:sz w:val="18"/>
                <w:szCs w:val="18"/>
                <w:lang w:val="en-US" w:eastAsia="zh-CN"/>
              </w:rPr>
              <w:br w:type="textWrapping"/>
            </w:r>
            <w:r>
              <w:rPr>
                <w:rFonts w:hint="eastAsia" w:ascii="宋体" w:hAnsi="宋体" w:eastAsia="宋体" w:cs="宋体"/>
                <w:color w:val="000000"/>
                <w:kern w:val="0"/>
                <w:sz w:val="18"/>
                <w:szCs w:val="18"/>
                <w:lang w:val="en-US" w:eastAsia="zh-CN"/>
              </w:rPr>
              <w:t>2.合同标的物及价格、履约期限是否明确、清晰、完整；</w:t>
            </w:r>
            <w:r>
              <w:rPr>
                <w:rFonts w:hint="eastAsia" w:ascii="宋体" w:hAnsi="宋体" w:eastAsia="宋体" w:cs="宋体"/>
                <w:color w:val="000000"/>
                <w:kern w:val="0"/>
                <w:sz w:val="18"/>
                <w:szCs w:val="18"/>
                <w:lang w:val="en-US" w:eastAsia="zh-CN"/>
              </w:rPr>
              <w:br w:type="textWrapping"/>
            </w:r>
            <w:r>
              <w:rPr>
                <w:rFonts w:hint="eastAsia" w:ascii="宋体" w:hAnsi="宋体" w:eastAsia="宋体" w:cs="宋体"/>
                <w:color w:val="000000"/>
                <w:kern w:val="0"/>
                <w:sz w:val="18"/>
                <w:szCs w:val="18"/>
                <w:lang w:val="en-US" w:eastAsia="zh-CN"/>
              </w:rPr>
              <w:t>3.合同中是否有明确、清晰、完整的质量标准或验收标准；</w:t>
            </w:r>
            <w:r>
              <w:rPr>
                <w:rFonts w:hint="eastAsia" w:ascii="宋体" w:hAnsi="宋体" w:eastAsia="宋体" w:cs="宋体"/>
                <w:color w:val="000000"/>
                <w:kern w:val="0"/>
                <w:sz w:val="18"/>
                <w:szCs w:val="18"/>
                <w:lang w:val="en-US" w:eastAsia="zh-CN"/>
              </w:rPr>
              <w:br w:type="textWrapping"/>
            </w:r>
            <w:r>
              <w:rPr>
                <w:rFonts w:hint="eastAsia" w:ascii="宋体" w:hAnsi="宋体" w:eastAsia="宋体" w:cs="宋体"/>
                <w:color w:val="000000"/>
                <w:kern w:val="0"/>
                <w:sz w:val="18"/>
                <w:szCs w:val="18"/>
                <w:lang w:val="en-US" w:eastAsia="zh-CN"/>
              </w:rPr>
              <w:t>4.合同支付方式和支付时间是否明确、清晰、完整；</w:t>
            </w:r>
            <w:r>
              <w:rPr>
                <w:rFonts w:hint="eastAsia" w:ascii="宋体" w:hAnsi="宋体" w:eastAsia="宋体" w:cs="宋体"/>
                <w:color w:val="000000"/>
                <w:kern w:val="0"/>
                <w:sz w:val="18"/>
                <w:szCs w:val="18"/>
                <w:lang w:val="en-US" w:eastAsia="zh-CN"/>
              </w:rPr>
              <w:br w:type="textWrapping"/>
            </w:r>
            <w:r>
              <w:rPr>
                <w:rFonts w:hint="eastAsia" w:ascii="宋体" w:hAnsi="宋体" w:eastAsia="宋体" w:cs="宋体"/>
                <w:color w:val="000000"/>
                <w:kern w:val="0"/>
                <w:sz w:val="18"/>
                <w:szCs w:val="18"/>
                <w:lang w:val="en-US" w:eastAsia="zh-CN"/>
              </w:rPr>
              <w:t>5.合同双方责任界定是否明确、清晰、完整；</w:t>
            </w:r>
          </w:p>
        </w:tc>
        <w:tc>
          <w:tcPr>
            <w:tcW w:w="1463" w:type="dxa"/>
            <w:shd w:val="clear" w:color="auto" w:fill="auto"/>
            <w:noWrap w:val="0"/>
            <w:vAlign w:val="center"/>
          </w:tcPr>
          <w:p>
            <w:pPr>
              <w:widowControl/>
              <w:spacing w:line="0" w:lineRule="atLeas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相关合同资料</w:t>
            </w:r>
          </w:p>
        </w:tc>
        <w:tc>
          <w:tcPr>
            <w:tcW w:w="1602" w:type="dxa"/>
            <w:shd w:val="clear" w:color="auto" w:fill="auto"/>
            <w:noWrap w:val="0"/>
            <w:vAlign w:val="center"/>
          </w:tcPr>
          <w:p>
            <w:pPr>
              <w:widowControl/>
              <w:spacing w:line="0" w:lineRule="atLeast"/>
              <w:rPr>
                <w:rFonts w:hint="eastAsia" w:ascii="宋体" w:hAnsi="宋体" w:eastAsia="宋体" w:cs="宋体"/>
                <w:color w:val="000000"/>
                <w:kern w:val="0"/>
                <w:sz w:val="18"/>
                <w:szCs w:val="18"/>
                <w:lang w:val="en-US" w:eastAsia="zh-CN"/>
              </w:rPr>
            </w:pPr>
          </w:p>
        </w:tc>
        <w:tc>
          <w:tcPr>
            <w:tcW w:w="1327" w:type="dxa"/>
            <w:shd w:val="clear" w:color="auto" w:fill="auto"/>
            <w:noWrap w:val="0"/>
            <w:vAlign w:val="center"/>
          </w:tcPr>
          <w:p>
            <w:pPr>
              <w:widowControl/>
              <w:spacing w:line="0" w:lineRule="atLeas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完备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3" w:hRule="atLeast"/>
          <w:jc w:val="center"/>
        </w:trPr>
        <w:tc>
          <w:tcPr>
            <w:tcW w:w="964" w:type="dxa"/>
            <w:vMerge w:val="continue"/>
            <w:shd w:val="clear" w:color="auto" w:fill="auto"/>
            <w:noWrap w:val="0"/>
            <w:vAlign w:val="center"/>
          </w:tcPr>
          <w:p>
            <w:pPr>
              <w:widowControl/>
              <w:spacing w:line="0" w:lineRule="atLeast"/>
              <w:jc w:val="center"/>
              <w:rPr>
                <w:rFonts w:ascii="宋体" w:hAnsi="宋体" w:eastAsia="宋体" w:cs="宋体"/>
                <w:color w:val="000000"/>
                <w:kern w:val="0"/>
                <w:sz w:val="18"/>
                <w:szCs w:val="18"/>
              </w:rPr>
            </w:pPr>
          </w:p>
        </w:tc>
        <w:tc>
          <w:tcPr>
            <w:tcW w:w="958" w:type="dxa"/>
            <w:vMerge w:val="continue"/>
            <w:shd w:val="clear" w:color="auto" w:fill="auto"/>
            <w:noWrap w:val="0"/>
            <w:vAlign w:val="center"/>
          </w:tcPr>
          <w:p>
            <w:pPr>
              <w:widowControl/>
              <w:spacing w:line="0" w:lineRule="atLeast"/>
              <w:jc w:val="center"/>
              <w:rPr>
                <w:rFonts w:ascii="宋体" w:hAnsi="宋体" w:eastAsia="宋体" w:cs="宋体"/>
                <w:color w:val="000000"/>
                <w:kern w:val="0"/>
                <w:sz w:val="18"/>
                <w:szCs w:val="18"/>
              </w:rPr>
            </w:pPr>
          </w:p>
        </w:tc>
        <w:tc>
          <w:tcPr>
            <w:tcW w:w="1918" w:type="dxa"/>
            <w:shd w:val="clear" w:color="auto" w:fill="auto"/>
            <w:noWrap w:val="0"/>
            <w:vAlign w:val="center"/>
          </w:tcPr>
          <w:p>
            <w:pPr>
              <w:widowControl/>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项目验收规范性（2）</w:t>
            </w:r>
          </w:p>
        </w:tc>
        <w:tc>
          <w:tcPr>
            <w:tcW w:w="4396" w:type="dxa"/>
            <w:shd w:val="clear" w:color="auto" w:fill="auto"/>
            <w:noWrap w:val="0"/>
            <w:vAlign w:val="center"/>
          </w:tcPr>
          <w:p>
            <w:pPr>
              <w:widowControl/>
              <w:spacing w:line="0" w:lineRule="atLeas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评价要点：1.是否按验收流程及标准组织验收工作；</w:t>
            </w:r>
            <w:r>
              <w:rPr>
                <w:rFonts w:hint="eastAsia" w:ascii="宋体" w:hAnsi="宋体" w:eastAsia="宋体" w:cs="宋体"/>
                <w:color w:val="000000"/>
                <w:kern w:val="0"/>
                <w:sz w:val="18"/>
                <w:szCs w:val="18"/>
                <w:lang w:val="en-US" w:eastAsia="zh-CN"/>
              </w:rPr>
              <w:br w:type="textWrapping"/>
            </w:r>
            <w:r>
              <w:rPr>
                <w:rFonts w:hint="eastAsia" w:ascii="宋体" w:hAnsi="宋体" w:eastAsia="宋体" w:cs="宋体"/>
                <w:color w:val="000000"/>
                <w:kern w:val="0"/>
                <w:sz w:val="18"/>
                <w:szCs w:val="18"/>
                <w:lang w:val="en-US" w:eastAsia="zh-CN"/>
              </w:rPr>
              <w:t>2.相关验收文件及其内容是否齐全、有效。</w:t>
            </w:r>
          </w:p>
        </w:tc>
        <w:tc>
          <w:tcPr>
            <w:tcW w:w="1463" w:type="dxa"/>
            <w:shd w:val="clear" w:color="auto" w:fill="auto"/>
            <w:noWrap w:val="0"/>
            <w:vAlign w:val="center"/>
          </w:tcPr>
          <w:p>
            <w:pPr>
              <w:widowControl/>
              <w:spacing w:line="0" w:lineRule="atLeas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相关验收资料、座谈等</w:t>
            </w:r>
          </w:p>
        </w:tc>
        <w:tc>
          <w:tcPr>
            <w:tcW w:w="1602" w:type="dxa"/>
            <w:shd w:val="clear" w:color="auto" w:fill="auto"/>
            <w:noWrap w:val="0"/>
            <w:vAlign w:val="center"/>
          </w:tcPr>
          <w:p>
            <w:pPr>
              <w:widowControl/>
              <w:spacing w:line="0" w:lineRule="atLeas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具备一个要素得1分，否则不得分。</w:t>
            </w:r>
          </w:p>
        </w:tc>
        <w:tc>
          <w:tcPr>
            <w:tcW w:w="1327" w:type="dxa"/>
            <w:shd w:val="clear" w:color="auto" w:fill="auto"/>
            <w:noWrap w:val="0"/>
            <w:vAlign w:val="center"/>
          </w:tcPr>
          <w:p>
            <w:pPr>
              <w:widowControl/>
              <w:spacing w:line="0" w:lineRule="atLeas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规范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7" w:hRule="atLeast"/>
          <w:jc w:val="center"/>
        </w:trPr>
        <w:tc>
          <w:tcPr>
            <w:tcW w:w="964" w:type="dxa"/>
            <w:vMerge w:val="restart"/>
            <w:shd w:val="clear" w:color="auto" w:fill="auto"/>
            <w:noWrap w:val="0"/>
            <w:vAlign w:val="center"/>
          </w:tcPr>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产出</w:t>
            </w:r>
          </w:p>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35）</w:t>
            </w:r>
          </w:p>
        </w:tc>
        <w:tc>
          <w:tcPr>
            <w:tcW w:w="958" w:type="dxa"/>
            <w:vMerge w:val="restart"/>
            <w:shd w:val="clear" w:color="auto" w:fill="auto"/>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项目产出（35）</w:t>
            </w:r>
          </w:p>
        </w:tc>
        <w:tc>
          <w:tcPr>
            <w:tcW w:w="1918" w:type="dxa"/>
            <w:shd w:val="clear" w:color="auto" w:fill="auto"/>
            <w:noWrap w:val="0"/>
            <w:vAlign w:val="center"/>
          </w:tcPr>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产出数量</w:t>
            </w:r>
          </w:p>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5）</w:t>
            </w:r>
          </w:p>
        </w:tc>
        <w:tc>
          <w:tcPr>
            <w:tcW w:w="4396" w:type="dxa"/>
            <w:shd w:val="clear" w:color="auto" w:fill="auto"/>
            <w:noWrap w:val="0"/>
            <w:vAlign w:val="center"/>
          </w:tcPr>
          <w:p>
            <w:pPr>
              <w:widowControl/>
              <w:spacing w:line="0" w:lineRule="atLeas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评价要点：1.解决属地调整教师工资发放人数≥100人。</w:t>
            </w:r>
          </w:p>
          <w:p>
            <w:pPr>
              <w:widowControl/>
              <w:spacing w:line="0" w:lineRule="atLeas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2.购置教学设施设备总数≥50台。</w:t>
            </w:r>
          </w:p>
        </w:tc>
        <w:tc>
          <w:tcPr>
            <w:tcW w:w="1463" w:type="dxa"/>
            <w:shd w:val="clear" w:color="auto" w:fill="auto"/>
            <w:noWrap w:val="0"/>
            <w:vAlign w:val="center"/>
          </w:tcPr>
          <w:p>
            <w:pPr>
              <w:widowControl/>
              <w:spacing w:line="0" w:lineRule="atLeas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实际工资发放银行明细及设备验收资料</w:t>
            </w:r>
          </w:p>
        </w:tc>
        <w:tc>
          <w:tcPr>
            <w:tcW w:w="1602" w:type="dxa"/>
            <w:shd w:val="clear" w:color="auto" w:fill="auto"/>
            <w:noWrap w:val="0"/>
            <w:vAlign w:val="center"/>
          </w:tcPr>
          <w:p>
            <w:pPr>
              <w:widowControl/>
              <w:spacing w:line="0" w:lineRule="atLeas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具备一个要素得2.5分，否则不得分。</w:t>
            </w:r>
          </w:p>
        </w:tc>
        <w:tc>
          <w:tcPr>
            <w:tcW w:w="1327" w:type="dxa"/>
            <w:shd w:val="clear" w:color="auto" w:fill="auto"/>
            <w:noWrap w:val="0"/>
            <w:vAlign w:val="center"/>
          </w:tcPr>
          <w:p>
            <w:pPr>
              <w:pStyle w:val="5"/>
              <w:jc w:val="center"/>
              <w:rPr>
                <w:rFonts w:hint="default"/>
                <w:lang w:val="en-US" w:eastAsia="zh-CN"/>
              </w:rPr>
            </w:pPr>
            <w:r>
              <w:rPr>
                <w:rFonts w:hint="default" w:ascii="宋体" w:hAnsi="宋体" w:eastAsia="宋体" w:cs="宋体"/>
                <w:color w:val="000000"/>
                <w:kern w:val="0"/>
                <w:sz w:val="18"/>
                <w:szCs w:val="18"/>
                <w:lang w:val="en-US" w:eastAsia="zh-CN"/>
              </w:rPr>
              <w:t>≥100人</w:t>
            </w:r>
            <w:r>
              <w:rPr>
                <w:rFonts w:hint="eastAsia" w:ascii="宋体" w:hAnsi="宋体" w:eastAsia="宋体" w:cs="宋体"/>
                <w:color w:val="000000"/>
                <w:kern w:val="0"/>
                <w:sz w:val="18"/>
                <w:szCs w:val="18"/>
                <w:lang w:val="en-US" w:eastAsia="zh-CN"/>
              </w:rPr>
              <w:t>；≥50台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52" w:hRule="atLeast"/>
          <w:jc w:val="center"/>
        </w:trPr>
        <w:tc>
          <w:tcPr>
            <w:tcW w:w="964" w:type="dxa"/>
            <w:vMerge w:val="continue"/>
            <w:shd w:val="clear" w:color="auto" w:fill="auto"/>
            <w:noWrap w:val="0"/>
            <w:vAlign w:val="center"/>
          </w:tcPr>
          <w:p>
            <w:pPr>
              <w:widowControl/>
              <w:spacing w:line="0" w:lineRule="atLeast"/>
              <w:rPr>
                <w:rFonts w:hint="eastAsia" w:ascii="宋体" w:hAnsi="宋体" w:eastAsia="宋体" w:cs="宋体"/>
                <w:color w:val="000000"/>
                <w:kern w:val="0"/>
                <w:sz w:val="18"/>
                <w:szCs w:val="18"/>
              </w:rPr>
            </w:pPr>
          </w:p>
        </w:tc>
        <w:tc>
          <w:tcPr>
            <w:tcW w:w="958" w:type="dxa"/>
            <w:vMerge w:val="continue"/>
            <w:shd w:val="clear" w:color="auto" w:fill="auto"/>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p>
        </w:tc>
        <w:tc>
          <w:tcPr>
            <w:tcW w:w="1918" w:type="dxa"/>
            <w:shd w:val="clear" w:color="auto" w:fill="auto"/>
            <w:noWrap w:val="0"/>
            <w:vAlign w:val="center"/>
          </w:tcPr>
          <w:p>
            <w:pPr>
              <w:widowControl/>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产出质量</w:t>
            </w:r>
          </w:p>
          <w:p>
            <w:pPr>
              <w:widowControl/>
              <w:spacing w:line="0" w:lineRule="atLeas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12.5)</w:t>
            </w:r>
          </w:p>
        </w:tc>
        <w:tc>
          <w:tcPr>
            <w:tcW w:w="4396" w:type="dxa"/>
            <w:shd w:val="clear" w:color="auto" w:fill="auto"/>
            <w:noWrap w:val="0"/>
            <w:vAlign w:val="center"/>
          </w:tcPr>
          <w:p>
            <w:pPr>
              <w:widowControl/>
              <w:spacing w:line="0" w:lineRule="atLeas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评价要点：1.采购产品合格率=产品的合格数/项目实施过程中所采用的材料。</w:t>
            </w:r>
          </w:p>
          <w:p>
            <w:pPr>
              <w:widowControl/>
              <w:spacing w:line="0" w:lineRule="atLeas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2.采购项目一次验收通过率。</w:t>
            </w:r>
          </w:p>
          <w:p>
            <w:pPr>
              <w:widowControl/>
              <w:spacing w:line="0" w:lineRule="atLeas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3.采购结果是否真正满足采购需求和达成采购目标。</w:t>
            </w:r>
          </w:p>
          <w:p>
            <w:pPr>
              <w:widowControl/>
              <w:spacing w:line="0" w:lineRule="atLeas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4.验收合格后12个月内是否出现质量问题。</w:t>
            </w:r>
          </w:p>
          <w:p>
            <w:pPr>
              <w:widowControl/>
              <w:spacing w:line="0" w:lineRule="atLeas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5.工资发放准确率≥100%</w:t>
            </w:r>
          </w:p>
        </w:tc>
        <w:tc>
          <w:tcPr>
            <w:tcW w:w="1463" w:type="dxa"/>
            <w:shd w:val="clear" w:color="auto" w:fill="auto"/>
            <w:noWrap w:val="0"/>
            <w:vAlign w:val="center"/>
          </w:tcPr>
          <w:p>
            <w:pPr>
              <w:widowControl/>
              <w:spacing w:line="0" w:lineRule="atLeas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相关验收资料、座谈、实施单位会计资料等</w:t>
            </w:r>
          </w:p>
        </w:tc>
        <w:tc>
          <w:tcPr>
            <w:tcW w:w="1602" w:type="dxa"/>
            <w:shd w:val="clear" w:color="auto" w:fill="auto"/>
            <w:noWrap w:val="0"/>
            <w:vAlign w:val="center"/>
          </w:tcPr>
          <w:p>
            <w:pPr>
              <w:widowControl/>
              <w:spacing w:line="0" w:lineRule="atLeas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具备一个要素得2.5分，否则不得分。</w:t>
            </w:r>
          </w:p>
        </w:tc>
        <w:tc>
          <w:tcPr>
            <w:tcW w:w="1327" w:type="dxa"/>
            <w:shd w:val="clear" w:color="auto" w:fill="auto"/>
            <w:noWrap w:val="0"/>
            <w:vAlign w:val="center"/>
          </w:tcPr>
          <w:p>
            <w:pPr>
              <w:widowControl/>
              <w:spacing w:line="0" w:lineRule="atLeas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合格率</w:t>
            </w:r>
            <w:r>
              <w:rPr>
                <w:rFonts w:hint="default" w:ascii="宋体" w:hAnsi="宋体" w:eastAsia="宋体" w:cs="宋体"/>
                <w:color w:val="000000"/>
                <w:kern w:val="0"/>
                <w:sz w:val="18"/>
                <w:szCs w:val="18"/>
                <w:lang w:val="en-US" w:eastAsia="zh-CN"/>
              </w:rPr>
              <w:t>100%</w:t>
            </w:r>
            <w:r>
              <w:rPr>
                <w:rFonts w:hint="eastAsia" w:ascii="宋体" w:hAnsi="宋体" w:eastAsia="宋体" w:cs="宋体"/>
                <w:color w:val="000000"/>
                <w:kern w:val="0"/>
                <w:sz w:val="18"/>
                <w:szCs w:val="18"/>
                <w:lang w:val="en-US" w:eastAsia="zh-CN"/>
              </w:rPr>
              <w:t>；通过率</w:t>
            </w:r>
            <w:r>
              <w:rPr>
                <w:rFonts w:hint="default" w:ascii="宋体" w:hAnsi="宋体" w:eastAsia="宋体" w:cs="宋体"/>
                <w:color w:val="000000"/>
                <w:kern w:val="0"/>
                <w:sz w:val="18"/>
                <w:szCs w:val="18"/>
                <w:lang w:val="en-US" w:eastAsia="zh-CN"/>
              </w:rPr>
              <w:t>≥100%</w:t>
            </w:r>
            <w:r>
              <w:rPr>
                <w:rFonts w:hint="eastAsia" w:ascii="宋体" w:hAnsi="宋体" w:eastAsia="宋体" w:cs="宋体"/>
                <w:color w:val="000000"/>
                <w:kern w:val="0"/>
                <w:sz w:val="18"/>
                <w:szCs w:val="18"/>
                <w:lang w:val="en-US" w:eastAsia="zh-CN"/>
              </w:rPr>
              <w:t>；满足需求；无质量问题；准确率＜100%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5" w:hRule="atLeast"/>
          <w:jc w:val="center"/>
        </w:trPr>
        <w:tc>
          <w:tcPr>
            <w:tcW w:w="964" w:type="dxa"/>
            <w:vMerge w:val="continue"/>
            <w:shd w:val="clear" w:color="auto" w:fill="auto"/>
            <w:noWrap w:val="0"/>
            <w:vAlign w:val="center"/>
          </w:tcPr>
          <w:p>
            <w:pPr>
              <w:spacing w:line="0" w:lineRule="atLeast"/>
              <w:jc w:val="center"/>
              <w:rPr>
                <w:rFonts w:ascii="宋体" w:hAnsi="宋体" w:eastAsia="宋体" w:cs="宋体"/>
                <w:color w:val="000000"/>
                <w:kern w:val="0"/>
                <w:sz w:val="18"/>
                <w:szCs w:val="18"/>
              </w:rPr>
            </w:pPr>
          </w:p>
        </w:tc>
        <w:tc>
          <w:tcPr>
            <w:tcW w:w="958" w:type="dxa"/>
            <w:vMerge w:val="continue"/>
            <w:shd w:val="clear" w:color="auto" w:fill="auto"/>
            <w:noWrap w:val="0"/>
            <w:vAlign w:val="center"/>
          </w:tcPr>
          <w:p>
            <w:pPr>
              <w:spacing w:line="0" w:lineRule="atLeast"/>
              <w:jc w:val="center"/>
              <w:rPr>
                <w:rFonts w:hint="default" w:ascii="宋体" w:hAnsi="宋体" w:eastAsia="宋体" w:cs="宋体"/>
                <w:color w:val="000000"/>
                <w:kern w:val="0"/>
                <w:sz w:val="18"/>
                <w:szCs w:val="18"/>
                <w:lang w:val="en-US" w:eastAsia="zh-CN"/>
              </w:rPr>
            </w:pPr>
          </w:p>
        </w:tc>
        <w:tc>
          <w:tcPr>
            <w:tcW w:w="1918" w:type="dxa"/>
            <w:shd w:val="clear" w:color="auto" w:fill="auto"/>
            <w:noWrap w:val="0"/>
            <w:vAlign w:val="center"/>
          </w:tcPr>
          <w:p>
            <w:pPr>
              <w:spacing w:line="0" w:lineRule="atLeast"/>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产出时效</w:t>
            </w:r>
          </w:p>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(12.5)</w:t>
            </w:r>
          </w:p>
        </w:tc>
        <w:tc>
          <w:tcPr>
            <w:tcW w:w="4396" w:type="dxa"/>
            <w:shd w:val="clear" w:color="auto" w:fill="auto"/>
            <w:noWrap w:val="0"/>
            <w:vAlign w:val="center"/>
          </w:tcPr>
          <w:p>
            <w:pPr>
              <w:widowControl/>
              <w:spacing w:line="0" w:lineRule="atLeas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评价要点：1.采购活动是否一次完成</w:t>
            </w:r>
          </w:p>
          <w:p>
            <w:pPr>
              <w:widowControl/>
              <w:spacing w:line="0" w:lineRule="atLeas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2.采购活动出现质疑后是否在规定时间内作出有效答复</w:t>
            </w:r>
          </w:p>
          <w:p>
            <w:pPr>
              <w:widowControl/>
              <w:spacing w:line="0" w:lineRule="atLeas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3.评审结束后是否在规定时间内确定中标（成交）供应商并发出中标（成交）公告和通知书</w:t>
            </w:r>
          </w:p>
          <w:p>
            <w:pPr>
              <w:widowControl/>
              <w:spacing w:line="0" w:lineRule="atLeas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4.在中标(成交）通知书发出后是否在规定时间内签订合同并备案</w:t>
            </w:r>
          </w:p>
          <w:p>
            <w:pPr>
              <w:widowControl/>
              <w:spacing w:line="0" w:lineRule="atLeas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5.工资发放及时性</w:t>
            </w:r>
          </w:p>
        </w:tc>
        <w:tc>
          <w:tcPr>
            <w:tcW w:w="1463" w:type="dxa"/>
            <w:shd w:val="clear" w:color="auto" w:fill="auto"/>
            <w:noWrap w:val="0"/>
            <w:vAlign w:val="center"/>
          </w:tcPr>
          <w:p>
            <w:pPr>
              <w:widowControl/>
              <w:spacing w:line="0" w:lineRule="atLeas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相关招投标资料、座谈、实施单位会计资料等</w:t>
            </w:r>
          </w:p>
        </w:tc>
        <w:tc>
          <w:tcPr>
            <w:tcW w:w="1602" w:type="dxa"/>
            <w:shd w:val="clear" w:color="auto" w:fill="auto"/>
            <w:noWrap w:val="0"/>
            <w:vAlign w:val="center"/>
          </w:tcPr>
          <w:p>
            <w:pPr>
              <w:widowControl/>
              <w:spacing w:line="0" w:lineRule="atLeas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具备一个要素得2.5分，否则不得分。</w:t>
            </w:r>
          </w:p>
        </w:tc>
        <w:tc>
          <w:tcPr>
            <w:tcW w:w="1327" w:type="dxa"/>
            <w:shd w:val="clear" w:color="auto" w:fill="auto"/>
            <w:noWrap w:val="0"/>
            <w:vAlign w:val="center"/>
          </w:tcPr>
          <w:p>
            <w:pPr>
              <w:widowControl/>
              <w:spacing w:line="0" w:lineRule="atLeas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采购一次完成；无质疑事项；规定时间内；发放及时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5" w:hRule="atLeast"/>
          <w:jc w:val="center"/>
        </w:trPr>
        <w:tc>
          <w:tcPr>
            <w:tcW w:w="964" w:type="dxa"/>
            <w:vMerge w:val="continue"/>
            <w:shd w:val="clear" w:color="auto" w:fill="auto"/>
            <w:noWrap w:val="0"/>
            <w:vAlign w:val="center"/>
          </w:tcPr>
          <w:p>
            <w:pPr>
              <w:widowControl/>
              <w:spacing w:line="0" w:lineRule="atLeast"/>
              <w:jc w:val="center"/>
              <w:rPr>
                <w:rFonts w:ascii="宋体" w:hAnsi="宋体" w:eastAsia="宋体" w:cs="宋体"/>
                <w:color w:val="000000"/>
                <w:kern w:val="0"/>
                <w:sz w:val="18"/>
                <w:szCs w:val="18"/>
              </w:rPr>
            </w:pPr>
          </w:p>
        </w:tc>
        <w:tc>
          <w:tcPr>
            <w:tcW w:w="958" w:type="dxa"/>
            <w:vMerge w:val="continue"/>
            <w:shd w:val="clear" w:color="auto" w:fill="auto"/>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p>
        </w:tc>
        <w:tc>
          <w:tcPr>
            <w:tcW w:w="1918" w:type="dxa"/>
            <w:shd w:val="clear" w:color="auto" w:fill="auto"/>
            <w:noWrap w:val="0"/>
            <w:vAlign w:val="center"/>
          </w:tcPr>
          <w:p>
            <w:pPr>
              <w:widowControl/>
              <w:spacing w:line="0" w:lineRule="atLeas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产出成本</w:t>
            </w:r>
          </w:p>
          <w:p>
            <w:pPr>
              <w:widowControl/>
              <w:spacing w:line="0" w:lineRule="atLeas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4396" w:type="dxa"/>
            <w:shd w:val="clear" w:color="auto" w:fill="auto"/>
            <w:noWrap w:val="0"/>
            <w:vAlign w:val="center"/>
          </w:tcPr>
          <w:p>
            <w:pPr>
              <w:widowControl/>
              <w:spacing w:line="0" w:lineRule="atLeast"/>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评价要点：1.采购成本节约率=(预算金额-合同金额)/预算金额≥10%</w:t>
            </w:r>
          </w:p>
          <w:p>
            <w:pPr>
              <w:widowControl/>
              <w:spacing w:line="0" w:lineRule="atLeast"/>
              <w:jc w:val="left"/>
              <w:rPr>
                <w:rStyle w:val="15"/>
                <w:rFonts w:hint="default"/>
                <w:lang w:val="en-US" w:eastAsia="zh-CN" w:bidi="ar"/>
              </w:rPr>
            </w:pPr>
            <w:r>
              <w:rPr>
                <w:rFonts w:hint="eastAsia" w:ascii="宋体" w:hAnsi="宋体" w:eastAsia="宋体" w:cs="宋体"/>
                <w:color w:val="000000"/>
                <w:kern w:val="0"/>
                <w:sz w:val="18"/>
                <w:szCs w:val="18"/>
                <w:lang w:val="en-US" w:eastAsia="zh-CN"/>
              </w:rPr>
              <w:t>2.工资预算超支率=（超预算部分的支出金额/预算金额）*100%</w:t>
            </w:r>
            <w:r>
              <w:rPr>
                <w:rFonts w:hint="eastAsia" w:ascii="微软雅黑" w:hAnsi="微软雅黑" w:eastAsia="微软雅黑" w:cs="微软雅黑"/>
                <w:color w:val="000000"/>
                <w:kern w:val="0"/>
                <w:sz w:val="18"/>
                <w:szCs w:val="18"/>
                <w:lang w:val="en-US" w:eastAsia="zh-CN"/>
              </w:rPr>
              <w:t>≤</w:t>
            </w:r>
            <w:r>
              <w:rPr>
                <w:rFonts w:hint="eastAsia" w:ascii="宋体" w:hAnsi="宋体" w:eastAsia="宋体" w:cs="宋体"/>
                <w:color w:val="000000"/>
                <w:kern w:val="0"/>
                <w:sz w:val="18"/>
                <w:szCs w:val="18"/>
                <w:lang w:val="en-US" w:eastAsia="zh-CN"/>
              </w:rPr>
              <w:t>0</w:t>
            </w:r>
          </w:p>
        </w:tc>
        <w:tc>
          <w:tcPr>
            <w:tcW w:w="1463" w:type="dxa"/>
            <w:shd w:val="clear" w:color="auto" w:fill="auto"/>
            <w:noWrap w:val="0"/>
            <w:vAlign w:val="center"/>
          </w:tcPr>
          <w:p>
            <w:pPr>
              <w:widowControl/>
              <w:spacing w:line="0" w:lineRule="atLeas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相关招投标资料、实施单位会计资料等</w:t>
            </w:r>
          </w:p>
        </w:tc>
        <w:tc>
          <w:tcPr>
            <w:tcW w:w="1602" w:type="dxa"/>
            <w:shd w:val="clear" w:color="auto" w:fill="auto"/>
            <w:noWrap w:val="0"/>
            <w:vAlign w:val="center"/>
          </w:tcPr>
          <w:p>
            <w:pPr>
              <w:widowControl/>
              <w:spacing w:line="0" w:lineRule="atLeas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具备一个要素得2.5分，否则不得分。</w:t>
            </w:r>
          </w:p>
        </w:tc>
        <w:tc>
          <w:tcPr>
            <w:tcW w:w="1327" w:type="dxa"/>
            <w:shd w:val="clear" w:color="auto" w:fill="auto"/>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节约率＜10%；超支率</w:t>
            </w:r>
            <w:r>
              <w:rPr>
                <w:rFonts w:hint="eastAsia" w:ascii="微软雅黑" w:hAnsi="微软雅黑" w:eastAsia="微软雅黑" w:cs="微软雅黑"/>
                <w:color w:val="000000"/>
                <w:kern w:val="0"/>
                <w:sz w:val="18"/>
                <w:szCs w:val="18"/>
                <w:lang w:val="en-US" w:eastAsia="zh-CN"/>
              </w:rPr>
              <w:t>≤</w:t>
            </w:r>
            <w:r>
              <w:rPr>
                <w:rFonts w:hint="eastAsia" w:ascii="宋体" w:hAnsi="宋体" w:eastAsia="宋体" w:cs="宋体"/>
                <w:color w:val="000000"/>
                <w:kern w:val="0"/>
                <w:sz w:val="18"/>
                <w:szCs w:val="18"/>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40" w:hRule="atLeast"/>
          <w:jc w:val="center"/>
        </w:trPr>
        <w:tc>
          <w:tcPr>
            <w:tcW w:w="964" w:type="dxa"/>
            <w:vMerge w:val="restart"/>
            <w:shd w:val="clear" w:color="auto" w:fill="auto"/>
            <w:noWrap w:val="0"/>
            <w:vAlign w:val="center"/>
          </w:tcPr>
          <w:p>
            <w:pPr>
              <w:widowControl/>
              <w:spacing w:line="0" w:lineRule="atLeas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效益</w:t>
            </w:r>
          </w:p>
          <w:p>
            <w:pPr>
              <w:widowControl/>
              <w:spacing w:line="0" w:lineRule="atLeas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（25）</w:t>
            </w:r>
          </w:p>
        </w:tc>
        <w:tc>
          <w:tcPr>
            <w:tcW w:w="958" w:type="dxa"/>
            <w:vMerge w:val="restart"/>
            <w:shd w:val="clear" w:color="auto" w:fill="auto"/>
            <w:noWrap w:val="0"/>
            <w:vAlign w:val="center"/>
          </w:tcPr>
          <w:p>
            <w:pPr>
              <w:widowControl/>
              <w:spacing w:line="0" w:lineRule="atLeas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项目效益（25）</w:t>
            </w:r>
          </w:p>
        </w:tc>
        <w:tc>
          <w:tcPr>
            <w:tcW w:w="1918" w:type="dxa"/>
            <w:shd w:val="clear" w:color="auto" w:fill="auto"/>
            <w:noWrap w:val="0"/>
            <w:vAlign w:val="center"/>
          </w:tcPr>
          <w:p>
            <w:pPr>
              <w:widowControl/>
              <w:spacing w:line="0" w:lineRule="atLeas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社会效益（10）</w:t>
            </w:r>
          </w:p>
        </w:tc>
        <w:tc>
          <w:tcPr>
            <w:tcW w:w="4396" w:type="dxa"/>
            <w:shd w:val="clear" w:color="auto" w:fill="auto"/>
            <w:noWrap w:val="0"/>
            <w:vAlign w:val="center"/>
          </w:tcPr>
          <w:p>
            <w:pPr>
              <w:widowControl/>
              <w:numPr>
                <w:ilvl w:val="0"/>
                <w:numId w:val="0"/>
              </w:numPr>
              <w:spacing w:line="0" w:lineRule="atLeast"/>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评价要点：1.是否保障教育教学工作的开展</w:t>
            </w:r>
          </w:p>
          <w:p>
            <w:pPr>
              <w:pStyle w:val="5"/>
              <w:numPr>
                <w:ilvl w:val="0"/>
                <w:numId w:val="0"/>
              </w:numPr>
              <w:ind w:right="214" w:rightChar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2.是否激发教师工作积极性</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3.是否改善学校办学条件</w:t>
            </w:r>
          </w:p>
          <w:p>
            <w:pPr>
              <w:pStyle w:val="5"/>
              <w:rPr>
                <w:rFonts w:hint="default"/>
                <w:lang w:val="en-US" w:eastAsia="zh-CN"/>
              </w:rPr>
            </w:pPr>
            <w:r>
              <w:rPr>
                <w:rFonts w:hint="eastAsia" w:ascii="宋体" w:hAnsi="宋体" w:eastAsia="宋体" w:cs="宋体"/>
                <w:sz w:val="18"/>
                <w:szCs w:val="18"/>
                <w:lang w:val="en-US" w:eastAsia="zh-CN"/>
              </w:rPr>
              <w:t>4.是否促进教育教学均衡发展</w:t>
            </w:r>
          </w:p>
        </w:tc>
        <w:tc>
          <w:tcPr>
            <w:tcW w:w="1463" w:type="dxa"/>
            <w:shd w:val="clear" w:color="auto" w:fill="auto"/>
            <w:noWrap w:val="0"/>
            <w:vAlign w:val="center"/>
          </w:tcPr>
          <w:p>
            <w:pPr>
              <w:widowControl/>
              <w:spacing w:line="0" w:lineRule="atLeas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问卷调查、座谈了解</w:t>
            </w:r>
          </w:p>
        </w:tc>
        <w:tc>
          <w:tcPr>
            <w:tcW w:w="1602" w:type="dxa"/>
            <w:shd w:val="clear" w:color="auto" w:fill="auto"/>
            <w:noWrap w:val="0"/>
            <w:vAlign w:val="center"/>
          </w:tcPr>
          <w:p>
            <w:pPr>
              <w:widowControl/>
              <w:spacing w:line="0" w:lineRule="atLeas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具备一个要素得2.5分，否则不得分。</w:t>
            </w:r>
          </w:p>
        </w:tc>
        <w:tc>
          <w:tcPr>
            <w:tcW w:w="1327" w:type="dxa"/>
            <w:shd w:val="clear" w:color="auto" w:fill="auto"/>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保障开展；激发积极性；改善天剑；促进发展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40" w:hRule="atLeast"/>
          <w:jc w:val="center"/>
        </w:trPr>
        <w:tc>
          <w:tcPr>
            <w:tcW w:w="964" w:type="dxa"/>
            <w:vMerge w:val="continue"/>
            <w:shd w:val="clear" w:color="auto" w:fill="auto"/>
            <w:noWrap w:val="0"/>
            <w:vAlign w:val="center"/>
          </w:tcPr>
          <w:p>
            <w:pPr>
              <w:widowControl/>
              <w:spacing w:line="0" w:lineRule="atLeast"/>
              <w:jc w:val="center"/>
              <w:rPr>
                <w:rFonts w:hint="eastAsia" w:ascii="宋体" w:hAnsi="宋体" w:eastAsia="宋体" w:cs="宋体"/>
                <w:color w:val="000000"/>
                <w:kern w:val="0"/>
                <w:sz w:val="18"/>
                <w:szCs w:val="18"/>
                <w:lang w:val="en-US" w:eastAsia="zh-CN"/>
              </w:rPr>
            </w:pPr>
          </w:p>
        </w:tc>
        <w:tc>
          <w:tcPr>
            <w:tcW w:w="958" w:type="dxa"/>
            <w:vMerge w:val="continue"/>
            <w:shd w:val="clear" w:color="auto" w:fill="auto"/>
            <w:noWrap w:val="0"/>
            <w:vAlign w:val="center"/>
          </w:tcPr>
          <w:p>
            <w:pPr>
              <w:widowControl/>
              <w:spacing w:line="0" w:lineRule="atLeast"/>
              <w:jc w:val="center"/>
              <w:rPr>
                <w:rFonts w:hint="eastAsia" w:ascii="宋体" w:hAnsi="宋体" w:eastAsia="宋体" w:cs="宋体"/>
                <w:color w:val="000000"/>
                <w:kern w:val="0"/>
                <w:sz w:val="18"/>
                <w:szCs w:val="18"/>
                <w:lang w:val="en-US" w:eastAsia="zh-CN"/>
              </w:rPr>
            </w:pPr>
          </w:p>
        </w:tc>
        <w:tc>
          <w:tcPr>
            <w:tcW w:w="1918" w:type="dxa"/>
            <w:shd w:val="clear" w:color="auto" w:fill="auto"/>
            <w:noWrap w:val="0"/>
            <w:vAlign w:val="center"/>
          </w:tcPr>
          <w:p>
            <w:pPr>
              <w:widowControl/>
              <w:spacing w:line="0" w:lineRule="atLeas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生态效益（2.5）</w:t>
            </w:r>
          </w:p>
        </w:tc>
        <w:tc>
          <w:tcPr>
            <w:tcW w:w="4396" w:type="dxa"/>
            <w:shd w:val="clear" w:color="auto" w:fill="auto"/>
            <w:noWrap w:val="0"/>
            <w:vAlign w:val="center"/>
          </w:tcPr>
          <w:p>
            <w:pPr>
              <w:widowControl/>
              <w:spacing w:line="0" w:lineRule="atLeas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评价要点：采购产品是否属于节能环保产品</w:t>
            </w:r>
          </w:p>
        </w:tc>
        <w:tc>
          <w:tcPr>
            <w:tcW w:w="1463" w:type="dxa"/>
            <w:shd w:val="clear" w:color="auto" w:fill="auto"/>
            <w:noWrap w:val="0"/>
            <w:vAlign w:val="center"/>
          </w:tcPr>
          <w:p>
            <w:pPr>
              <w:widowControl/>
              <w:spacing w:line="0" w:lineRule="atLeas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问卷调查、座谈了解</w:t>
            </w:r>
          </w:p>
        </w:tc>
        <w:tc>
          <w:tcPr>
            <w:tcW w:w="1602" w:type="dxa"/>
            <w:shd w:val="clear" w:color="auto" w:fill="auto"/>
            <w:noWrap w:val="0"/>
            <w:vAlign w:val="center"/>
          </w:tcPr>
          <w:p>
            <w:pPr>
              <w:widowControl/>
              <w:spacing w:line="0" w:lineRule="atLeas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具备一个要素得2.5分，否则不得分。</w:t>
            </w:r>
          </w:p>
        </w:tc>
        <w:tc>
          <w:tcPr>
            <w:tcW w:w="1327" w:type="dxa"/>
            <w:shd w:val="clear" w:color="auto" w:fill="auto"/>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不确定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40" w:hRule="atLeast"/>
          <w:jc w:val="center"/>
        </w:trPr>
        <w:tc>
          <w:tcPr>
            <w:tcW w:w="964" w:type="dxa"/>
            <w:vMerge w:val="continue"/>
            <w:shd w:val="clear" w:color="auto" w:fill="auto"/>
            <w:noWrap w:val="0"/>
            <w:vAlign w:val="center"/>
          </w:tcPr>
          <w:p>
            <w:pPr>
              <w:widowControl/>
              <w:spacing w:line="0" w:lineRule="atLeast"/>
              <w:jc w:val="center"/>
              <w:rPr>
                <w:rFonts w:hint="eastAsia" w:ascii="宋体" w:hAnsi="宋体" w:eastAsia="宋体" w:cs="宋体"/>
                <w:color w:val="000000"/>
                <w:kern w:val="0"/>
                <w:sz w:val="18"/>
                <w:szCs w:val="18"/>
                <w:lang w:val="en-US" w:eastAsia="zh-CN"/>
              </w:rPr>
            </w:pPr>
          </w:p>
        </w:tc>
        <w:tc>
          <w:tcPr>
            <w:tcW w:w="958" w:type="dxa"/>
            <w:vMerge w:val="continue"/>
            <w:shd w:val="clear" w:color="auto" w:fill="auto"/>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p>
        </w:tc>
        <w:tc>
          <w:tcPr>
            <w:tcW w:w="1918" w:type="dxa"/>
            <w:shd w:val="clear" w:color="auto" w:fill="auto"/>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可持续影响（2.5）</w:t>
            </w:r>
          </w:p>
        </w:tc>
        <w:tc>
          <w:tcPr>
            <w:tcW w:w="4396" w:type="dxa"/>
            <w:shd w:val="clear" w:color="auto" w:fill="auto"/>
            <w:noWrap w:val="0"/>
            <w:vAlign w:val="center"/>
          </w:tcPr>
          <w:p>
            <w:pPr>
              <w:widowControl/>
              <w:spacing w:line="0" w:lineRule="atLeas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评价要点：保障教育事业持续发展</w:t>
            </w:r>
          </w:p>
        </w:tc>
        <w:tc>
          <w:tcPr>
            <w:tcW w:w="1463" w:type="dxa"/>
            <w:shd w:val="clear" w:color="auto" w:fill="auto"/>
            <w:noWrap w:val="0"/>
            <w:vAlign w:val="center"/>
          </w:tcPr>
          <w:p>
            <w:pPr>
              <w:widowControl/>
              <w:spacing w:line="0" w:lineRule="atLeas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问卷调查、座谈了解</w:t>
            </w:r>
          </w:p>
        </w:tc>
        <w:tc>
          <w:tcPr>
            <w:tcW w:w="1602" w:type="dxa"/>
            <w:shd w:val="clear" w:color="auto" w:fill="auto"/>
            <w:noWrap w:val="0"/>
            <w:vAlign w:val="center"/>
          </w:tcPr>
          <w:p>
            <w:pPr>
              <w:widowControl/>
              <w:spacing w:line="0" w:lineRule="atLeas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大于等于3年得满分，每少1年扣1分</w:t>
            </w:r>
          </w:p>
        </w:tc>
        <w:tc>
          <w:tcPr>
            <w:tcW w:w="1327" w:type="dxa"/>
            <w:shd w:val="clear" w:color="auto" w:fill="auto"/>
            <w:noWrap w:val="0"/>
            <w:vAlign w:val="center"/>
          </w:tcPr>
          <w:p>
            <w:pPr>
              <w:widowControl/>
              <w:spacing w:line="0" w:lineRule="atLeas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保障持续发展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6" w:hRule="atLeast"/>
          <w:jc w:val="center"/>
        </w:trPr>
        <w:tc>
          <w:tcPr>
            <w:tcW w:w="964" w:type="dxa"/>
            <w:vMerge w:val="continue"/>
            <w:shd w:val="clear" w:color="auto" w:fill="auto"/>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p>
        </w:tc>
        <w:tc>
          <w:tcPr>
            <w:tcW w:w="958" w:type="dxa"/>
            <w:vMerge w:val="continue"/>
            <w:shd w:val="clear" w:color="auto" w:fill="auto"/>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p>
        </w:tc>
        <w:tc>
          <w:tcPr>
            <w:tcW w:w="1918" w:type="dxa"/>
            <w:shd w:val="clear" w:color="auto" w:fill="auto"/>
            <w:noWrap w:val="0"/>
            <w:vAlign w:val="center"/>
          </w:tcPr>
          <w:p>
            <w:pPr>
              <w:widowControl/>
              <w:spacing w:line="0" w:lineRule="atLeas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服务对象满意度指标</w:t>
            </w:r>
          </w:p>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4396" w:type="dxa"/>
            <w:shd w:val="clear" w:color="auto" w:fill="auto"/>
            <w:noWrap w:val="0"/>
            <w:vAlign w:val="center"/>
          </w:tcPr>
          <w:p>
            <w:pPr>
              <w:widowControl/>
              <w:spacing w:line="0" w:lineRule="atLeast"/>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评价要点：1.教师接受经费发放满意度</w:t>
            </w:r>
          </w:p>
          <w:p>
            <w:pPr>
              <w:pStyle w:val="5"/>
              <w:rPr>
                <w:rFonts w:hint="default"/>
                <w:lang w:val="en-US" w:eastAsia="zh-CN"/>
              </w:rPr>
            </w:pPr>
            <w:r>
              <w:rPr>
                <w:rFonts w:hint="eastAsia" w:ascii="宋体" w:hAnsi="宋体" w:eastAsia="宋体" w:cs="宋体"/>
                <w:color w:val="000000"/>
                <w:kern w:val="0"/>
                <w:sz w:val="18"/>
                <w:szCs w:val="18"/>
                <w:lang w:val="en-US" w:eastAsia="zh-CN"/>
              </w:rPr>
              <w:t>2.校园职工使用设备满意度</w:t>
            </w:r>
          </w:p>
        </w:tc>
        <w:tc>
          <w:tcPr>
            <w:tcW w:w="1463" w:type="dxa"/>
            <w:shd w:val="clear" w:color="auto" w:fill="auto"/>
            <w:noWrap w:val="0"/>
            <w:vAlign w:val="center"/>
          </w:tcPr>
          <w:p>
            <w:pPr>
              <w:widowControl/>
              <w:spacing w:line="0" w:lineRule="atLeas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问卷调查、座谈了解</w:t>
            </w:r>
          </w:p>
        </w:tc>
        <w:tc>
          <w:tcPr>
            <w:tcW w:w="1602" w:type="dxa"/>
            <w:shd w:val="clear" w:color="auto" w:fill="auto"/>
            <w:noWrap w:val="0"/>
            <w:vAlign w:val="center"/>
          </w:tcPr>
          <w:p>
            <w:pPr>
              <w:widowControl/>
              <w:spacing w:line="0" w:lineRule="atLeas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满意度95%以上得满分，每降低1%，按比例扣5%，最多扣5分。</w:t>
            </w:r>
          </w:p>
        </w:tc>
        <w:tc>
          <w:tcPr>
            <w:tcW w:w="1327" w:type="dxa"/>
            <w:shd w:val="clear" w:color="auto" w:fill="auto"/>
            <w:noWrap w:val="0"/>
            <w:vAlign w:val="center"/>
          </w:tcPr>
          <w:p>
            <w:pPr>
              <w:widowControl/>
              <w:spacing w:line="0" w:lineRule="atLeas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基本满意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6" w:hRule="atLeast"/>
          <w:jc w:val="center"/>
        </w:trPr>
        <w:tc>
          <w:tcPr>
            <w:tcW w:w="964" w:type="dxa"/>
            <w:shd w:val="clear" w:color="auto" w:fill="auto"/>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合计</w:t>
            </w:r>
          </w:p>
        </w:tc>
        <w:tc>
          <w:tcPr>
            <w:tcW w:w="958" w:type="dxa"/>
            <w:shd w:val="clear" w:color="auto" w:fill="auto"/>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1918" w:type="dxa"/>
            <w:shd w:val="clear" w:color="auto" w:fill="auto"/>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4396" w:type="dxa"/>
            <w:shd w:val="clear" w:color="auto" w:fill="auto"/>
            <w:noWrap w:val="0"/>
            <w:vAlign w:val="center"/>
          </w:tcPr>
          <w:p>
            <w:pPr>
              <w:widowControl/>
              <w:spacing w:line="0" w:lineRule="atLeast"/>
              <w:jc w:val="left"/>
              <w:rPr>
                <w:rFonts w:hint="default" w:ascii="宋体" w:hAnsi="宋体" w:eastAsia="宋体" w:cs="宋体"/>
                <w:color w:val="000000"/>
                <w:kern w:val="0"/>
                <w:sz w:val="18"/>
                <w:szCs w:val="18"/>
                <w:lang w:val="en-US" w:eastAsia="zh-CN"/>
              </w:rPr>
            </w:pPr>
          </w:p>
        </w:tc>
        <w:tc>
          <w:tcPr>
            <w:tcW w:w="1463" w:type="dxa"/>
            <w:shd w:val="clear" w:color="auto" w:fill="auto"/>
            <w:noWrap w:val="0"/>
            <w:vAlign w:val="center"/>
          </w:tcPr>
          <w:p>
            <w:pPr>
              <w:widowControl/>
              <w:spacing w:line="0" w:lineRule="atLeast"/>
              <w:rPr>
                <w:rFonts w:hint="eastAsia" w:ascii="宋体" w:hAnsi="宋体" w:eastAsia="宋体" w:cs="宋体"/>
                <w:color w:val="000000"/>
                <w:kern w:val="0"/>
                <w:sz w:val="18"/>
                <w:szCs w:val="18"/>
                <w:lang w:val="en-US" w:eastAsia="zh-CN"/>
              </w:rPr>
            </w:pPr>
          </w:p>
        </w:tc>
        <w:tc>
          <w:tcPr>
            <w:tcW w:w="1602" w:type="dxa"/>
            <w:shd w:val="clear" w:color="auto" w:fill="auto"/>
            <w:noWrap w:val="0"/>
            <w:vAlign w:val="center"/>
          </w:tcPr>
          <w:p>
            <w:pPr>
              <w:widowControl/>
              <w:spacing w:line="0" w:lineRule="atLeast"/>
              <w:rPr>
                <w:rFonts w:hint="eastAsia" w:ascii="宋体" w:hAnsi="宋体" w:eastAsia="宋体" w:cs="宋体"/>
                <w:color w:val="000000"/>
                <w:kern w:val="0"/>
                <w:sz w:val="18"/>
                <w:szCs w:val="18"/>
                <w:lang w:val="en-US" w:eastAsia="zh-CN"/>
              </w:rPr>
            </w:pPr>
          </w:p>
        </w:tc>
        <w:tc>
          <w:tcPr>
            <w:tcW w:w="1327" w:type="dxa"/>
            <w:shd w:val="clear" w:color="auto" w:fill="auto"/>
            <w:noWrap w:val="0"/>
            <w:vAlign w:val="center"/>
          </w:tcPr>
          <w:p>
            <w:pPr>
              <w:widowControl/>
              <w:spacing w:line="0" w:lineRule="atLeast"/>
              <w:jc w:val="center"/>
              <w:rPr>
                <w:rFonts w:hint="eastAsia" w:ascii="宋体" w:hAnsi="宋体" w:eastAsia="宋体" w:cs="宋体"/>
                <w:color w:val="000000"/>
                <w:kern w:val="0"/>
                <w:sz w:val="18"/>
                <w:szCs w:val="18"/>
                <w:lang w:val="en-US" w:eastAsia="zh-CN"/>
              </w:rPr>
            </w:pPr>
          </w:p>
        </w:tc>
      </w:tr>
    </w:tbl>
    <w:p>
      <w:pPr>
        <w:pStyle w:val="5"/>
        <w:rPr>
          <w:rFonts w:hint="eastAsia"/>
          <w:lang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5"/>
        <w:rPr>
          <w:rFonts w:hint="eastAsia" w:ascii="仿宋" w:hAnsi="仿宋" w:eastAsia="仿宋" w:cs="仿宋"/>
          <w:b/>
          <w:bCs/>
          <w:sz w:val="30"/>
          <w:szCs w:val="30"/>
          <w:lang w:val="en-US" w:eastAsia="zh-CN"/>
        </w:rPr>
      </w:pPr>
      <w:r>
        <w:rPr>
          <w:rFonts w:hint="eastAsia" w:ascii="仿宋" w:hAnsi="仿宋" w:eastAsia="仿宋" w:cs="仿宋"/>
          <w:b/>
          <w:bCs/>
          <w:sz w:val="30"/>
          <w:szCs w:val="30"/>
          <w:lang w:eastAsia="zh-CN"/>
        </w:rPr>
        <w:t>附件</w:t>
      </w:r>
      <w:r>
        <w:rPr>
          <w:rFonts w:hint="eastAsia" w:ascii="仿宋" w:hAnsi="仿宋" w:eastAsia="仿宋" w:cs="仿宋"/>
          <w:b/>
          <w:bCs/>
          <w:sz w:val="30"/>
          <w:szCs w:val="30"/>
          <w:lang w:val="en-US" w:eastAsia="zh-CN"/>
        </w:rPr>
        <w:t>-4：项目绩效目标表</w:t>
      </w:r>
    </w:p>
    <w:p>
      <w:pPr>
        <w:jc w:val="center"/>
        <w:rPr>
          <w:rFonts w:hint="eastAsia" w:ascii="黑体" w:hAnsi="黑体" w:eastAsia="黑体" w:cs="黑体"/>
          <w:b w:val="0"/>
          <w:bCs w:val="0"/>
          <w:lang w:eastAsia="zh-CN"/>
        </w:rPr>
      </w:pPr>
      <w:r>
        <w:rPr>
          <w:rFonts w:hint="eastAsia" w:ascii="黑体" w:hAnsi="黑体" w:eastAsia="黑体" w:cs="黑体"/>
          <w:b w:val="0"/>
          <w:bCs w:val="0"/>
          <w:lang w:val="en-US" w:eastAsia="zh-CN"/>
        </w:rPr>
        <w:t xml:space="preserve">  </w:t>
      </w:r>
      <w:r>
        <w:rPr>
          <w:rFonts w:hint="eastAsia" w:ascii="黑体" w:hAnsi="黑体" w:eastAsia="黑体" w:cs="黑体"/>
          <w:b w:val="0"/>
          <w:bCs w:val="0"/>
          <w:sz w:val="32"/>
          <w:szCs w:val="32"/>
          <w:lang w:eastAsia="zh-CN"/>
        </w:rPr>
        <w:t>本级部门预算项目绩效目标表</w:t>
      </w:r>
    </w:p>
    <w:p>
      <w:pPr>
        <w:pStyle w:val="2"/>
        <w:jc w:val="center"/>
        <w:rPr>
          <w:rFonts w:hint="eastAsia" w:ascii="宋体" w:hAnsi="宋体" w:eastAsia="宋体" w:cs="宋体"/>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2022年度</w:t>
      </w:r>
      <w:r>
        <w:rPr>
          <w:rFonts w:hint="eastAsia" w:ascii="宋体" w:hAnsi="宋体" w:eastAsia="宋体" w:cs="宋体"/>
          <w:b w:val="0"/>
          <w:bCs w:val="0"/>
          <w:sz w:val="24"/>
          <w:szCs w:val="24"/>
          <w:lang w:eastAsia="zh-CN"/>
        </w:rPr>
        <w:t>）</w:t>
      </w:r>
    </w:p>
    <w:tbl>
      <w:tblPr>
        <w:tblStyle w:val="11"/>
        <w:tblW w:w="9090" w:type="dxa"/>
        <w:tblInd w:w="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190"/>
        <w:gridCol w:w="1940"/>
        <w:gridCol w:w="2350"/>
        <w:gridCol w:w="1860"/>
        <w:gridCol w:w="1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3130" w:type="dxa"/>
            <w:gridSpan w:val="2"/>
            <w:tcBorders>
              <w:tl2br w:val="nil"/>
              <w:tr2bl w:val="nil"/>
            </w:tcBorders>
            <w:shd w:val="clear" w:color="auto" w:fill="auto"/>
            <w:vAlign w:val="center"/>
          </w:tcPr>
          <w:p>
            <w:pPr>
              <w:keepNext w:val="0"/>
              <w:keepLines w:val="0"/>
              <w:widowControl/>
              <w:suppressLineNumbers w:val="0"/>
              <w:jc w:val="center"/>
              <w:textAlignment w:val="center"/>
              <w:rPr>
                <w:rFonts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项目名称</w:t>
            </w:r>
          </w:p>
        </w:tc>
        <w:tc>
          <w:tcPr>
            <w:tcW w:w="5960" w:type="dxa"/>
            <w:gridSpan w:val="3"/>
            <w:tcBorders>
              <w:tl2br w:val="nil"/>
              <w:tr2bl w:val="nil"/>
            </w:tcBorders>
            <w:shd w:val="clear" w:color="auto" w:fill="auto"/>
            <w:vAlign w:val="center"/>
          </w:tcPr>
          <w:p>
            <w:pPr>
              <w:keepNext w:val="0"/>
              <w:keepLines w:val="0"/>
              <w:widowControl/>
              <w:suppressLineNumbers w:val="0"/>
              <w:jc w:val="left"/>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教育专项资金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13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部门名称</w:t>
            </w:r>
          </w:p>
        </w:tc>
        <w:tc>
          <w:tcPr>
            <w:tcW w:w="5960" w:type="dxa"/>
            <w:gridSpan w:val="3"/>
            <w:tcBorders>
              <w:tl2br w:val="nil"/>
              <w:tr2bl w:val="nil"/>
            </w:tcBorders>
            <w:shd w:val="clear" w:color="auto" w:fill="auto"/>
            <w:vAlign w:val="center"/>
          </w:tcPr>
          <w:p>
            <w:pPr>
              <w:keepNext w:val="0"/>
              <w:keepLines w:val="0"/>
              <w:widowControl/>
              <w:suppressLineNumbers w:val="0"/>
              <w:jc w:val="left"/>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漯河经济技术开发区社会事业服务中心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13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单位名称</w:t>
            </w:r>
          </w:p>
        </w:tc>
        <w:tc>
          <w:tcPr>
            <w:tcW w:w="5960" w:type="dxa"/>
            <w:gridSpan w:val="3"/>
            <w:tcBorders>
              <w:tl2br w:val="nil"/>
              <w:tr2bl w:val="nil"/>
            </w:tcBorders>
            <w:shd w:val="clear" w:color="auto" w:fill="auto"/>
            <w:vAlign w:val="center"/>
          </w:tcPr>
          <w:p>
            <w:pPr>
              <w:keepNext w:val="0"/>
              <w:keepLines w:val="0"/>
              <w:widowControl/>
              <w:suppressLineNumbers w:val="0"/>
              <w:jc w:val="left"/>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漯河经济技术开发区社会事业服务中心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0" w:hRule="atLeast"/>
        </w:trPr>
        <w:tc>
          <w:tcPr>
            <w:tcW w:w="119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项目资金</w:t>
            </w:r>
            <w:r>
              <w:rPr>
                <w:rFonts w:hint="default" w:ascii="报宋" w:hAnsi="报宋" w:eastAsia="报宋" w:cs="报宋"/>
                <w:i w:val="0"/>
                <w:iCs w:val="0"/>
                <w:color w:val="0A0A0A"/>
                <w:kern w:val="0"/>
                <w:sz w:val="20"/>
                <w:szCs w:val="20"/>
                <w:u w:val="none"/>
                <w:lang w:val="en-US" w:eastAsia="zh-CN" w:bidi="ar"/>
              </w:rPr>
              <w:br w:type="textWrapping"/>
            </w:r>
            <w:r>
              <w:rPr>
                <w:rFonts w:hint="default" w:ascii="报宋" w:hAnsi="报宋" w:eastAsia="报宋" w:cs="报宋"/>
                <w:i w:val="0"/>
                <w:iCs w:val="0"/>
                <w:color w:val="0A0A0A"/>
                <w:kern w:val="0"/>
                <w:sz w:val="20"/>
                <w:szCs w:val="20"/>
                <w:u w:val="none"/>
                <w:lang w:val="en-US" w:eastAsia="zh-CN" w:bidi="ar"/>
              </w:rPr>
              <w:t>(万元)</w:t>
            </w:r>
          </w:p>
        </w:tc>
        <w:tc>
          <w:tcPr>
            <w:tcW w:w="429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年度资金总额</w:t>
            </w:r>
          </w:p>
        </w:tc>
        <w:tc>
          <w:tcPr>
            <w:tcW w:w="36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462.9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1190" w:type="dxa"/>
            <w:vMerge w:val="continue"/>
            <w:tcBorders>
              <w:tl2br w:val="nil"/>
              <w:tr2bl w:val="nil"/>
            </w:tcBorders>
            <w:shd w:val="clear" w:color="auto" w:fill="auto"/>
            <w:vAlign w:val="center"/>
          </w:tcPr>
          <w:p>
            <w:pPr>
              <w:jc w:val="center"/>
              <w:rPr>
                <w:rFonts w:hint="default" w:ascii="报宋" w:hAnsi="报宋" w:eastAsia="报宋" w:cs="报宋"/>
                <w:i w:val="0"/>
                <w:iCs w:val="0"/>
                <w:color w:val="0A0A0A"/>
                <w:sz w:val="20"/>
                <w:szCs w:val="20"/>
                <w:u w:val="none"/>
              </w:rPr>
            </w:pPr>
          </w:p>
        </w:tc>
        <w:tc>
          <w:tcPr>
            <w:tcW w:w="4290" w:type="dxa"/>
            <w:gridSpan w:val="2"/>
            <w:tcBorders>
              <w:tl2br w:val="nil"/>
              <w:tr2bl w:val="nil"/>
            </w:tcBorders>
            <w:shd w:val="clear" w:color="auto" w:fill="auto"/>
            <w:vAlign w:val="center"/>
          </w:tcPr>
          <w:p>
            <w:pPr>
              <w:keepNext w:val="0"/>
              <w:keepLines w:val="0"/>
              <w:widowControl/>
              <w:suppressLineNumbers w:val="0"/>
              <w:jc w:val="left"/>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其中:政府预算资金</w:t>
            </w:r>
          </w:p>
        </w:tc>
        <w:tc>
          <w:tcPr>
            <w:tcW w:w="3610"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462.9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90" w:type="dxa"/>
            <w:vMerge w:val="continue"/>
            <w:tcBorders>
              <w:tl2br w:val="nil"/>
              <w:tr2bl w:val="nil"/>
            </w:tcBorders>
            <w:shd w:val="clear" w:color="auto" w:fill="auto"/>
            <w:vAlign w:val="center"/>
          </w:tcPr>
          <w:p>
            <w:pPr>
              <w:jc w:val="center"/>
              <w:rPr>
                <w:rFonts w:hint="default" w:ascii="报宋" w:hAnsi="报宋" w:eastAsia="报宋" w:cs="报宋"/>
                <w:i w:val="0"/>
                <w:iCs w:val="0"/>
                <w:color w:val="0A0A0A"/>
                <w:sz w:val="20"/>
                <w:szCs w:val="20"/>
                <w:u w:val="none"/>
              </w:rPr>
            </w:pPr>
          </w:p>
        </w:tc>
        <w:tc>
          <w:tcPr>
            <w:tcW w:w="4290" w:type="dxa"/>
            <w:gridSpan w:val="2"/>
            <w:tcBorders>
              <w:tl2br w:val="nil"/>
              <w:tr2bl w:val="nil"/>
            </w:tcBorders>
            <w:shd w:val="clear" w:color="auto" w:fill="auto"/>
            <w:vAlign w:val="center"/>
          </w:tcPr>
          <w:p>
            <w:pPr>
              <w:keepNext w:val="0"/>
              <w:keepLines w:val="0"/>
              <w:widowControl/>
              <w:suppressLineNumbers w:val="0"/>
              <w:jc w:val="left"/>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 xml:space="preserve">   财政专户管理资金</w:t>
            </w:r>
          </w:p>
        </w:tc>
        <w:tc>
          <w:tcPr>
            <w:tcW w:w="0" w:type="auto"/>
            <w:gridSpan w:val="2"/>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1190" w:type="dxa"/>
            <w:vMerge w:val="continue"/>
            <w:tcBorders>
              <w:tl2br w:val="nil"/>
              <w:tr2bl w:val="nil"/>
            </w:tcBorders>
            <w:shd w:val="clear" w:color="auto" w:fill="auto"/>
            <w:vAlign w:val="center"/>
          </w:tcPr>
          <w:p>
            <w:pPr>
              <w:jc w:val="center"/>
              <w:rPr>
                <w:rFonts w:hint="default" w:ascii="报宋" w:hAnsi="报宋" w:eastAsia="报宋" w:cs="报宋"/>
                <w:i w:val="0"/>
                <w:iCs w:val="0"/>
                <w:color w:val="0A0A0A"/>
                <w:sz w:val="20"/>
                <w:szCs w:val="20"/>
                <w:u w:val="none"/>
              </w:rPr>
            </w:pPr>
          </w:p>
        </w:tc>
        <w:tc>
          <w:tcPr>
            <w:tcW w:w="4290" w:type="dxa"/>
            <w:gridSpan w:val="2"/>
            <w:tcBorders>
              <w:tl2br w:val="nil"/>
              <w:tr2bl w:val="nil"/>
            </w:tcBorders>
            <w:shd w:val="clear" w:color="auto" w:fill="auto"/>
            <w:vAlign w:val="center"/>
          </w:tcPr>
          <w:p>
            <w:pPr>
              <w:keepNext w:val="0"/>
              <w:keepLines w:val="0"/>
              <w:widowControl/>
              <w:suppressLineNumbers w:val="0"/>
              <w:jc w:val="left"/>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 xml:space="preserve">   单位资金</w:t>
            </w:r>
          </w:p>
        </w:tc>
        <w:tc>
          <w:tcPr>
            <w:tcW w:w="0" w:type="auto"/>
            <w:gridSpan w:val="2"/>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0" w:hRule="atLeast"/>
        </w:trPr>
        <w:tc>
          <w:tcPr>
            <w:tcW w:w="119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年度目标</w:t>
            </w:r>
          </w:p>
        </w:tc>
        <w:tc>
          <w:tcPr>
            <w:tcW w:w="7900" w:type="dxa"/>
            <w:gridSpan w:val="4"/>
            <w:tcBorders>
              <w:tl2br w:val="nil"/>
              <w:tr2bl w:val="nil"/>
            </w:tcBorders>
            <w:shd w:val="clear" w:color="auto" w:fill="auto"/>
            <w:vAlign w:val="center"/>
          </w:tcPr>
          <w:p>
            <w:pPr>
              <w:keepNext w:val="0"/>
              <w:keepLines w:val="0"/>
              <w:widowControl/>
              <w:suppressLineNumbers w:val="0"/>
              <w:jc w:val="left"/>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目标1:湘江路小学办公楼装修</w:t>
            </w:r>
            <w:r>
              <w:rPr>
                <w:rFonts w:hint="default" w:ascii="报宋" w:hAnsi="报宋" w:eastAsia="报宋" w:cs="报宋"/>
                <w:i w:val="0"/>
                <w:iCs w:val="0"/>
                <w:color w:val="0A0A0A"/>
                <w:kern w:val="0"/>
                <w:sz w:val="20"/>
                <w:szCs w:val="20"/>
                <w:u w:val="none"/>
                <w:lang w:val="en-US" w:eastAsia="zh-CN" w:bidi="ar"/>
              </w:rPr>
              <w:br w:type="textWrapping"/>
            </w:r>
            <w:r>
              <w:rPr>
                <w:rFonts w:hint="default" w:ascii="报宋" w:hAnsi="报宋" w:eastAsia="报宋" w:cs="报宋"/>
                <w:i w:val="0"/>
                <w:iCs w:val="0"/>
                <w:color w:val="0A0A0A"/>
                <w:kern w:val="0"/>
                <w:sz w:val="20"/>
                <w:szCs w:val="20"/>
                <w:u w:val="none"/>
                <w:lang w:val="en-US" w:eastAsia="zh-CN" w:bidi="ar"/>
              </w:rPr>
              <w:t>目标2:突发性校舍维修</w:t>
            </w:r>
            <w:r>
              <w:rPr>
                <w:rFonts w:hint="default" w:ascii="报宋" w:hAnsi="报宋" w:eastAsia="报宋" w:cs="报宋"/>
                <w:i w:val="0"/>
                <w:iCs w:val="0"/>
                <w:color w:val="0A0A0A"/>
                <w:kern w:val="0"/>
                <w:sz w:val="20"/>
                <w:szCs w:val="20"/>
                <w:u w:val="none"/>
                <w:lang w:val="en-US" w:eastAsia="zh-CN" w:bidi="ar"/>
              </w:rPr>
              <w:br w:type="textWrapping"/>
            </w:r>
            <w:r>
              <w:rPr>
                <w:rFonts w:hint="default" w:ascii="报宋" w:hAnsi="报宋" w:eastAsia="报宋" w:cs="报宋"/>
                <w:i w:val="0"/>
                <w:iCs w:val="0"/>
                <w:color w:val="0A0A0A"/>
                <w:kern w:val="0"/>
                <w:sz w:val="20"/>
                <w:szCs w:val="20"/>
                <w:u w:val="none"/>
                <w:lang w:val="en-US" w:eastAsia="zh-CN" w:bidi="ar"/>
              </w:rPr>
              <w:t>目标3:普惠性幼儿园奖补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9090" w:type="dxa"/>
            <w:gridSpan w:val="5"/>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分解目标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119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一级指标</w:t>
            </w:r>
          </w:p>
        </w:tc>
        <w:tc>
          <w:tcPr>
            <w:tcW w:w="19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二级指标</w:t>
            </w:r>
          </w:p>
        </w:tc>
        <w:tc>
          <w:tcPr>
            <w:tcW w:w="235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三级指标</w:t>
            </w:r>
          </w:p>
        </w:tc>
        <w:tc>
          <w:tcPr>
            <w:tcW w:w="18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指标值</w:t>
            </w:r>
          </w:p>
        </w:tc>
        <w:tc>
          <w:tcPr>
            <w:tcW w:w="175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指标值说明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119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成本指标</w:t>
            </w:r>
          </w:p>
        </w:tc>
        <w:tc>
          <w:tcPr>
            <w:tcW w:w="194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经济成本指标</w:t>
            </w:r>
          </w:p>
        </w:tc>
        <w:tc>
          <w:tcPr>
            <w:tcW w:w="235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义务教育建档立卡营养餐计划</w:t>
            </w:r>
          </w:p>
        </w:tc>
        <w:tc>
          <w:tcPr>
            <w:tcW w:w="18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≤600元/每年/人</w:t>
            </w:r>
          </w:p>
        </w:tc>
        <w:tc>
          <w:tcPr>
            <w:tcW w:w="175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义务教育建</w:t>
            </w:r>
            <w:r>
              <w:rPr>
                <w:rFonts w:hint="default" w:ascii="报宋" w:hAnsi="报宋" w:eastAsia="报宋" w:cs="报宋"/>
                <w:i w:val="0"/>
                <w:iCs w:val="0"/>
                <w:color w:val="0A0A0A"/>
                <w:kern w:val="0"/>
                <w:sz w:val="20"/>
                <w:szCs w:val="20"/>
                <w:u w:val="none"/>
                <w:lang w:val="en-US" w:eastAsia="zh-CN" w:bidi="ar"/>
              </w:rPr>
              <w:br w:type="textWrapping"/>
            </w:r>
            <w:r>
              <w:rPr>
                <w:rFonts w:hint="default" w:ascii="报宋" w:hAnsi="报宋" w:eastAsia="报宋" w:cs="报宋"/>
                <w:i w:val="0"/>
                <w:iCs w:val="0"/>
                <w:color w:val="0A0A0A"/>
                <w:kern w:val="0"/>
                <w:sz w:val="20"/>
                <w:szCs w:val="20"/>
                <w:u w:val="none"/>
                <w:lang w:val="en-US" w:eastAsia="zh-CN" w:bidi="ar"/>
              </w:rPr>
              <w:t>档立卡营养</w:t>
            </w:r>
            <w:r>
              <w:rPr>
                <w:rFonts w:hint="default" w:ascii="报宋" w:hAnsi="报宋" w:eastAsia="报宋" w:cs="报宋"/>
                <w:i w:val="0"/>
                <w:iCs w:val="0"/>
                <w:color w:val="0A0A0A"/>
                <w:kern w:val="0"/>
                <w:sz w:val="20"/>
                <w:szCs w:val="20"/>
                <w:u w:val="none"/>
                <w:lang w:val="en-US" w:eastAsia="zh-CN" w:bidi="ar"/>
              </w:rPr>
              <w:br w:type="textWrapping"/>
            </w:r>
            <w:r>
              <w:rPr>
                <w:rFonts w:hint="default" w:ascii="报宋" w:hAnsi="报宋" w:eastAsia="报宋" w:cs="报宋"/>
                <w:i w:val="0"/>
                <w:iCs w:val="0"/>
                <w:color w:val="0A0A0A"/>
                <w:kern w:val="0"/>
                <w:sz w:val="20"/>
                <w:szCs w:val="20"/>
                <w:u w:val="none"/>
                <w:lang w:val="en-US" w:eastAsia="zh-CN" w:bidi="ar"/>
              </w:rPr>
              <w:t>餐计划≤</w:t>
            </w:r>
            <w:r>
              <w:rPr>
                <w:rFonts w:hint="default" w:ascii="报宋" w:hAnsi="报宋" w:eastAsia="报宋" w:cs="报宋"/>
                <w:i w:val="0"/>
                <w:iCs w:val="0"/>
                <w:color w:val="0A0A0A"/>
                <w:kern w:val="0"/>
                <w:sz w:val="20"/>
                <w:szCs w:val="20"/>
                <w:u w:val="none"/>
                <w:lang w:val="en-US" w:eastAsia="zh-CN" w:bidi="ar"/>
              </w:rPr>
              <w:br w:type="textWrapping"/>
            </w:r>
            <w:r>
              <w:rPr>
                <w:rFonts w:hint="default" w:ascii="报宋" w:hAnsi="报宋" w:eastAsia="报宋" w:cs="报宋"/>
                <w:i w:val="0"/>
                <w:iCs w:val="0"/>
                <w:color w:val="0A0A0A"/>
                <w:kern w:val="0"/>
                <w:sz w:val="20"/>
                <w:szCs w:val="20"/>
                <w:u w:val="none"/>
                <w:lang w:val="en-US" w:eastAsia="zh-CN" w:bidi="ar"/>
              </w:rPr>
              <w:t>600元/每年</w:t>
            </w:r>
            <w:r>
              <w:rPr>
                <w:rFonts w:hint="default" w:ascii="报宋" w:hAnsi="报宋" w:eastAsia="报宋" w:cs="报宋"/>
                <w:i w:val="0"/>
                <w:iCs w:val="0"/>
                <w:color w:val="0A0A0A"/>
                <w:kern w:val="0"/>
                <w:sz w:val="20"/>
                <w:szCs w:val="20"/>
                <w:u w:val="none"/>
                <w:lang w:val="en-US" w:eastAsia="zh-CN" w:bidi="ar"/>
              </w:rPr>
              <w:br w:type="textWrapping"/>
            </w:r>
            <w:r>
              <w:rPr>
                <w:rFonts w:hint="default" w:ascii="报宋" w:hAnsi="报宋" w:eastAsia="报宋" w:cs="报宋"/>
                <w:i w:val="0"/>
                <w:iCs w:val="0"/>
                <w:color w:val="0A0A0A"/>
                <w:kern w:val="0"/>
                <w:sz w:val="20"/>
                <w:szCs w:val="20"/>
                <w:u w:val="none"/>
                <w:lang w:val="en-US" w:eastAsia="zh-CN" w:bidi="ar"/>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1190" w:type="dxa"/>
            <w:vMerge w:val="continue"/>
            <w:tcBorders>
              <w:tl2br w:val="nil"/>
              <w:tr2bl w:val="nil"/>
            </w:tcBorders>
            <w:shd w:val="clear" w:color="auto" w:fill="auto"/>
            <w:vAlign w:val="center"/>
          </w:tcPr>
          <w:p>
            <w:pPr>
              <w:jc w:val="center"/>
              <w:rPr>
                <w:rFonts w:hint="default" w:ascii="报宋" w:hAnsi="报宋" w:eastAsia="报宋" w:cs="报宋"/>
                <w:i w:val="0"/>
                <w:iCs w:val="0"/>
                <w:color w:val="0A0A0A"/>
                <w:sz w:val="20"/>
                <w:szCs w:val="20"/>
                <w:u w:val="none"/>
              </w:rPr>
            </w:pPr>
          </w:p>
        </w:tc>
        <w:tc>
          <w:tcPr>
            <w:tcW w:w="1940" w:type="dxa"/>
            <w:vMerge w:val="continue"/>
            <w:tcBorders>
              <w:tl2br w:val="nil"/>
              <w:tr2bl w:val="nil"/>
            </w:tcBorders>
            <w:shd w:val="clear" w:color="auto" w:fill="auto"/>
            <w:vAlign w:val="center"/>
          </w:tcPr>
          <w:p>
            <w:pPr>
              <w:jc w:val="center"/>
              <w:rPr>
                <w:rFonts w:hint="default" w:ascii="报宋" w:hAnsi="报宋" w:eastAsia="报宋" w:cs="报宋"/>
                <w:i w:val="0"/>
                <w:iCs w:val="0"/>
                <w:color w:val="0A0A0A"/>
                <w:sz w:val="20"/>
                <w:szCs w:val="20"/>
                <w:u w:val="none"/>
              </w:rPr>
            </w:pPr>
          </w:p>
        </w:tc>
        <w:tc>
          <w:tcPr>
            <w:tcW w:w="235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学前教育贫困生生活补助</w:t>
            </w:r>
          </w:p>
        </w:tc>
        <w:tc>
          <w:tcPr>
            <w:tcW w:w="18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≤500元/每年/人</w:t>
            </w:r>
          </w:p>
        </w:tc>
        <w:tc>
          <w:tcPr>
            <w:tcW w:w="175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学前教育贫</w:t>
            </w:r>
            <w:r>
              <w:rPr>
                <w:rFonts w:hint="default" w:ascii="报宋" w:hAnsi="报宋" w:eastAsia="报宋" w:cs="报宋"/>
                <w:i w:val="0"/>
                <w:iCs w:val="0"/>
                <w:color w:val="0A0A0A"/>
                <w:kern w:val="0"/>
                <w:sz w:val="20"/>
                <w:szCs w:val="20"/>
                <w:u w:val="none"/>
                <w:lang w:val="en-US" w:eastAsia="zh-CN" w:bidi="ar"/>
              </w:rPr>
              <w:br w:type="textWrapping"/>
            </w:r>
            <w:r>
              <w:rPr>
                <w:rFonts w:hint="default" w:ascii="报宋" w:hAnsi="报宋" w:eastAsia="报宋" w:cs="报宋"/>
                <w:i w:val="0"/>
                <w:iCs w:val="0"/>
                <w:color w:val="0A0A0A"/>
                <w:kern w:val="0"/>
                <w:sz w:val="20"/>
                <w:szCs w:val="20"/>
                <w:u w:val="none"/>
                <w:lang w:val="en-US" w:eastAsia="zh-CN" w:bidi="ar"/>
              </w:rPr>
              <w:t>困生生活补</w:t>
            </w:r>
            <w:r>
              <w:rPr>
                <w:rFonts w:hint="default" w:ascii="报宋" w:hAnsi="报宋" w:eastAsia="报宋" w:cs="报宋"/>
                <w:i w:val="0"/>
                <w:iCs w:val="0"/>
                <w:color w:val="0A0A0A"/>
                <w:kern w:val="0"/>
                <w:sz w:val="20"/>
                <w:szCs w:val="20"/>
                <w:u w:val="none"/>
                <w:lang w:val="en-US" w:eastAsia="zh-CN" w:bidi="ar"/>
              </w:rPr>
              <w:br w:type="textWrapping"/>
            </w:r>
            <w:r>
              <w:rPr>
                <w:rFonts w:hint="default" w:ascii="报宋" w:hAnsi="报宋" w:eastAsia="报宋" w:cs="报宋"/>
                <w:i w:val="0"/>
                <w:iCs w:val="0"/>
                <w:color w:val="0A0A0A"/>
                <w:kern w:val="0"/>
                <w:sz w:val="20"/>
                <w:szCs w:val="20"/>
                <w:u w:val="none"/>
                <w:lang w:val="en-US" w:eastAsia="zh-CN" w:bidi="ar"/>
              </w:rPr>
              <w:t>助≤500</w:t>
            </w:r>
            <w:r>
              <w:rPr>
                <w:rFonts w:hint="default" w:ascii="报宋" w:hAnsi="报宋" w:eastAsia="报宋" w:cs="报宋"/>
                <w:i w:val="0"/>
                <w:iCs w:val="0"/>
                <w:color w:val="0A0A0A"/>
                <w:kern w:val="0"/>
                <w:sz w:val="20"/>
                <w:szCs w:val="20"/>
                <w:u w:val="none"/>
                <w:lang w:val="en-US" w:eastAsia="zh-CN" w:bidi="ar"/>
              </w:rPr>
              <w:br w:type="textWrapping"/>
            </w:r>
            <w:r>
              <w:rPr>
                <w:rFonts w:hint="default" w:ascii="报宋" w:hAnsi="报宋" w:eastAsia="报宋" w:cs="报宋"/>
                <w:i w:val="0"/>
                <w:iCs w:val="0"/>
                <w:color w:val="0A0A0A"/>
                <w:kern w:val="0"/>
                <w:sz w:val="20"/>
                <w:szCs w:val="20"/>
                <w:u w:val="none"/>
                <w:lang w:val="en-US" w:eastAsia="zh-CN" w:bidi="ar"/>
              </w:rPr>
              <w:t>元/每年/人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trPr>
        <w:tc>
          <w:tcPr>
            <w:tcW w:w="1190" w:type="dxa"/>
            <w:vMerge w:val="continue"/>
            <w:tcBorders>
              <w:tl2br w:val="nil"/>
              <w:tr2bl w:val="nil"/>
            </w:tcBorders>
            <w:shd w:val="clear" w:color="auto" w:fill="auto"/>
            <w:vAlign w:val="center"/>
          </w:tcPr>
          <w:p>
            <w:pPr>
              <w:jc w:val="center"/>
              <w:rPr>
                <w:rFonts w:hint="default" w:ascii="报宋" w:hAnsi="报宋" w:eastAsia="报宋" w:cs="报宋"/>
                <w:i w:val="0"/>
                <w:iCs w:val="0"/>
                <w:color w:val="0A0A0A"/>
                <w:sz w:val="20"/>
                <w:szCs w:val="20"/>
                <w:u w:val="none"/>
              </w:rPr>
            </w:pPr>
          </w:p>
        </w:tc>
        <w:tc>
          <w:tcPr>
            <w:tcW w:w="1940" w:type="dxa"/>
            <w:vMerge w:val="continue"/>
            <w:tcBorders>
              <w:tl2br w:val="nil"/>
              <w:tr2bl w:val="nil"/>
            </w:tcBorders>
            <w:shd w:val="clear" w:color="auto" w:fill="auto"/>
            <w:vAlign w:val="center"/>
          </w:tcPr>
          <w:p>
            <w:pPr>
              <w:jc w:val="center"/>
              <w:rPr>
                <w:rFonts w:hint="default" w:ascii="报宋" w:hAnsi="报宋" w:eastAsia="报宋" w:cs="报宋"/>
                <w:i w:val="0"/>
                <w:iCs w:val="0"/>
                <w:color w:val="0A0A0A"/>
                <w:sz w:val="20"/>
                <w:szCs w:val="20"/>
                <w:u w:val="none"/>
              </w:rPr>
            </w:pPr>
          </w:p>
        </w:tc>
        <w:tc>
          <w:tcPr>
            <w:tcW w:w="235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学前教育贫困生生活补助</w:t>
            </w:r>
          </w:p>
        </w:tc>
        <w:tc>
          <w:tcPr>
            <w:tcW w:w="18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≤800元/每年/人</w:t>
            </w:r>
          </w:p>
        </w:tc>
        <w:tc>
          <w:tcPr>
            <w:tcW w:w="175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学前教育建</w:t>
            </w:r>
            <w:r>
              <w:rPr>
                <w:rFonts w:hint="default" w:ascii="报宋" w:hAnsi="报宋" w:eastAsia="报宋" w:cs="报宋"/>
                <w:i w:val="0"/>
                <w:iCs w:val="0"/>
                <w:color w:val="0A0A0A"/>
                <w:kern w:val="0"/>
                <w:sz w:val="20"/>
                <w:szCs w:val="20"/>
                <w:u w:val="none"/>
                <w:lang w:val="en-US" w:eastAsia="zh-CN" w:bidi="ar"/>
              </w:rPr>
              <w:br w:type="textWrapping"/>
            </w:r>
            <w:r>
              <w:rPr>
                <w:rFonts w:hint="default" w:ascii="报宋" w:hAnsi="报宋" w:eastAsia="报宋" w:cs="报宋"/>
                <w:i w:val="0"/>
                <w:iCs w:val="0"/>
                <w:color w:val="0A0A0A"/>
                <w:kern w:val="0"/>
                <w:sz w:val="20"/>
                <w:szCs w:val="20"/>
                <w:u w:val="none"/>
                <w:lang w:val="en-US" w:eastAsia="zh-CN" w:bidi="ar"/>
              </w:rPr>
              <w:t>档立卡保教</w:t>
            </w:r>
            <w:r>
              <w:rPr>
                <w:rFonts w:hint="default" w:ascii="报宋" w:hAnsi="报宋" w:eastAsia="报宋" w:cs="报宋"/>
                <w:i w:val="0"/>
                <w:iCs w:val="0"/>
                <w:color w:val="0A0A0A"/>
                <w:kern w:val="0"/>
                <w:sz w:val="20"/>
                <w:szCs w:val="20"/>
                <w:u w:val="none"/>
                <w:lang w:val="en-US" w:eastAsia="zh-CN" w:bidi="ar"/>
              </w:rPr>
              <w:br w:type="textWrapping"/>
            </w:r>
            <w:r>
              <w:rPr>
                <w:rFonts w:hint="default" w:ascii="报宋" w:hAnsi="报宋" w:eastAsia="报宋" w:cs="报宋"/>
                <w:i w:val="0"/>
                <w:iCs w:val="0"/>
                <w:color w:val="0A0A0A"/>
                <w:kern w:val="0"/>
                <w:sz w:val="20"/>
                <w:szCs w:val="20"/>
                <w:u w:val="none"/>
                <w:lang w:val="en-US" w:eastAsia="zh-CN" w:bidi="ar"/>
              </w:rPr>
              <w:t>费≤800</w:t>
            </w:r>
            <w:r>
              <w:rPr>
                <w:rFonts w:hint="default" w:ascii="报宋" w:hAnsi="报宋" w:eastAsia="报宋" w:cs="报宋"/>
                <w:i w:val="0"/>
                <w:iCs w:val="0"/>
                <w:color w:val="0A0A0A"/>
                <w:kern w:val="0"/>
                <w:sz w:val="20"/>
                <w:szCs w:val="20"/>
                <w:u w:val="none"/>
                <w:lang w:val="en-US" w:eastAsia="zh-CN" w:bidi="ar"/>
              </w:rPr>
              <w:br w:type="textWrapping"/>
            </w:r>
            <w:r>
              <w:rPr>
                <w:rFonts w:hint="default" w:ascii="报宋" w:hAnsi="报宋" w:eastAsia="报宋" w:cs="报宋"/>
                <w:i w:val="0"/>
                <w:iCs w:val="0"/>
                <w:color w:val="0A0A0A"/>
                <w:kern w:val="0"/>
                <w:sz w:val="20"/>
                <w:szCs w:val="20"/>
                <w:u w:val="none"/>
                <w:lang w:val="en-US" w:eastAsia="zh-CN" w:bidi="ar"/>
              </w:rPr>
              <w:t>元/每年/人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1190" w:type="dxa"/>
            <w:vMerge w:val="continue"/>
            <w:tcBorders>
              <w:tl2br w:val="nil"/>
              <w:tr2bl w:val="nil"/>
            </w:tcBorders>
            <w:shd w:val="clear" w:color="auto" w:fill="auto"/>
            <w:vAlign w:val="center"/>
          </w:tcPr>
          <w:p>
            <w:pPr>
              <w:jc w:val="center"/>
              <w:rPr>
                <w:rFonts w:hint="default" w:ascii="报宋" w:hAnsi="报宋" w:eastAsia="报宋" w:cs="报宋"/>
                <w:i w:val="0"/>
                <w:iCs w:val="0"/>
                <w:color w:val="0A0A0A"/>
                <w:sz w:val="20"/>
                <w:szCs w:val="20"/>
                <w:u w:val="none"/>
              </w:rPr>
            </w:pPr>
          </w:p>
        </w:tc>
        <w:tc>
          <w:tcPr>
            <w:tcW w:w="19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社会成本指标</w:t>
            </w:r>
          </w:p>
        </w:tc>
        <w:tc>
          <w:tcPr>
            <w:tcW w:w="0" w:type="auto"/>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190" w:type="dxa"/>
            <w:vMerge w:val="continue"/>
            <w:tcBorders>
              <w:tl2br w:val="nil"/>
              <w:tr2bl w:val="nil"/>
            </w:tcBorders>
            <w:shd w:val="clear" w:color="auto" w:fill="auto"/>
            <w:vAlign w:val="center"/>
          </w:tcPr>
          <w:p>
            <w:pPr>
              <w:jc w:val="center"/>
              <w:rPr>
                <w:rFonts w:hint="default" w:ascii="报宋" w:hAnsi="报宋" w:eastAsia="报宋" w:cs="报宋"/>
                <w:i w:val="0"/>
                <w:iCs w:val="0"/>
                <w:color w:val="0A0A0A"/>
                <w:sz w:val="20"/>
                <w:szCs w:val="20"/>
                <w:u w:val="none"/>
              </w:rPr>
            </w:pPr>
          </w:p>
        </w:tc>
        <w:tc>
          <w:tcPr>
            <w:tcW w:w="19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生态环境成本指标</w:t>
            </w:r>
          </w:p>
        </w:tc>
        <w:tc>
          <w:tcPr>
            <w:tcW w:w="0" w:type="auto"/>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19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产出指标</w:t>
            </w:r>
          </w:p>
        </w:tc>
        <w:tc>
          <w:tcPr>
            <w:tcW w:w="194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数量指标</w:t>
            </w:r>
          </w:p>
        </w:tc>
        <w:tc>
          <w:tcPr>
            <w:tcW w:w="235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办公楼装修等</w:t>
            </w:r>
          </w:p>
        </w:tc>
        <w:tc>
          <w:tcPr>
            <w:tcW w:w="18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≥3个</w:t>
            </w:r>
          </w:p>
        </w:tc>
        <w:tc>
          <w:tcPr>
            <w:tcW w:w="175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办公楼装修</w:t>
            </w:r>
            <w:r>
              <w:rPr>
                <w:rFonts w:hint="default" w:ascii="报宋" w:hAnsi="报宋" w:eastAsia="报宋" w:cs="报宋"/>
                <w:i w:val="0"/>
                <w:iCs w:val="0"/>
                <w:color w:val="0A0A0A"/>
                <w:kern w:val="0"/>
                <w:sz w:val="20"/>
                <w:szCs w:val="20"/>
                <w:u w:val="none"/>
                <w:lang w:val="en-US" w:eastAsia="zh-CN" w:bidi="ar"/>
              </w:rPr>
              <w:br w:type="textWrapping"/>
            </w:r>
            <w:r>
              <w:rPr>
                <w:rFonts w:hint="default" w:ascii="报宋" w:hAnsi="报宋" w:eastAsia="报宋" w:cs="报宋"/>
                <w:i w:val="0"/>
                <w:iCs w:val="0"/>
                <w:color w:val="0A0A0A"/>
                <w:kern w:val="0"/>
                <w:sz w:val="20"/>
                <w:szCs w:val="20"/>
                <w:u w:val="none"/>
                <w:lang w:val="en-US" w:eastAsia="zh-CN" w:bidi="ar"/>
              </w:rPr>
              <w:t>等≥3个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190" w:type="dxa"/>
            <w:vMerge w:val="continue"/>
            <w:tcBorders>
              <w:tl2br w:val="nil"/>
              <w:tr2bl w:val="nil"/>
            </w:tcBorders>
            <w:shd w:val="clear" w:color="auto" w:fill="auto"/>
            <w:vAlign w:val="center"/>
          </w:tcPr>
          <w:p>
            <w:pPr>
              <w:jc w:val="center"/>
              <w:rPr>
                <w:rFonts w:hint="default" w:ascii="报宋" w:hAnsi="报宋" w:eastAsia="报宋" w:cs="报宋"/>
                <w:i w:val="0"/>
                <w:iCs w:val="0"/>
                <w:color w:val="0A0A0A"/>
                <w:sz w:val="20"/>
                <w:szCs w:val="20"/>
                <w:u w:val="none"/>
              </w:rPr>
            </w:pPr>
          </w:p>
        </w:tc>
        <w:tc>
          <w:tcPr>
            <w:tcW w:w="1940" w:type="dxa"/>
            <w:vMerge w:val="continue"/>
            <w:tcBorders>
              <w:tl2br w:val="nil"/>
              <w:tr2bl w:val="nil"/>
            </w:tcBorders>
            <w:shd w:val="clear" w:color="auto" w:fill="auto"/>
            <w:vAlign w:val="center"/>
          </w:tcPr>
          <w:p>
            <w:pPr>
              <w:jc w:val="center"/>
              <w:rPr>
                <w:rFonts w:hint="default" w:ascii="报宋" w:hAnsi="报宋" w:eastAsia="报宋" w:cs="报宋"/>
                <w:i w:val="0"/>
                <w:iCs w:val="0"/>
                <w:color w:val="0A0A0A"/>
                <w:sz w:val="20"/>
                <w:szCs w:val="20"/>
                <w:u w:val="none"/>
              </w:rPr>
            </w:pPr>
          </w:p>
        </w:tc>
        <w:tc>
          <w:tcPr>
            <w:tcW w:w="235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资助困难学生</w:t>
            </w:r>
          </w:p>
        </w:tc>
        <w:tc>
          <w:tcPr>
            <w:tcW w:w="18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≥300人</w:t>
            </w:r>
          </w:p>
        </w:tc>
        <w:tc>
          <w:tcPr>
            <w:tcW w:w="175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资助困难学</w:t>
            </w:r>
            <w:r>
              <w:rPr>
                <w:rFonts w:hint="default" w:ascii="报宋" w:hAnsi="报宋" w:eastAsia="报宋" w:cs="报宋"/>
                <w:i w:val="0"/>
                <w:iCs w:val="0"/>
                <w:color w:val="0A0A0A"/>
                <w:kern w:val="0"/>
                <w:sz w:val="20"/>
                <w:szCs w:val="20"/>
                <w:u w:val="none"/>
                <w:lang w:val="en-US" w:eastAsia="zh-CN" w:bidi="ar"/>
              </w:rPr>
              <w:br w:type="textWrapping"/>
            </w:r>
            <w:r>
              <w:rPr>
                <w:rFonts w:hint="default" w:ascii="报宋" w:hAnsi="报宋" w:eastAsia="报宋" w:cs="报宋"/>
                <w:i w:val="0"/>
                <w:iCs w:val="0"/>
                <w:color w:val="0A0A0A"/>
                <w:kern w:val="0"/>
                <w:sz w:val="20"/>
                <w:szCs w:val="20"/>
                <w:u w:val="none"/>
                <w:lang w:val="en-US" w:eastAsia="zh-CN" w:bidi="ar"/>
              </w:rPr>
              <w:t>生≥300</w:t>
            </w:r>
            <w:r>
              <w:rPr>
                <w:rFonts w:hint="default" w:ascii="报宋" w:hAnsi="报宋" w:eastAsia="报宋" w:cs="报宋"/>
                <w:i w:val="0"/>
                <w:iCs w:val="0"/>
                <w:color w:val="0A0A0A"/>
                <w:kern w:val="0"/>
                <w:sz w:val="20"/>
                <w:szCs w:val="20"/>
                <w:u w:val="none"/>
                <w:lang w:val="en-US" w:eastAsia="zh-CN" w:bidi="ar"/>
              </w:rPr>
              <w:br w:type="textWrapping"/>
            </w:r>
            <w:r>
              <w:rPr>
                <w:rFonts w:hint="default" w:ascii="报宋" w:hAnsi="报宋" w:eastAsia="报宋" w:cs="报宋"/>
                <w:i w:val="0"/>
                <w:iCs w:val="0"/>
                <w:color w:val="0A0A0A"/>
                <w:kern w:val="0"/>
                <w:sz w:val="20"/>
                <w:szCs w:val="20"/>
                <w:u w:val="none"/>
                <w:lang w:val="en-US" w:eastAsia="zh-CN" w:bidi="ar"/>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0" w:hRule="atLeast"/>
        </w:trPr>
        <w:tc>
          <w:tcPr>
            <w:tcW w:w="1190" w:type="dxa"/>
            <w:vMerge w:val="continue"/>
            <w:tcBorders>
              <w:tl2br w:val="nil"/>
              <w:tr2bl w:val="nil"/>
            </w:tcBorders>
            <w:shd w:val="clear" w:color="auto" w:fill="auto"/>
            <w:vAlign w:val="center"/>
          </w:tcPr>
          <w:p>
            <w:pPr>
              <w:jc w:val="center"/>
              <w:rPr>
                <w:rFonts w:hint="default" w:ascii="报宋" w:hAnsi="报宋" w:eastAsia="报宋" w:cs="报宋"/>
                <w:i w:val="0"/>
                <w:iCs w:val="0"/>
                <w:color w:val="0A0A0A"/>
                <w:sz w:val="20"/>
                <w:szCs w:val="20"/>
                <w:u w:val="none"/>
              </w:rPr>
            </w:pPr>
          </w:p>
        </w:tc>
        <w:tc>
          <w:tcPr>
            <w:tcW w:w="1940" w:type="dxa"/>
            <w:vMerge w:val="continue"/>
            <w:tcBorders>
              <w:tl2br w:val="nil"/>
              <w:tr2bl w:val="nil"/>
            </w:tcBorders>
            <w:shd w:val="clear" w:color="auto" w:fill="auto"/>
            <w:vAlign w:val="center"/>
          </w:tcPr>
          <w:p>
            <w:pPr>
              <w:jc w:val="center"/>
              <w:rPr>
                <w:rFonts w:hint="default" w:ascii="报宋" w:hAnsi="报宋" w:eastAsia="报宋" w:cs="报宋"/>
                <w:i w:val="0"/>
                <w:iCs w:val="0"/>
                <w:color w:val="0A0A0A"/>
                <w:sz w:val="20"/>
                <w:szCs w:val="20"/>
                <w:u w:val="none"/>
              </w:rPr>
            </w:pPr>
          </w:p>
        </w:tc>
        <w:tc>
          <w:tcPr>
            <w:tcW w:w="235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学校公用经费补助</w:t>
            </w:r>
          </w:p>
        </w:tc>
        <w:tc>
          <w:tcPr>
            <w:tcW w:w="18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≥14个</w:t>
            </w:r>
          </w:p>
        </w:tc>
        <w:tc>
          <w:tcPr>
            <w:tcW w:w="175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学校公用经</w:t>
            </w:r>
            <w:r>
              <w:rPr>
                <w:rFonts w:hint="default" w:ascii="报宋" w:hAnsi="报宋" w:eastAsia="报宋" w:cs="报宋"/>
                <w:i w:val="0"/>
                <w:iCs w:val="0"/>
                <w:color w:val="0A0A0A"/>
                <w:kern w:val="0"/>
                <w:sz w:val="20"/>
                <w:szCs w:val="20"/>
                <w:u w:val="none"/>
                <w:lang w:val="en-US" w:eastAsia="zh-CN" w:bidi="ar"/>
              </w:rPr>
              <w:br w:type="textWrapping"/>
            </w:r>
            <w:r>
              <w:rPr>
                <w:rFonts w:hint="default" w:ascii="报宋" w:hAnsi="报宋" w:eastAsia="报宋" w:cs="报宋"/>
                <w:i w:val="0"/>
                <w:iCs w:val="0"/>
                <w:color w:val="0A0A0A"/>
                <w:kern w:val="0"/>
                <w:sz w:val="20"/>
                <w:szCs w:val="20"/>
                <w:u w:val="none"/>
                <w:lang w:val="en-US" w:eastAsia="zh-CN" w:bidi="ar"/>
              </w:rPr>
              <w:t>费补助</w:t>
            </w:r>
            <w:r>
              <w:rPr>
                <w:rFonts w:hint="default" w:ascii="报宋" w:hAnsi="报宋" w:eastAsia="报宋" w:cs="报宋"/>
                <w:i w:val="0"/>
                <w:iCs w:val="0"/>
                <w:color w:val="0A0A0A"/>
                <w:kern w:val="0"/>
                <w:sz w:val="20"/>
                <w:szCs w:val="20"/>
                <w:u w:val="none"/>
                <w:lang w:val="en-US" w:eastAsia="zh-CN" w:bidi="ar"/>
              </w:rPr>
              <w:br w:type="textWrapping"/>
            </w:r>
            <w:r>
              <w:rPr>
                <w:rFonts w:hint="default" w:ascii="报宋" w:hAnsi="报宋" w:eastAsia="报宋" w:cs="报宋"/>
                <w:i w:val="0"/>
                <w:iCs w:val="0"/>
                <w:color w:val="0A0A0A"/>
                <w:kern w:val="0"/>
                <w:sz w:val="20"/>
                <w:szCs w:val="20"/>
                <w:u w:val="none"/>
                <w:lang w:val="en-US" w:eastAsia="zh-CN" w:bidi="ar"/>
              </w:rPr>
              <w:t>≥14个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1190" w:type="dxa"/>
            <w:vMerge w:val="continue"/>
            <w:tcBorders>
              <w:tl2br w:val="nil"/>
              <w:tr2bl w:val="nil"/>
            </w:tcBorders>
            <w:shd w:val="clear" w:color="auto" w:fill="auto"/>
            <w:vAlign w:val="center"/>
          </w:tcPr>
          <w:p>
            <w:pPr>
              <w:jc w:val="center"/>
              <w:rPr>
                <w:rFonts w:hint="default" w:ascii="报宋" w:hAnsi="报宋" w:eastAsia="报宋" w:cs="报宋"/>
                <w:i w:val="0"/>
                <w:iCs w:val="0"/>
                <w:color w:val="0A0A0A"/>
                <w:sz w:val="20"/>
                <w:szCs w:val="20"/>
                <w:u w:val="none"/>
              </w:rPr>
            </w:pPr>
          </w:p>
        </w:tc>
        <w:tc>
          <w:tcPr>
            <w:tcW w:w="194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质量指标</w:t>
            </w:r>
          </w:p>
        </w:tc>
        <w:tc>
          <w:tcPr>
            <w:tcW w:w="235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维修完成率</w:t>
            </w:r>
          </w:p>
        </w:tc>
        <w:tc>
          <w:tcPr>
            <w:tcW w:w="18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≤100%</w:t>
            </w:r>
          </w:p>
        </w:tc>
        <w:tc>
          <w:tcPr>
            <w:tcW w:w="175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维修完成率</w:t>
            </w:r>
            <w:r>
              <w:rPr>
                <w:rFonts w:hint="default" w:ascii="报宋" w:hAnsi="报宋" w:eastAsia="报宋" w:cs="报宋"/>
                <w:i w:val="0"/>
                <w:iCs w:val="0"/>
                <w:color w:val="0A0A0A"/>
                <w:kern w:val="0"/>
                <w:sz w:val="20"/>
                <w:szCs w:val="20"/>
                <w:u w:val="none"/>
                <w:lang w:val="en-US" w:eastAsia="zh-CN" w:bidi="ar"/>
              </w:rPr>
              <w:br w:type="textWrapping"/>
            </w:r>
            <w:r>
              <w:rPr>
                <w:rFonts w:hint="default" w:ascii="报宋" w:hAnsi="报宋" w:eastAsia="报宋" w:cs="报宋"/>
                <w:i w:val="0"/>
                <w:iCs w:val="0"/>
                <w:color w:val="0A0A0A"/>
                <w:kern w:val="0"/>
                <w:sz w:val="20"/>
                <w:szCs w:val="20"/>
                <w:u w:val="none"/>
                <w:lang w:val="en-US" w:eastAsia="zh-CN"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190" w:type="dxa"/>
            <w:vMerge w:val="continue"/>
            <w:tcBorders>
              <w:tl2br w:val="nil"/>
              <w:tr2bl w:val="nil"/>
            </w:tcBorders>
            <w:shd w:val="clear" w:color="auto" w:fill="auto"/>
            <w:vAlign w:val="center"/>
          </w:tcPr>
          <w:p>
            <w:pPr>
              <w:jc w:val="center"/>
              <w:rPr>
                <w:rFonts w:hint="default" w:ascii="报宋" w:hAnsi="报宋" w:eastAsia="报宋" w:cs="报宋"/>
                <w:i w:val="0"/>
                <w:iCs w:val="0"/>
                <w:color w:val="0A0A0A"/>
                <w:sz w:val="20"/>
                <w:szCs w:val="20"/>
                <w:u w:val="none"/>
              </w:rPr>
            </w:pPr>
          </w:p>
        </w:tc>
        <w:tc>
          <w:tcPr>
            <w:tcW w:w="1940" w:type="dxa"/>
            <w:vMerge w:val="continue"/>
            <w:tcBorders>
              <w:tl2br w:val="nil"/>
              <w:tr2bl w:val="nil"/>
            </w:tcBorders>
            <w:shd w:val="clear" w:color="auto" w:fill="auto"/>
            <w:vAlign w:val="center"/>
          </w:tcPr>
          <w:p>
            <w:pPr>
              <w:jc w:val="center"/>
              <w:rPr>
                <w:rFonts w:hint="default" w:ascii="报宋" w:hAnsi="报宋" w:eastAsia="报宋" w:cs="报宋"/>
                <w:i w:val="0"/>
                <w:iCs w:val="0"/>
                <w:color w:val="0A0A0A"/>
                <w:sz w:val="20"/>
                <w:szCs w:val="20"/>
                <w:u w:val="none"/>
              </w:rPr>
            </w:pPr>
          </w:p>
        </w:tc>
        <w:tc>
          <w:tcPr>
            <w:tcW w:w="235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公用经费发放率</w:t>
            </w:r>
          </w:p>
        </w:tc>
        <w:tc>
          <w:tcPr>
            <w:tcW w:w="18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100%</w:t>
            </w:r>
          </w:p>
        </w:tc>
        <w:tc>
          <w:tcPr>
            <w:tcW w:w="175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公用经费发</w:t>
            </w:r>
            <w:r>
              <w:rPr>
                <w:rFonts w:hint="default" w:ascii="报宋" w:hAnsi="报宋" w:eastAsia="报宋" w:cs="报宋"/>
                <w:i w:val="0"/>
                <w:iCs w:val="0"/>
                <w:color w:val="0A0A0A"/>
                <w:kern w:val="0"/>
                <w:sz w:val="20"/>
                <w:szCs w:val="20"/>
                <w:u w:val="none"/>
                <w:lang w:val="en-US" w:eastAsia="zh-CN" w:bidi="ar"/>
              </w:rPr>
              <w:br w:type="textWrapping"/>
            </w:r>
            <w:r>
              <w:rPr>
                <w:rFonts w:hint="default" w:ascii="报宋" w:hAnsi="报宋" w:eastAsia="报宋" w:cs="报宋"/>
                <w:i w:val="0"/>
                <w:iCs w:val="0"/>
                <w:color w:val="0A0A0A"/>
                <w:kern w:val="0"/>
                <w:sz w:val="20"/>
                <w:szCs w:val="20"/>
                <w:u w:val="none"/>
                <w:lang w:val="en-US" w:eastAsia="zh-CN" w:bidi="ar"/>
              </w:rPr>
              <w:t>放率≥100 %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1190" w:type="dxa"/>
            <w:vMerge w:val="continue"/>
            <w:tcBorders>
              <w:tl2br w:val="nil"/>
              <w:tr2bl w:val="nil"/>
            </w:tcBorders>
            <w:shd w:val="clear" w:color="auto" w:fill="auto"/>
            <w:vAlign w:val="center"/>
          </w:tcPr>
          <w:p>
            <w:pPr>
              <w:jc w:val="center"/>
              <w:rPr>
                <w:rFonts w:hint="default" w:ascii="报宋" w:hAnsi="报宋" w:eastAsia="报宋" w:cs="报宋"/>
                <w:i w:val="0"/>
                <w:iCs w:val="0"/>
                <w:color w:val="0A0A0A"/>
                <w:sz w:val="20"/>
                <w:szCs w:val="20"/>
                <w:u w:val="none"/>
              </w:rPr>
            </w:pPr>
          </w:p>
        </w:tc>
        <w:tc>
          <w:tcPr>
            <w:tcW w:w="1940" w:type="dxa"/>
            <w:vMerge w:val="continue"/>
            <w:tcBorders>
              <w:tl2br w:val="nil"/>
              <w:tr2bl w:val="nil"/>
            </w:tcBorders>
            <w:shd w:val="clear" w:color="auto" w:fill="auto"/>
            <w:vAlign w:val="center"/>
          </w:tcPr>
          <w:p>
            <w:pPr>
              <w:jc w:val="center"/>
              <w:rPr>
                <w:rFonts w:hint="default" w:ascii="报宋" w:hAnsi="报宋" w:eastAsia="报宋" w:cs="报宋"/>
                <w:i w:val="0"/>
                <w:iCs w:val="0"/>
                <w:color w:val="0A0A0A"/>
                <w:sz w:val="20"/>
                <w:szCs w:val="20"/>
                <w:u w:val="none"/>
              </w:rPr>
            </w:pPr>
          </w:p>
        </w:tc>
        <w:tc>
          <w:tcPr>
            <w:tcW w:w="235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在籍在校学生补助</w:t>
            </w:r>
          </w:p>
        </w:tc>
        <w:tc>
          <w:tcPr>
            <w:tcW w:w="18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应助尽助</w:t>
            </w:r>
          </w:p>
        </w:tc>
        <w:tc>
          <w:tcPr>
            <w:tcW w:w="175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在籍在校学</w:t>
            </w:r>
            <w:r>
              <w:rPr>
                <w:rFonts w:hint="default" w:ascii="报宋" w:hAnsi="报宋" w:eastAsia="报宋" w:cs="报宋"/>
                <w:i w:val="0"/>
                <w:iCs w:val="0"/>
                <w:color w:val="0A0A0A"/>
                <w:kern w:val="0"/>
                <w:sz w:val="20"/>
                <w:szCs w:val="20"/>
                <w:u w:val="none"/>
                <w:lang w:val="en-US" w:eastAsia="zh-CN" w:bidi="ar"/>
              </w:rPr>
              <w:br w:type="textWrapping"/>
            </w:r>
            <w:r>
              <w:rPr>
                <w:rFonts w:hint="default" w:ascii="报宋" w:hAnsi="报宋" w:eastAsia="报宋" w:cs="报宋"/>
                <w:i w:val="0"/>
                <w:iCs w:val="0"/>
                <w:color w:val="0A0A0A"/>
                <w:kern w:val="0"/>
                <w:sz w:val="20"/>
                <w:szCs w:val="20"/>
                <w:u w:val="none"/>
                <w:lang w:val="en-US" w:eastAsia="zh-CN" w:bidi="ar"/>
              </w:rPr>
              <w:t>生补助</w:t>
            </w:r>
            <w:r>
              <w:rPr>
                <w:rFonts w:hint="eastAsia" w:ascii="报宋" w:hAnsi="报宋" w:eastAsia="报宋" w:cs="报宋"/>
                <w:i w:val="0"/>
                <w:iCs w:val="0"/>
                <w:color w:val="0A0A0A"/>
                <w:kern w:val="0"/>
                <w:sz w:val="20"/>
                <w:szCs w:val="20"/>
                <w:u w:val="none"/>
                <w:lang w:val="en-US" w:eastAsia="zh-CN" w:bidi="ar"/>
              </w:rPr>
              <w:t xml:space="preserve"> </w:t>
            </w:r>
            <w:r>
              <w:rPr>
                <w:rFonts w:hint="default" w:ascii="报宋" w:hAnsi="报宋" w:eastAsia="报宋" w:cs="报宋"/>
                <w:i w:val="0"/>
                <w:iCs w:val="0"/>
                <w:color w:val="0A0A0A"/>
                <w:kern w:val="0"/>
                <w:sz w:val="20"/>
                <w:szCs w:val="20"/>
                <w:u w:val="none"/>
                <w:lang w:val="en-US" w:eastAsia="zh-CN" w:bidi="ar"/>
              </w:rPr>
              <w:t>定性</w:t>
            </w:r>
            <w:r>
              <w:rPr>
                <w:rFonts w:hint="default" w:ascii="报宋" w:hAnsi="报宋" w:eastAsia="报宋" w:cs="报宋"/>
                <w:i w:val="0"/>
                <w:iCs w:val="0"/>
                <w:color w:val="0A0A0A"/>
                <w:kern w:val="0"/>
                <w:sz w:val="20"/>
                <w:szCs w:val="20"/>
                <w:u w:val="none"/>
                <w:lang w:val="en-US" w:eastAsia="zh-CN" w:bidi="ar"/>
              </w:rPr>
              <w:br w:type="textWrapping"/>
            </w:r>
            <w:r>
              <w:rPr>
                <w:rFonts w:hint="default" w:ascii="报宋" w:hAnsi="报宋" w:eastAsia="报宋" w:cs="报宋"/>
                <w:i w:val="0"/>
                <w:iCs w:val="0"/>
                <w:color w:val="0A0A0A"/>
                <w:kern w:val="0"/>
                <w:sz w:val="20"/>
                <w:szCs w:val="20"/>
                <w:u w:val="none"/>
                <w:lang w:val="en-US" w:eastAsia="zh-CN" w:bidi="ar"/>
              </w:rPr>
              <w:t>应助尽助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1190" w:type="dxa"/>
            <w:vMerge w:val="continue"/>
            <w:tcBorders>
              <w:tl2br w:val="nil"/>
              <w:tr2bl w:val="nil"/>
            </w:tcBorders>
            <w:shd w:val="clear" w:color="auto" w:fill="auto"/>
            <w:vAlign w:val="center"/>
          </w:tcPr>
          <w:p>
            <w:pPr>
              <w:jc w:val="center"/>
              <w:rPr>
                <w:rFonts w:hint="default" w:ascii="报宋" w:hAnsi="报宋" w:eastAsia="报宋" w:cs="报宋"/>
                <w:i w:val="0"/>
                <w:iCs w:val="0"/>
                <w:color w:val="0A0A0A"/>
                <w:sz w:val="20"/>
                <w:szCs w:val="20"/>
                <w:u w:val="none"/>
              </w:rPr>
            </w:pPr>
          </w:p>
        </w:tc>
        <w:tc>
          <w:tcPr>
            <w:tcW w:w="19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时效指标</w:t>
            </w:r>
          </w:p>
        </w:tc>
        <w:tc>
          <w:tcPr>
            <w:tcW w:w="235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资金拨付及时性</w:t>
            </w:r>
          </w:p>
        </w:tc>
        <w:tc>
          <w:tcPr>
            <w:tcW w:w="18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及时</w:t>
            </w:r>
          </w:p>
        </w:tc>
        <w:tc>
          <w:tcPr>
            <w:tcW w:w="175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资金拨付及</w:t>
            </w:r>
            <w:r>
              <w:rPr>
                <w:rFonts w:hint="default" w:ascii="报宋" w:hAnsi="报宋" w:eastAsia="报宋" w:cs="报宋"/>
                <w:i w:val="0"/>
                <w:iCs w:val="0"/>
                <w:color w:val="0A0A0A"/>
                <w:kern w:val="0"/>
                <w:sz w:val="20"/>
                <w:szCs w:val="20"/>
                <w:u w:val="none"/>
                <w:lang w:val="en-US" w:eastAsia="zh-CN" w:bidi="ar"/>
              </w:rPr>
              <w:br w:type="textWrapping"/>
            </w:r>
            <w:r>
              <w:rPr>
                <w:rFonts w:hint="default" w:ascii="报宋" w:hAnsi="报宋" w:eastAsia="报宋" w:cs="报宋"/>
                <w:i w:val="0"/>
                <w:iCs w:val="0"/>
                <w:color w:val="0A0A0A"/>
                <w:kern w:val="0"/>
                <w:sz w:val="20"/>
                <w:szCs w:val="20"/>
                <w:u w:val="none"/>
                <w:lang w:val="en-US" w:eastAsia="zh-CN" w:bidi="ar"/>
              </w:rPr>
              <w:t>时性  定性及时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19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效益指标</w:t>
            </w:r>
          </w:p>
        </w:tc>
        <w:tc>
          <w:tcPr>
            <w:tcW w:w="19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经济效益指标</w:t>
            </w:r>
          </w:p>
        </w:tc>
        <w:tc>
          <w:tcPr>
            <w:tcW w:w="0" w:type="auto"/>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50" w:type="dxa"/>
            <w:tcBorders>
              <w:tl2br w:val="nil"/>
              <w:tr2bl w:val="nil"/>
            </w:tcBorders>
            <w:shd w:val="clear" w:color="auto" w:fill="auto"/>
            <w:vAlign w:val="center"/>
          </w:tcPr>
          <w:p>
            <w:pPr>
              <w:jc w:val="center"/>
              <w:rPr>
                <w:rFonts w:hint="default" w:ascii="报宋" w:hAnsi="报宋" w:eastAsia="报宋" w:cs="报宋"/>
                <w:i w:val="0"/>
                <w:iCs w:val="0"/>
                <w:color w:val="0A0A0A"/>
                <w:sz w:val="20"/>
                <w:szCs w:val="20"/>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190" w:type="dxa"/>
            <w:vMerge w:val="continue"/>
            <w:tcBorders>
              <w:tl2br w:val="nil"/>
              <w:tr2bl w:val="nil"/>
            </w:tcBorders>
            <w:shd w:val="clear" w:color="auto" w:fill="auto"/>
            <w:vAlign w:val="center"/>
          </w:tcPr>
          <w:p>
            <w:pPr>
              <w:jc w:val="center"/>
              <w:rPr>
                <w:rFonts w:hint="default" w:ascii="报宋" w:hAnsi="报宋" w:eastAsia="报宋" w:cs="报宋"/>
                <w:i w:val="0"/>
                <w:iCs w:val="0"/>
                <w:color w:val="0A0A0A"/>
                <w:sz w:val="20"/>
                <w:szCs w:val="20"/>
                <w:u w:val="none"/>
              </w:rPr>
            </w:pPr>
          </w:p>
        </w:tc>
        <w:tc>
          <w:tcPr>
            <w:tcW w:w="194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社会效益指标</w:t>
            </w:r>
          </w:p>
        </w:tc>
        <w:tc>
          <w:tcPr>
            <w:tcW w:w="235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改善学校办学条件</w:t>
            </w:r>
          </w:p>
        </w:tc>
        <w:tc>
          <w:tcPr>
            <w:tcW w:w="18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改善</w:t>
            </w:r>
          </w:p>
        </w:tc>
        <w:tc>
          <w:tcPr>
            <w:tcW w:w="175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改善学校办</w:t>
            </w:r>
            <w:r>
              <w:rPr>
                <w:rFonts w:hint="default" w:ascii="报宋" w:hAnsi="报宋" w:eastAsia="报宋" w:cs="报宋"/>
                <w:i w:val="0"/>
                <w:iCs w:val="0"/>
                <w:color w:val="0A0A0A"/>
                <w:kern w:val="0"/>
                <w:sz w:val="20"/>
                <w:szCs w:val="20"/>
                <w:u w:val="none"/>
                <w:lang w:val="en-US" w:eastAsia="zh-CN" w:bidi="ar"/>
              </w:rPr>
              <w:br w:type="textWrapping"/>
            </w:r>
            <w:r>
              <w:rPr>
                <w:rFonts w:hint="default" w:ascii="报宋" w:hAnsi="报宋" w:eastAsia="报宋" w:cs="报宋"/>
                <w:i w:val="0"/>
                <w:iCs w:val="0"/>
                <w:color w:val="0A0A0A"/>
                <w:kern w:val="0"/>
                <w:sz w:val="20"/>
                <w:szCs w:val="20"/>
                <w:u w:val="none"/>
                <w:lang w:val="en-US" w:eastAsia="zh-CN" w:bidi="ar"/>
              </w:rPr>
              <w:t>学条件 定性改善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1190" w:type="dxa"/>
            <w:vMerge w:val="continue"/>
            <w:tcBorders>
              <w:tl2br w:val="nil"/>
              <w:tr2bl w:val="nil"/>
            </w:tcBorders>
            <w:shd w:val="clear" w:color="auto" w:fill="auto"/>
            <w:vAlign w:val="center"/>
          </w:tcPr>
          <w:p>
            <w:pPr>
              <w:jc w:val="center"/>
              <w:rPr>
                <w:rFonts w:hint="default" w:ascii="报宋" w:hAnsi="报宋" w:eastAsia="报宋" w:cs="报宋"/>
                <w:i w:val="0"/>
                <w:iCs w:val="0"/>
                <w:color w:val="0A0A0A"/>
                <w:sz w:val="20"/>
                <w:szCs w:val="20"/>
                <w:u w:val="none"/>
              </w:rPr>
            </w:pPr>
          </w:p>
        </w:tc>
        <w:tc>
          <w:tcPr>
            <w:tcW w:w="1940" w:type="dxa"/>
            <w:vMerge w:val="continue"/>
            <w:tcBorders>
              <w:tl2br w:val="nil"/>
              <w:tr2bl w:val="nil"/>
            </w:tcBorders>
            <w:shd w:val="clear" w:color="auto" w:fill="auto"/>
            <w:vAlign w:val="center"/>
          </w:tcPr>
          <w:p>
            <w:pPr>
              <w:jc w:val="center"/>
              <w:rPr>
                <w:rFonts w:hint="default" w:ascii="报宋" w:hAnsi="报宋" w:eastAsia="报宋" w:cs="报宋"/>
                <w:i w:val="0"/>
                <w:iCs w:val="0"/>
                <w:color w:val="0A0A0A"/>
                <w:sz w:val="20"/>
                <w:szCs w:val="20"/>
                <w:u w:val="none"/>
              </w:rPr>
            </w:pPr>
          </w:p>
        </w:tc>
        <w:tc>
          <w:tcPr>
            <w:tcW w:w="235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提升贫困家庭学生生活水平</w:t>
            </w:r>
          </w:p>
        </w:tc>
        <w:tc>
          <w:tcPr>
            <w:tcW w:w="18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提高</w:t>
            </w:r>
          </w:p>
        </w:tc>
        <w:tc>
          <w:tcPr>
            <w:tcW w:w="175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提升贫困家庭学生生活水平 定性</w:t>
            </w:r>
            <w:r>
              <w:rPr>
                <w:rFonts w:hint="default" w:ascii="报宋" w:hAnsi="报宋" w:eastAsia="报宋" w:cs="报宋"/>
                <w:i w:val="0"/>
                <w:iCs w:val="0"/>
                <w:color w:val="0A0A0A"/>
                <w:kern w:val="0"/>
                <w:sz w:val="20"/>
                <w:szCs w:val="20"/>
                <w:u w:val="none"/>
                <w:lang w:val="en-US" w:eastAsia="zh-CN" w:bidi="ar"/>
              </w:rPr>
              <w:br w:type="textWrapping"/>
            </w:r>
            <w:r>
              <w:rPr>
                <w:rFonts w:hint="default" w:ascii="报宋" w:hAnsi="报宋" w:eastAsia="报宋" w:cs="报宋"/>
                <w:i w:val="0"/>
                <w:iCs w:val="0"/>
                <w:color w:val="0A0A0A"/>
                <w:kern w:val="0"/>
                <w:sz w:val="20"/>
                <w:szCs w:val="20"/>
                <w:u w:val="none"/>
                <w:lang w:val="en-US" w:eastAsia="zh-CN" w:bidi="ar"/>
              </w:rPr>
              <w:t>提高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1190" w:type="dxa"/>
            <w:vMerge w:val="continue"/>
            <w:tcBorders>
              <w:tl2br w:val="nil"/>
              <w:tr2bl w:val="nil"/>
            </w:tcBorders>
            <w:shd w:val="clear" w:color="auto" w:fill="auto"/>
            <w:vAlign w:val="center"/>
          </w:tcPr>
          <w:p>
            <w:pPr>
              <w:jc w:val="center"/>
              <w:rPr>
                <w:rFonts w:hint="default" w:ascii="报宋" w:hAnsi="报宋" w:eastAsia="报宋" w:cs="报宋"/>
                <w:i w:val="0"/>
                <w:iCs w:val="0"/>
                <w:color w:val="0A0A0A"/>
                <w:sz w:val="20"/>
                <w:szCs w:val="20"/>
                <w:u w:val="none"/>
              </w:rPr>
            </w:pPr>
          </w:p>
        </w:tc>
        <w:tc>
          <w:tcPr>
            <w:tcW w:w="19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生态效益指标</w:t>
            </w:r>
          </w:p>
        </w:tc>
        <w:tc>
          <w:tcPr>
            <w:tcW w:w="0" w:type="auto"/>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l2br w:val="nil"/>
              <w:tr2bl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9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满意度指标</w:t>
            </w:r>
          </w:p>
        </w:tc>
        <w:tc>
          <w:tcPr>
            <w:tcW w:w="194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服务对象满意度指标</w:t>
            </w:r>
          </w:p>
        </w:tc>
        <w:tc>
          <w:tcPr>
            <w:tcW w:w="235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学生满意度</w:t>
            </w:r>
          </w:p>
        </w:tc>
        <w:tc>
          <w:tcPr>
            <w:tcW w:w="186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≥98%</w:t>
            </w:r>
          </w:p>
        </w:tc>
        <w:tc>
          <w:tcPr>
            <w:tcW w:w="1750" w:type="dxa"/>
            <w:tcBorders>
              <w:tl2br w:val="nil"/>
              <w:tr2bl w:val="nil"/>
            </w:tcBorders>
            <w:shd w:val="clear" w:color="auto" w:fill="auto"/>
            <w:vAlign w:val="center"/>
          </w:tcPr>
          <w:p>
            <w:pPr>
              <w:keepNext w:val="0"/>
              <w:keepLines w:val="0"/>
              <w:widowControl/>
              <w:suppressLineNumbers w:val="0"/>
              <w:jc w:val="center"/>
              <w:textAlignment w:val="center"/>
              <w:rPr>
                <w:rFonts w:hint="default" w:ascii="报宋" w:hAnsi="报宋" w:eastAsia="报宋" w:cs="报宋"/>
                <w:i w:val="0"/>
                <w:iCs w:val="0"/>
                <w:color w:val="0A0A0A"/>
                <w:sz w:val="20"/>
                <w:szCs w:val="20"/>
                <w:u w:val="none"/>
              </w:rPr>
            </w:pPr>
            <w:r>
              <w:rPr>
                <w:rFonts w:hint="default" w:ascii="报宋" w:hAnsi="报宋" w:eastAsia="报宋" w:cs="报宋"/>
                <w:i w:val="0"/>
                <w:iCs w:val="0"/>
                <w:color w:val="0A0A0A"/>
                <w:kern w:val="0"/>
                <w:sz w:val="20"/>
                <w:szCs w:val="20"/>
                <w:u w:val="none"/>
                <w:lang w:val="en-US" w:eastAsia="zh-CN" w:bidi="ar"/>
              </w:rPr>
              <w:t>学生满意度</w:t>
            </w:r>
            <w:r>
              <w:rPr>
                <w:rFonts w:hint="default" w:ascii="报宋" w:hAnsi="报宋" w:eastAsia="报宋" w:cs="报宋"/>
                <w:i w:val="0"/>
                <w:iCs w:val="0"/>
                <w:color w:val="0A0A0A"/>
                <w:kern w:val="0"/>
                <w:sz w:val="20"/>
                <w:szCs w:val="20"/>
                <w:u w:val="none"/>
                <w:lang w:val="en-US" w:eastAsia="zh-CN" w:bidi="ar"/>
              </w:rPr>
              <w:br w:type="textWrapping"/>
            </w:r>
            <w:r>
              <w:rPr>
                <w:rFonts w:hint="default" w:ascii="报宋" w:hAnsi="报宋" w:eastAsia="报宋" w:cs="报宋"/>
                <w:i w:val="0"/>
                <w:iCs w:val="0"/>
                <w:color w:val="0A0A0A"/>
                <w:kern w:val="0"/>
                <w:sz w:val="20"/>
                <w:szCs w:val="20"/>
                <w:u w:val="none"/>
                <w:lang w:val="en-US" w:eastAsia="zh-CN" w:bidi="ar"/>
              </w:rPr>
              <w:t>≥98%</w:t>
            </w:r>
          </w:p>
        </w:tc>
      </w:tr>
    </w:tbl>
    <w:p>
      <w:pPr>
        <w:pStyle w:val="5"/>
        <w:rPr>
          <w:rFonts w:hint="eastAsia"/>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4"/>
        <w:keepNext/>
        <w:keepLines/>
        <w:pageBreakBefore w:val="0"/>
        <w:widowControl w:val="0"/>
        <w:kinsoku/>
        <w:wordWrap/>
        <w:overflowPunct/>
        <w:topLinePunct w:val="0"/>
        <w:autoSpaceDE/>
        <w:autoSpaceDN/>
        <w:bidi w:val="0"/>
        <w:adjustRightInd/>
        <w:snapToGrid/>
        <w:spacing w:before="0"/>
        <w:textAlignment w:val="auto"/>
        <w:outlineLvl w:val="0"/>
        <w:rPr>
          <w:rFonts w:hint="eastAsia" w:ascii="仿宋" w:hAnsi="仿宋" w:eastAsia="仿宋" w:cs="仿宋"/>
          <w:sz w:val="30"/>
          <w:szCs w:val="30"/>
          <w:lang w:eastAsia="zh-CN"/>
        </w:rPr>
      </w:pPr>
      <w:bookmarkStart w:id="85" w:name="_Toc3792"/>
      <w:r>
        <w:rPr>
          <w:rFonts w:hint="eastAsia" w:ascii="仿宋" w:hAnsi="仿宋" w:eastAsia="仿宋" w:cs="仿宋"/>
          <w:sz w:val="30"/>
          <w:szCs w:val="30"/>
        </w:rPr>
        <w:t>附件-</w:t>
      </w:r>
      <w:r>
        <w:rPr>
          <w:rFonts w:hint="eastAsia" w:ascii="仿宋" w:hAnsi="仿宋" w:eastAsia="仿宋" w:cs="仿宋"/>
          <w:sz w:val="30"/>
          <w:szCs w:val="30"/>
          <w:lang w:val="en-US" w:eastAsia="zh-CN"/>
        </w:rPr>
        <w:t>5：项目问卷调查表</w:t>
      </w:r>
      <w:bookmarkEnd w:id="85"/>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Times New Roman"/>
          <w:sz w:val="44"/>
          <w:szCs w:val="44"/>
        </w:rPr>
      </w:pPr>
      <w:r>
        <w:rPr>
          <w:rFonts w:hint="eastAsia" w:ascii="黑体" w:hAnsi="黑体" w:eastAsia="黑体" w:cs="Times New Roman"/>
          <w:sz w:val="44"/>
          <w:szCs w:val="44"/>
          <w:lang w:eastAsia="zh-CN"/>
        </w:rPr>
        <w:t>经开区</w:t>
      </w:r>
      <w:r>
        <w:rPr>
          <w:rFonts w:hint="eastAsia" w:ascii="黑体" w:hAnsi="黑体" w:eastAsia="黑体" w:cs="Times New Roman"/>
          <w:sz w:val="44"/>
          <w:szCs w:val="44"/>
          <w:lang w:val="en-US" w:eastAsia="zh-CN"/>
        </w:rPr>
        <w:t>2022年教育专项资金</w:t>
      </w:r>
      <w:r>
        <w:rPr>
          <w:rFonts w:hint="eastAsia" w:ascii="黑体" w:hAnsi="黑体" w:eastAsia="黑体" w:cs="Times New Roman"/>
          <w:sz w:val="44"/>
          <w:szCs w:val="44"/>
        </w:rPr>
        <w:t>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Times New Roman"/>
          <w:sz w:val="44"/>
          <w:szCs w:val="44"/>
        </w:rPr>
      </w:pPr>
      <w:r>
        <w:rPr>
          <w:rFonts w:hint="eastAsia" w:ascii="黑体" w:hAnsi="黑体" w:eastAsia="黑体" w:cs="Times New Roman"/>
          <w:sz w:val="44"/>
          <w:szCs w:val="44"/>
        </w:rPr>
        <w:t>问卷调查表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Times New Roman"/>
          <w:sz w:val="44"/>
          <w:szCs w:val="4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ahoma" w:hAnsi="Tahoma" w:eastAsia="Tahoma" w:cs="Tahoma"/>
          <w:i w:val="0"/>
          <w:iCs w:val="0"/>
          <w:caps w:val="0"/>
          <w:color w:val="000000"/>
          <w:spacing w:val="0"/>
          <w:sz w:val="28"/>
          <w:szCs w:val="28"/>
          <w:shd w:val="clear" w:fill="FFFFFF"/>
        </w:rPr>
      </w:pPr>
      <w:r>
        <w:rPr>
          <w:rFonts w:hint="eastAsia" w:ascii="Tahoma" w:hAnsi="Tahoma" w:eastAsia="宋体" w:cs="Tahoma"/>
          <w:i w:val="0"/>
          <w:iCs w:val="0"/>
          <w:caps w:val="0"/>
          <w:color w:val="000000"/>
          <w:spacing w:val="0"/>
          <w:sz w:val="28"/>
          <w:szCs w:val="28"/>
          <w:shd w:val="clear" w:fill="FFFFFF"/>
          <w:lang w:val="en-US" w:eastAsia="zh-CN"/>
        </w:rPr>
        <w:t xml:space="preserve">  </w:t>
      </w:r>
      <w:r>
        <w:rPr>
          <w:rFonts w:hint="eastAsia" w:ascii="仿宋" w:hAnsi="仿宋" w:eastAsia="仿宋" w:cs="仿宋"/>
          <w:i w:val="0"/>
          <w:iCs w:val="0"/>
          <w:caps w:val="0"/>
          <w:color w:val="000000"/>
          <w:spacing w:val="0"/>
          <w:sz w:val="28"/>
          <w:szCs w:val="28"/>
          <w:shd w:val="clear" w:fill="FFFFFF"/>
          <w:lang w:val="en-US" w:eastAsia="zh-CN"/>
        </w:rPr>
        <w:t xml:space="preserve"> </w:t>
      </w:r>
      <w:r>
        <w:rPr>
          <w:rFonts w:hint="eastAsia" w:ascii="仿宋" w:hAnsi="仿宋" w:eastAsia="仿宋" w:cs="仿宋"/>
          <w:i w:val="0"/>
          <w:iCs w:val="0"/>
          <w:caps w:val="0"/>
          <w:color w:val="000000"/>
          <w:spacing w:val="0"/>
          <w:sz w:val="28"/>
          <w:szCs w:val="28"/>
          <w:shd w:val="clear" w:fill="FFFFFF"/>
        </w:rPr>
        <w:t>您好！为了解我区</w:t>
      </w:r>
      <w:r>
        <w:rPr>
          <w:rFonts w:hint="eastAsia" w:ascii="仿宋" w:hAnsi="仿宋" w:eastAsia="仿宋" w:cs="仿宋"/>
          <w:i w:val="0"/>
          <w:iCs w:val="0"/>
          <w:caps w:val="0"/>
          <w:color w:val="000000"/>
          <w:spacing w:val="0"/>
          <w:sz w:val="28"/>
          <w:szCs w:val="28"/>
          <w:shd w:val="clear" w:fill="FFFFFF"/>
          <w:lang w:eastAsia="zh-CN"/>
        </w:rPr>
        <w:t>教育专项</w:t>
      </w:r>
      <w:r>
        <w:rPr>
          <w:rFonts w:hint="eastAsia" w:ascii="仿宋" w:hAnsi="仿宋" w:eastAsia="仿宋" w:cs="仿宋"/>
          <w:i w:val="0"/>
          <w:iCs w:val="0"/>
          <w:caps w:val="0"/>
          <w:color w:val="000000"/>
          <w:spacing w:val="0"/>
          <w:sz w:val="28"/>
          <w:szCs w:val="28"/>
          <w:shd w:val="clear" w:fill="FFFFFF"/>
        </w:rPr>
        <w:t>资金使用效果，请您对</w:t>
      </w:r>
      <w:r>
        <w:rPr>
          <w:rFonts w:hint="eastAsia" w:ascii="仿宋" w:hAnsi="仿宋" w:eastAsia="仿宋" w:cs="仿宋"/>
          <w:i w:val="0"/>
          <w:iCs w:val="0"/>
          <w:caps w:val="0"/>
          <w:color w:val="000000"/>
          <w:spacing w:val="0"/>
          <w:sz w:val="28"/>
          <w:szCs w:val="28"/>
          <w:shd w:val="clear" w:fill="FFFFFF"/>
          <w:lang w:eastAsia="zh-CN"/>
        </w:rPr>
        <w:t>经开</w:t>
      </w:r>
      <w:r>
        <w:rPr>
          <w:rFonts w:hint="eastAsia" w:ascii="仿宋" w:hAnsi="仿宋" w:eastAsia="仿宋" w:cs="仿宋"/>
          <w:i w:val="0"/>
          <w:iCs w:val="0"/>
          <w:caps w:val="0"/>
          <w:color w:val="000000"/>
          <w:spacing w:val="0"/>
          <w:sz w:val="28"/>
          <w:szCs w:val="28"/>
          <w:shd w:val="clear" w:fill="FFFFFF"/>
        </w:rPr>
        <w:t>区</w:t>
      </w:r>
      <w:r>
        <w:rPr>
          <w:rFonts w:hint="eastAsia" w:ascii="仿宋" w:hAnsi="仿宋" w:eastAsia="仿宋" w:cs="仿宋"/>
          <w:i w:val="0"/>
          <w:iCs w:val="0"/>
          <w:caps w:val="0"/>
          <w:color w:val="000000"/>
          <w:spacing w:val="0"/>
          <w:sz w:val="28"/>
          <w:szCs w:val="28"/>
          <w:shd w:val="clear" w:fill="FFFFFF"/>
          <w:lang w:eastAsia="zh-CN"/>
        </w:rPr>
        <w:t>实验中学购置教学设备</w:t>
      </w:r>
      <w:r>
        <w:rPr>
          <w:rFonts w:hint="eastAsia" w:ascii="仿宋" w:hAnsi="仿宋" w:eastAsia="仿宋" w:cs="仿宋"/>
          <w:i w:val="0"/>
          <w:iCs w:val="0"/>
          <w:caps w:val="0"/>
          <w:color w:val="000000"/>
          <w:spacing w:val="0"/>
          <w:sz w:val="28"/>
          <w:szCs w:val="28"/>
          <w:shd w:val="clear" w:fill="FFFFFF"/>
        </w:rPr>
        <w:t>的满意度进行评价，请您认真填写以下问题，您的答案对我们非常重要，谢谢合作！</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ahoma" w:hAnsi="Tahoma" w:eastAsia="Tahoma" w:cs="Tahoma"/>
          <w:i w:val="0"/>
          <w:iCs w:val="0"/>
          <w:caps w:val="0"/>
          <w:color w:val="000000"/>
          <w:spacing w:val="0"/>
          <w:sz w:val="28"/>
          <w:szCs w:val="28"/>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1、请问您是经开区实验中学的职工吗？</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是                 B.不是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2、请问您认为“经开区实验中学教学设备”的采购计划是否合理？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A.非常合理         B.合理            C.不合理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3、请问您对经开区实验中学教学设备质量是否满意？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A.非常满意         B.比较满意        C.不满意  </w:t>
      </w:r>
    </w:p>
    <w:p>
      <w:pPr>
        <w:pStyle w:val="5"/>
        <w:rPr>
          <w:rFonts w:hint="eastAsia"/>
          <w:lang w:val="en-US" w:eastAsia="zh-CN"/>
        </w:rPr>
      </w:pPr>
      <w:r>
        <w:rPr>
          <w:rFonts w:hint="eastAsia"/>
          <w:lang w:val="en-US" w:eastAsia="zh-CN"/>
        </w:rPr>
        <w:t>4、请问您对</w:t>
      </w:r>
      <w:r>
        <w:rPr>
          <w:rFonts w:hint="eastAsia" w:ascii="仿宋" w:hAnsi="仿宋" w:eastAsia="仿宋" w:cs="仿宋"/>
          <w:sz w:val="30"/>
          <w:szCs w:val="30"/>
          <w:lang w:val="en-US" w:eastAsia="zh-CN"/>
        </w:rPr>
        <w:t>经开区实验中学教学</w:t>
      </w:r>
      <w:r>
        <w:rPr>
          <w:rFonts w:hint="eastAsia"/>
          <w:lang w:val="en-US" w:eastAsia="zh-CN"/>
        </w:rPr>
        <w:t>设备建设进度方面的评价如何？</w:t>
      </w:r>
    </w:p>
    <w:p>
      <w:pPr>
        <w:pStyle w:val="5"/>
        <w:rPr>
          <w:rFonts w:hint="eastAsia"/>
          <w:lang w:val="en-US" w:eastAsia="zh-CN"/>
        </w:rPr>
      </w:pPr>
      <w:r>
        <w:rPr>
          <w:rFonts w:hint="eastAsia"/>
          <w:lang w:val="en-US" w:eastAsia="zh-CN"/>
        </w:rPr>
        <w:t>A.非常满意         B.比较满意        C.不满意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5、请问您对经开区实验中学教学设备实施后的工作帮助以及效率提升方面评价如何？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A.非常明显          B.比较明显           C.不明显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6、您认为该项目是否改善了学校办学条件？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A.是                 B.否              C.不清楚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7、您是否赞同并支持加大力度长期推广教育专项经费项目？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A、非常赞同         B、赞同           C、不赞同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8、您对该项目的总体评价如何？</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A.满意              B．一般           C.不满意  </w:t>
      </w:r>
    </w:p>
    <w:p>
      <w:pPr>
        <w:pStyle w:val="5"/>
        <w:rPr>
          <w:rFonts w:hint="eastAsia" w:ascii="仿宋" w:hAnsi="仿宋" w:eastAsia="仿宋" w:cs="仿宋"/>
          <w:sz w:val="30"/>
          <w:szCs w:val="30"/>
          <w:lang w:val="en-US" w:eastAsia="zh-CN"/>
        </w:rPr>
      </w:pPr>
    </w:p>
    <w:p>
      <w:pPr>
        <w:rPr>
          <w:rFonts w:hint="eastAsia" w:ascii="仿宋" w:hAnsi="仿宋" w:eastAsia="仿宋" w:cs="仿宋"/>
          <w:sz w:val="30"/>
          <w:szCs w:val="30"/>
          <w:lang w:val="en-US" w:eastAsia="zh-CN"/>
        </w:rPr>
      </w:pPr>
    </w:p>
    <w:p>
      <w:pPr>
        <w:pStyle w:val="5"/>
        <w:rPr>
          <w:rFonts w:hint="eastAsia" w:ascii="仿宋" w:hAnsi="仿宋" w:eastAsia="仿宋" w:cs="仿宋"/>
          <w:sz w:val="30"/>
          <w:szCs w:val="30"/>
          <w:lang w:val="en-US" w:eastAsia="zh-CN"/>
        </w:rPr>
      </w:pPr>
    </w:p>
    <w:p>
      <w:pPr>
        <w:rPr>
          <w:rFonts w:hint="eastAsia" w:ascii="仿宋" w:hAnsi="仿宋" w:eastAsia="仿宋" w:cs="仿宋"/>
          <w:sz w:val="30"/>
          <w:szCs w:val="30"/>
          <w:lang w:val="en-US" w:eastAsia="zh-CN"/>
        </w:rPr>
      </w:pPr>
    </w:p>
    <w:p>
      <w:pPr>
        <w:pStyle w:val="5"/>
        <w:rPr>
          <w:rFonts w:hint="eastAsia" w:ascii="仿宋" w:hAnsi="仿宋" w:eastAsia="仿宋" w:cs="仿宋"/>
          <w:sz w:val="30"/>
          <w:szCs w:val="30"/>
          <w:lang w:val="en-US" w:eastAsia="zh-CN"/>
        </w:rPr>
      </w:pPr>
    </w:p>
    <w:p>
      <w:pPr>
        <w:rPr>
          <w:rFonts w:hint="eastAsia" w:ascii="仿宋" w:hAnsi="仿宋" w:eastAsia="仿宋" w:cs="仿宋"/>
          <w:sz w:val="30"/>
          <w:szCs w:val="30"/>
          <w:lang w:val="en-US" w:eastAsia="zh-CN"/>
        </w:rPr>
      </w:pPr>
    </w:p>
    <w:p>
      <w:pPr>
        <w:pStyle w:val="5"/>
        <w:rPr>
          <w:rFonts w:hint="eastAsia" w:ascii="仿宋" w:hAnsi="仿宋" w:eastAsia="仿宋" w:cs="仿宋"/>
          <w:sz w:val="30"/>
          <w:szCs w:val="30"/>
          <w:lang w:val="en-US" w:eastAsia="zh-CN"/>
        </w:rPr>
      </w:pPr>
    </w:p>
    <w:p>
      <w:pPr>
        <w:rPr>
          <w:rFonts w:hint="eastAsia" w:ascii="仿宋" w:hAnsi="仿宋" w:eastAsia="仿宋" w:cs="仿宋"/>
          <w:sz w:val="30"/>
          <w:szCs w:val="30"/>
          <w:lang w:val="en-US" w:eastAsia="zh-CN"/>
        </w:rPr>
      </w:pPr>
    </w:p>
    <w:p>
      <w:pPr>
        <w:pStyle w:val="5"/>
        <w:rPr>
          <w:rFonts w:hint="eastAsia" w:ascii="仿宋" w:hAnsi="仿宋" w:eastAsia="仿宋" w:cs="仿宋"/>
          <w:sz w:val="30"/>
          <w:szCs w:val="30"/>
          <w:lang w:val="en-US" w:eastAsia="zh-CN"/>
        </w:rPr>
      </w:pPr>
    </w:p>
    <w:p>
      <w:pPr>
        <w:rPr>
          <w:rFonts w:hint="eastAsia" w:ascii="仿宋" w:hAnsi="仿宋" w:eastAsia="仿宋" w:cs="仿宋"/>
          <w:sz w:val="30"/>
          <w:szCs w:val="30"/>
          <w:lang w:val="en-US" w:eastAsia="zh-CN"/>
        </w:rPr>
      </w:pPr>
    </w:p>
    <w:p>
      <w:pPr>
        <w:pStyle w:val="5"/>
        <w:rPr>
          <w:rFonts w:hint="eastAsia" w:ascii="仿宋" w:hAnsi="仿宋" w:eastAsia="仿宋" w:cs="仿宋"/>
          <w:sz w:val="30"/>
          <w:szCs w:val="30"/>
          <w:lang w:val="en-US" w:eastAsia="zh-CN"/>
        </w:rPr>
      </w:pPr>
    </w:p>
    <w:p>
      <w:pPr>
        <w:rPr>
          <w:rFonts w:hint="eastAsia" w:ascii="仿宋" w:hAnsi="仿宋" w:eastAsia="仿宋" w:cs="仿宋"/>
          <w:sz w:val="30"/>
          <w:szCs w:val="30"/>
          <w:lang w:val="en-US" w:eastAsia="zh-CN"/>
        </w:rPr>
      </w:pPr>
    </w:p>
    <w:p>
      <w:pPr>
        <w:pStyle w:val="5"/>
        <w:rPr>
          <w:rFonts w:hint="eastAsia" w:ascii="仿宋" w:hAnsi="仿宋" w:eastAsia="仿宋" w:cs="仿宋"/>
          <w:sz w:val="30"/>
          <w:szCs w:val="30"/>
          <w:lang w:val="en-US" w:eastAsia="zh-CN"/>
        </w:rPr>
      </w:pPr>
    </w:p>
    <w:p>
      <w:pPr>
        <w:rPr>
          <w:rFonts w:hint="eastAsia" w:ascii="仿宋" w:hAnsi="仿宋" w:eastAsia="仿宋" w:cs="仿宋"/>
          <w:sz w:val="30"/>
          <w:szCs w:val="30"/>
          <w:lang w:val="en-US" w:eastAsia="zh-CN"/>
        </w:rPr>
      </w:pPr>
    </w:p>
    <w:p>
      <w:pPr>
        <w:pStyle w:val="5"/>
        <w:rPr>
          <w:rFonts w:hint="eastAsia" w:ascii="仿宋" w:hAnsi="仿宋" w:eastAsia="仿宋" w:cs="仿宋"/>
          <w:sz w:val="30"/>
          <w:szCs w:val="30"/>
          <w:lang w:val="en-US" w:eastAsia="zh-CN"/>
        </w:rPr>
      </w:pPr>
    </w:p>
    <w:p>
      <w:pPr>
        <w:rPr>
          <w:rFonts w:hint="eastAsia" w:ascii="仿宋" w:hAnsi="仿宋" w:eastAsia="仿宋" w:cs="仿宋"/>
          <w:sz w:val="30"/>
          <w:szCs w:val="30"/>
          <w:lang w:val="en-US" w:eastAsia="zh-CN"/>
        </w:rPr>
      </w:pPr>
    </w:p>
    <w:p>
      <w:pPr>
        <w:pStyle w:val="5"/>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28"/>
          <w:szCs w:val="28"/>
          <w:shd w:val="clear" w:fill="FFFFFF"/>
        </w:rPr>
        <w:t>您好！为了解我区</w:t>
      </w:r>
      <w:r>
        <w:rPr>
          <w:rFonts w:hint="eastAsia" w:ascii="仿宋" w:hAnsi="仿宋" w:eastAsia="仿宋" w:cs="仿宋"/>
          <w:i w:val="0"/>
          <w:iCs w:val="0"/>
          <w:caps w:val="0"/>
          <w:color w:val="000000"/>
          <w:spacing w:val="0"/>
          <w:sz w:val="28"/>
          <w:szCs w:val="28"/>
          <w:shd w:val="clear" w:fill="FFFFFF"/>
          <w:lang w:eastAsia="zh-CN"/>
        </w:rPr>
        <w:t>教育专项</w:t>
      </w:r>
      <w:r>
        <w:rPr>
          <w:rFonts w:hint="eastAsia" w:ascii="仿宋" w:hAnsi="仿宋" w:eastAsia="仿宋" w:cs="仿宋"/>
          <w:i w:val="0"/>
          <w:iCs w:val="0"/>
          <w:caps w:val="0"/>
          <w:color w:val="000000"/>
          <w:spacing w:val="0"/>
          <w:sz w:val="28"/>
          <w:szCs w:val="28"/>
          <w:shd w:val="clear" w:fill="FFFFFF"/>
        </w:rPr>
        <w:t>资金使用效果，请您对</w:t>
      </w:r>
      <w:r>
        <w:rPr>
          <w:rFonts w:hint="eastAsia" w:ascii="仿宋" w:hAnsi="仿宋" w:eastAsia="仿宋" w:cs="仿宋"/>
          <w:i w:val="0"/>
          <w:iCs w:val="0"/>
          <w:caps w:val="0"/>
          <w:color w:val="000000"/>
          <w:spacing w:val="0"/>
          <w:sz w:val="28"/>
          <w:szCs w:val="28"/>
          <w:shd w:val="clear" w:fill="FFFFFF"/>
          <w:lang w:eastAsia="zh-CN"/>
        </w:rPr>
        <w:t>属地划转邓襄镇</w:t>
      </w:r>
      <w:r>
        <w:rPr>
          <w:rFonts w:hint="eastAsia" w:ascii="仿宋" w:hAnsi="仿宋" w:eastAsia="仿宋" w:cs="仿宋"/>
          <w:i w:val="0"/>
          <w:iCs w:val="0"/>
          <w:caps w:val="0"/>
          <w:color w:val="000000"/>
          <w:spacing w:val="0"/>
          <w:sz w:val="28"/>
          <w:szCs w:val="28"/>
          <w:shd w:val="clear" w:fill="FFFFFF"/>
          <w:lang w:val="en-US" w:eastAsia="zh-CN"/>
        </w:rPr>
        <w:t>中教师工资发放</w:t>
      </w:r>
      <w:r>
        <w:rPr>
          <w:rFonts w:hint="eastAsia" w:ascii="仿宋" w:hAnsi="仿宋" w:eastAsia="仿宋" w:cs="仿宋"/>
          <w:i w:val="0"/>
          <w:iCs w:val="0"/>
          <w:caps w:val="0"/>
          <w:color w:val="000000"/>
          <w:spacing w:val="0"/>
          <w:sz w:val="28"/>
          <w:szCs w:val="28"/>
          <w:shd w:val="clear" w:fill="FFFFFF"/>
        </w:rPr>
        <w:t>的满意度进行评价，请您认真填写以下问题，您的答案对我们非常重要，谢谢合作！</w:t>
      </w:r>
    </w:p>
    <w:p>
      <w:pPr>
        <w:pStyle w:val="5"/>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1、您是否为2021年属地划转的邓襄镇中心教师？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A.是                B．不是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2、您对工资发放的及时性是否满意？</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A.满意              B.一般           C.不满意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3、您认为工资发放是否激发教师工作积极性？</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A.是                B．否             C.不清楚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4、您认为工资发放是否保障教育教学工作的开展？</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A.是                B．否             C.不清楚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5、您认为教育专项资金项目是否促进教育教学均衡发展？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A.是                B.否             C.不清楚</w:t>
      </w:r>
    </w:p>
    <w:p>
      <w:pPr>
        <w:pStyle w:val="5"/>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6、您认为教育专项资金项目是否保障教育事业持续发展？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A.是                B.否             C.不清楚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7、您对该项目的总体评价如何？</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A.满意              B．一般           C.不满意  </w:t>
      </w:r>
    </w:p>
    <w:p>
      <w:pPr>
        <w:pStyle w:val="5"/>
        <w:rPr>
          <w:rFonts w:hint="eastAsia"/>
          <w:lang w:val="en-US" w:eastAsia="zh-CN"/>
        </w:rPr>
      </w:pPr>
    </w:p>
    <w:p>
      <w:pPr>
        <w:pStyle w:val="5"/>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4"/>
        <w:keepNext/>
        <w:keepLines/>
        <w:pageBreakBefore w:val="0"/>
        <w:widowControl w:val="0"/>
        <w:kinsoku/>
        <w:wordWrap/>
        <w:overflowPunct/>
        <w:topLinePunct w:val="0"/>
        <w:autoSpaceDE/>
        <w:autoSpaceDN/>
        <w:bidi w:val="0"/>
        <w:adjustRightInd/>
        <w:snapToGrid/>
        <w:spacing w:before="0"/>
        <w:textAlignment w:val="auto"/>
        <w:outlineLvl w:val="0"/>
        <w:rPr>
          <w:rFonts w:hint="eastAsia" w:ascii="仿宋" w:hAnsi="仿宋" w:eastAsia="仿宋" w:cs="仿宋"/>
          <w:sz w:val="30"/>
          <w:szCs w:val="30"/>
          <w:lang w:val="en-US" w:eastAsia="zh-CN"/>
        </w:rPr>
      </w:pPr>
      <w:bookmarkStart w:id="86" w:name="_Toc27289"/>
      <w:r>
        <w:rPr>
          <w:rFonts w:hint="eastAsia" w:ascii="仿宋" w:hAnsi="仿宋" w:eastAsia="仿宋" w:cs="仿宋"/>
          <w:sz w:val="30"/>
          <w:szCs w:val="30"/>
        </w:rPr>
        <w:t>附件-</w:t>
      </w:r>
      <w:r>
        <w:rPr>
          <w:rFonts w:hint="eastAsia" w:ascii="仿宋" w:hAnsi="仿宋" w:eastAsia="仿宋" w:cs="仿宋"/>
          <w:sz w:val="30"/>
          <w:szCs w:val="30"/>
          <w:lang w:val="en-US" w:eastAsia="zh-CN"/>
        </w:rPr>
        <w:t>6：问卷调查结果统计表</w:t>
      </w:r>
      <w:bookmarkEnd w:id="86"/>
    </w:p>
    <w:p>
      <w:pPr>
        <w:keepLines w:val="0"/>
        <w:spacing w:after="400"/>
        <w:ind w:firstLine="160"/>
        <w:jc w:val="center"/>
      </w:pPr>
      <w:r>
        <w:rPr>
          <w:b/>
          <w:sz w:val="32"/>
        </w:rPr>
        <w:t>经开区2022年教育专项资金项目问卷调查</w:t>
      </w:r>
      <w:r>
        <w:rPr>
          <w:rFonts w:hint="eastAsia"/>
          <w:b/>
          <w:sz w:val="32"/>
          <w:lang w:eastAsia="zh-CN"/>
        </w:rPr>
        <w:t>结果统计</w:t>
      </w:r>
      <w:r>
        <w:rPr>
          <w:b/>
          <w:sz w:val="32"/>
        </w:rPr>
        <w:t>表（邓襄镇教师工资发放）</w:t>
      </w:r>
    </w:p>
    <w:p>
      <w:pPr>
        <w:rPr>
          <w:b/>
          <w:sz w:val="32"/>
        </w:rPr>
      </w:pPr>
      <w:r>
        <w:rPr>
          <w:b w:val="0"/>
          <w:color w:val="000000"/>
          <w:sz w:val="24"/>
        </w:rPr>
        <w:t xml:space="preserve">1、您是否为2021年属地划转的邓襄镇中心教师？   </w:t>
      </w:r>
      <w:r>
        <w:rPr>
          <w:b w:val="0"/>
          <w:color w:val="0066FF"/>
          <w:sz w:val="24"/>
        </w:rPr>
        <w:t>[单选题]</w:t>
      </w:r>
    </w:p>
    <w:p>
      <w:pPr>
        <w:rPr>
          <w:b w:val="0"/>
          <w:color w:val="0066FF"/>
          <w:sz w:val="24"/>
        </w:rPr>
      </w:pPr>
    </w:p>
    <w:tbl>
      <w:tblPr>
        <w:tblStyle w:val="11"/>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436"/>
        <w:gridCol w:w="1072"/>
        <w:gridCol w:w="4014"/>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A.是</w:t>
            </w:r>
          </w:p>
        </w:tc>
        <w:tc>
          <w:tcPr>
            <w:shd w:val="clear" w:color="auto" w:fill="FFFFFF"/>
            <w:vAlign w:val="center"/>
          </w:tcPr>
          <w:p>
            <w:pPr>
              <w:jc w:val="center"/>
            </w:pPr>
            <w:r>
              <w:t>55</w:t>
            </w:r>
          </w:p>
        </w:tc>
        <w:tc>
          <w:tcPr>
            <w:shd w:val="clear" w:color="auto" w:fill="FFFFFF"/>
            <w:vAlign w:val="center"/>
          </w:tcPr>
          <w:p>
            <w:pPr>
              <w:jc w:val="left"/>
            </w:pPr>
            <w:r>
              <w:drawing>
                <wp:inline distT="0" distB="0" distL="114300" distR="114300">
                  <wp:extent cx="1352550" cy="114300"/>
                  <wp:effectExtent l="0" t="0" r="635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1352550" cy="114300"/>
                          </a:xfrm>
                          <a:prstGeom prst="rect">
                            <a:avLst/>
                          </a:prstGeom>
                          <a:noFill/>
                          <a:ln>
                            <a:noFill/>
                          </a:ln>
                        </pic:spPr>
                      </pic:pic>
                    </a:graphicData>
                  </a:graphic>
                </wp:inline>
              </w:drawing>
            </w:r>
            <w:r>
              <w:t>100%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B．不是</w:t>
            </w:r>
          </w:p>
        </w:tc>
        <w:tc>
          <w:tcPr>
            <w:shd w:val="clear" w:color="auto" w:fill="FAFAFA"/>
            <w:vAlign w:val="center"/>
          </w:tcPr>
          <w:p>
            <w:pPr>
              <w:jc w:val="center"/>
            </w:pPr>
            <w:r>
              <w:t>0</w:t>
            </w:r>
          </w:p>
        </w:tc>
        <w:tc>
          <w:tcPr>
            <w:shd w:val="clear" w:color="auto" w:fill="FAFAFA"/>
            <w:vAlign w:val="center"/>
          </w:tcPr>
          <w:p>
            <w:pPr>
              <w:jc w:val="left"/>
            </w:pPr>
            <w:r>
              <w:drawing>
                <wp:inline distT="0" distB="0" distL="114300" distR="114300">
                  <wp:extent cx="1352550" cy="114300"/>
                  <wp:effectExtent l="0" t="0" r="635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本题有效填写人次</w:t>
            </w:r>
          </w:p>
        </w:tc>
        <w:tc>
          <w:tcPr>
            <w:shd w:val="clear" w:color="auto" w:fill="F5F5F5"/>
            <w:vAlign w:val="center"/>
          </w:tcPr>
          <w:p>
            <w:pPr>
              <w:jc w:val="center"/>
            </w:pPr>
            <w:r>
              <w:t>55</w:t>
            </w:r>
          </w:p>
        </w:tc>
        <w:tc>
          <w:tcPr>
            <w:shd w:val="clear" w:color="auto" w:fill="F5F5F5"/>
            <w:vAlign w:val="center"/>
          </w:tcPr>
          <w:p>
            <w:pPr>
              <w:jc w:val="left"/>
            </w:pPr>
          </w:p>
        </w:tc>
      </w:tr>
    </w:tbl>
    <w:p>
      <w:pPr>
        <w:rPr>
          <w:b w:val="0"/>
          <w:color w:val="000000"/>
          <w:sz w:val="24"/>
        </w:rPr>
      </w:pPr>
    </w:p>
    <w:p>
      <w:r>
        <w:rPr>
          <w:b w:val="0"/>
          <w:color w:val="000000"/>
          <w:sz w:val="24"/>
        </w:rPr>
        <w:t xml:space="preserve">2、您对工资发放的及时性是否满意？   </w:t>
      </w:r>
      <w:r>
        <w:rPr>
          <w:b w:val="0"/>
          <w:color w:val="0066FF"/>
          <w:sz w:val="24"/>
        </w:rPr>
        <w:t>[单选题]</w:t>
      </w:r>
    </w:p>
    <w:p>
      <w:pPr>
        <w:rPr>
          <w:b w:val="0"/>
          <w:color w:val="0066FF"/>
          <w:sz w:val="24"/>
        </w:rPr>
      </w:pPr>
    </w:p>
    <w:tbl>
      <w:tblPr>
        <w:tblStyle w:val="11"/>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311"/>
        <w:gridCol w:w="1033"/>
        <w:gridCol w:w="417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A.满意</w:t>
            </w:r>
          </w:p>
        </w:tc>
        <w:tc>
          <w:tcPr>
            <w:shd w:val="clear" w:color="auto" w:fill="FFFFFF"/>
            <w:vAlign w:val="center"/>
          </w:tcPr>
          <w:p>
            <w:pPr>
              <w:jc w:val="center"/>
            </w:pPr>
            <w:r>
              <w:t>48</w:t>
            </w:r>
          </w:p>
        </w:tc>
        <w:tc>
          <w:tcPr>
            <w:shd w:val="clear" w:color="auto" w:fill="FFFFFF"/>
            <w:vAlign w:val="center"/>
          </w:tcPr>
          <w:p>
            <w:pPr>
              <w:jc w:val="left"/>
            </w:pPr>
            <w:r>
              <w:drawing>
                <wp:inline distT="0" distB="0" distL="114300" distR="114300">
                  <wp:extent cx="1171575" cy="114300"/>
                  <wp:effectExtent l="0" t="0" r="9525"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0"/>
                          <a:stretch>
                            <a:fillRect/>
                          </a:stretch>
                        </pic:blipFill>
                        <pic:spPr>
                          <a:xfrm>
                            <a:off x="0" y="0"/>
                            <a:ext cx="1171575" cy="114300"/>
                          </a:xfrm>
                          <a:prstGeom prst="rect">
                            <a:avLst/>
                          </a:prstGeom>
                          <a:noFill/>
                          <a:ln>
                            <a:noFill/>
                          </a:ln>
                        </pic:spPr>
                      </pic:pic>
                    </a:graphicData>
                  </a:graphic>
                </wp:inline>
              </w:drawing>
            </w:r>
            <w:r>
              <w:drawing>
                <wp:inline distT="0" distB="0" distL="114300" distR="114300">
                  <wp:extent cx="180975" cy="114300"/>
                  <wp:effectExtent l="0" t="0" r="9525"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1"/>
                          <a:stretch>
                            <a:fillRect/>
                          </a:stretch>
                        </pic:blipFill>
                        <pic:spPr>
                          <a:xfrm>
                            <a:off x="0" y="0"/>
                            <a:ext cx="180975" cy="114300"/>
                          </a:xfrm>
                          <a:prstGeom prst="rect">
                            <a:avLst/>
                          </a:prstGeom>
                          <a:noFill/>
                          <a:ln>
                            <a:noFill/>
                          </a:ln>
                        </pic:spPr>
                      </pic:pic>
                    </a:graphicData>
                  </a:graphic>
                </wp:inline>
              </w:drawing>
            </w:r>
            <w:r>
              <w:t>87.27%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B.一般</w:t>
            </w:r>
          </w:p>
        </w:tc>
        <w:tc>
          <w:tcPr>
            <w:shd w:val="clear" w:color="auto" w:fill="FAFAFA"/>
            <w:vAlign w:val="center"/>
          </w:tcPr>
          <w:p>
            <w:pPr>
              <w:jc w:val="center"/>
            </w:pPr>
            <w:r>
              <w:t>7</w:t>
            </w:r>
          </w:p>
        </w:tc>
        <w:tc>
          <w:tcPr>
            <w:shd w:val="clear" w:color="auto" w:fill="FAFAFA"/>
            <w:vAlign w:val="center"/>
          </w:tcPr>
          <w:p>
            <w:pPr>
              <w:jc w:val="left"/>
            </w:pPr>
            <w:r>
              <w:drawing>
                <wp:inline distT="0" distB="0" distL="114300" distR="114300">
                  <wp:extent cx="171450" cy="114300"/>
                  <wp:effectExtent l="0" t="0" r="635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2"/>
                          <a:stretch>
                            <a:fillRect/>
                          </a:stretch>
                        </pic:blipFill>
                        <pic:spPr>
                          <a:xfrm>
                            <a:off x="0" y="0"/>
                            <a:ext cx="171450" cy="114300"/>
                          </a:xfrm>
                          <a:prstGeom prst="rect">
                            <a:avLst/>
                          </a:prstGeom>
                          <a:noFill/>
                          <a:ln>
                            <a:noFill/>
                          </a:ln>
                        </pic:spPr>
                      </pic:pic>
                    </a:graphicData>
                  </a:graphic>
                </wp:inline>
              </w:drawing>
            </w:r>
            <w:r>
              <w:drawing>
                <wp:inline distT="0" distB="0" distL="114300" distR="114300">
                  <wp:extent cx="1181100" cy="114300"/>
                  <wp:effectExtent l="0" t="0" r="0"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3"/>
                          <a:stretch>
                            <a:fillRect/>
                          </a:stretch>
                        </pic:blipFill>
                        <pic:spPr>
                          <a:xfrm>
                            <a:off x="0" y="0"/>
                            <a:ext cx="1181100" cy="114300"/>
                          </a:xfrm>
                          <a:prstGeom prst="rect">
                            <a:avLst/>
                          </a:prstGeom>
                          <a:noFill/>
                          <a:ln>
                            <a:noFill/>
                          </a:ln>
                        </pic:spPr>
                      </pic:pic>
                    </a:graphicData>
                  </a:graphic>
                </wp:inline>
              </w:drawing>
            </w:r>
            <w:r>
              <w:t>12.73%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C.不满意</w:t>
            </w:r>
          </w:p>
        </w:tc>
        <w:tc>
          <w:tcPr>
            <w:shd w:val="clear" w:color="auto" w:fill="FFFFFF"/>
            <w:vAlign w:val="center"/>
          </w:tcPr>
          <w:p>
            <w:pPr>
              <w:jc w:val="center"/>
            </w:pPr>
            <w:r>
              <w:t>0</w:t>
            </w:r>
          </w:p>
        </w:tc>
        <w:tc>
          <w:tcPr>
            <w:shd w:val="clear" w:color="auto" w:fill="FFFFFF"/>
            <w:vAlign w:val="center"/>
          </w:tcPr>
          <w:p>
            <w:pPr>
              <w:jc w:val="left"/>
            </w:pPr>
            <w:r>
              <w:drawing>
                <wp:inline distT="0" distB="0" distL="114300" distR="114300">
                  <wp:extent cx="1352550" cy="114300"/>
                  <wp:effectExtent l="0" t="0" r="635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9"/>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本题有效填写人次</w:t>
            </w:r>
          </w:p>
        </w:tc>
        <w:tc>
          <w:tcPr>
            <w:shd w:val="clear" w:color="auto" w:fill="F5F5F5"/>
            <w:vAlign w:val="center"/>
          </w:tcPr>
          <w:p>
            <w:pPr>
              <w:jc w:val="center"/>
            </w:pPr>
            <w:r>
              <w:t>55</w:t>
            </w:r>
          </w:p>
        </w:tc>
        <w:tc>
          <w:tcPr>
            <w:shd w:val="clear" w:color="auto" w:fill="F5F5F5"/>
            <w:vAlign w:val="center"/>
          </w:tcPr>
          <w:p>
            <w:pPr>
              <w:jc w:val="left"/>
            </w:pPr>
          </w:p>
        </w:tc>
      </w:tr>
    </w:tbl>
    <w:p>
      <w:pPr>
        <w:rPr>
          <w:b w:val="0"/>
          <w:color w:val="000000"/>
          <w:sz w:val="24"/>
        </w:rPr>
      </w:pPr>
    </w:p>
    <w:p>
      <w:r>
        <w:rPr>
          <w:b w:val="0"/>
          <w:color w:val="000000"/>
          <w:sz w:val="24"/>
        </w:rPr>
        <w:t xml:space="preserve">3、您认为工资发放是否激发教师工作积极性？   </w:t>
      </w:r>
      <w:r>
        <w:rPr>
          <w:b w:val="0"/>
          <w:color w:val="0066FF"/>
          <w:sz w:val="24"/>
        </w:rPr>
        <w:t>[单选题]</w:t>
      </w:r>
    </w:p>
    <w:p>
      <w:pPr>
        <w:rPr>
          <w:b w:val="0"/>
          <w:color w:val="0066FF"/>
          <w:sz w:val="24"/>
        </w:rPr>
      </w:pPr>
    </w:p>
    <w:tbl>
      <w:tblPr>
        <w:tblStyle w:val="11"/>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311"/>
        <w:gridCol w:w="1033"/>
        <w:gridCol w:w="417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A.是</w:t>
            </w:r>
          </w:p>
        </w:tc>
        <w:tc>
          <w:tcPr>
            <w:shd w:val="clear" w:color="auto" w:fill="FFFFFF"/>
            <w:vAlign w:val="center"/>
          </w:tcPr>
          <w:p>
            <w:pPr>
              <w:jc w:val="center"/>
            </w:pPr>
            <w:r>
              <w:t>54</w:t>
            </w:r>
          </w:p>
        </w:tc>
        <w:tc>
          <w:tcPr>
            <w:shd w:val="clear" w:color="auto" w:fill="FFFFFF"/>
            <w:vAlign w:val="center"/>
          </w:tcPr>
          <w:p>
            <w:pPr>
              <w:jc w:val="left"/>
            </w:pPr>
            <w:r>
              <w:drawing>
                <wp:inline distT="0" distB="0" distL="114300" distR="114300">
                  <wp:extent cx="1323975" cy="114300"/>
                  <wp:effectExtent l="0" t="0" r="9525" b="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4"/>
                          <a:stretch>
                            <a:fillRect/>
                          </a:stretch>
                        </pic:blipFill>
                        <pic:spPr>
                          <a:xfrm>
                            <a:off x="0" y="0"/>
                            <a:ext cx="1323975" cy="114300"/>
                          </a:xfrm>
                          <a:prstGeom prst="rect">
                            <a:avLst/>
                          </a:prstGeom>
                          <a:noFill/>
                          <a:ln>
                            <a:noFill/>
                          </a:ln>
                        </pic:spPr>
                      </pic:pic>
                    </a:graphicData>
                  </a:graphic>
                </wp:inline>
              </w:drawing>
            </w:r>
            <w:r>
              <w:drawing>
                <wp:inline distT="0" distB="0" distL="114300" distR="114300">
                  <wp:extent cx="28575" cy="114300"/>
                  <wp:effectExtent l="0" t="0" r="9525" b="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5"/>
                          <a:stretch>
                            <a:fillRect/>
                          </a:stretch>
                        </pic:blipFill>
                        <pic:spPr>
                          <a:xfrm>
                            <a:off x="0" y="0"/>
                            <a:ext cx="28575" cy="114300"/>
                          </a:xfrm>
                          <a:prstGeom prst="rect">
                            <a:avLst/>
                          </a:prstGeom>
                          <a:noFill/>
                          <a:ln>
                            <a:noFill/>
                          </a:ln>
                        </pic:spPr>
                      </pic:pic>
                    </a:graphicData>
                  </a:graphic>
                </wp:inline>
              </w:drawing>
            </w:r>
            <w:r>
              <w:t>98.18%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B．否</w:t>
            </w:r>
          </w:p>
        </w:tc>
        <w:tc>
          <w:tcPr>
            <w:shd w:val="clear" w:color="auto" w:fill="FAFAFA"/>
            <w:vAlign w:val="center"/>
          </w:tcPr>
          <w:p>
            <w:pPr>
              <w:jc w:val="center"/>
            </w:pPr>
            <w:r>
              <w:t>1</w:t>
            </w:r>
          </w:p>
        </w:tc>
        <w:tc>
          <w:tcPr>
            <w:shd w:val="clear" w:color="auto" w:fill="FAFAFA"/>
            <w:vAlign w:val="center"/>
          </w:tcPr>
          <w:p>
            <w:pPr>
              <w:jc w:val="left"/>
            </w:pPr>
            <w:r>
              <w:drawing>
                <wp:inline distT="0" distB="0" distL="114300" distR="114300">
                  <wp:extent cx="19050" cy="114300"/>
                  <wp:effectExtent l="0" t="0" r="6350" b="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6"/>
                          <a:stretch>
                            <a:fillRect/>
                          </a:stretch>
                        </pic:blipFill>
                        <pic:spPr>
                          <a:xfrm>
                            <a:off x="0" y="0"/>
                            <a:ext cx="19050" cy="114300"/>
                          </a:xfrm>
                          <a:prstGeom prst="rect">
                            <a:avLst/>
                          </a:prstGeom>
                          <a:noFill/>
                          <a:ln>
                            <a:noFill/>
                          </a:ln>
                        </pic:spPr>
                      </pic:pic>
                    </a:graphicData>
                  </a:graphic>
                </wp:inline>
              </w:drawing>
            </w:r>
            <w:r>
              <w:drawing>
                <wp:inline distT="0" distB="0" distL="114300" distR="114300">
                  <wp:extent cx="1333500" cy="114300"/>
                  <wp:effectExtent l="0" t="0" r="0" b="0"/>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17"/>
                          <a:stretch>
                            <a:fillRect/>
                          </a:stretch>
                        </pic:blipFill>
                        <pic:spPr>
                          <a:xfrm>
                            <a:off x="0" y="0"/>
                            <a:ext cx="1333500" cy="114300"/>
                          </a:xfrm>
                          <a:prstGeom prst="rect">
                            <a:avLst/>
                          </a:prstGeom>
                          <a:noFill/>
                          <a:ln>
                            <a:noFill/>
                          </a:ln>
                        </pic:spPr>
                      </pic:pic>
                    </a:graphicData>
                  </a:graphic>
                </wp:inline>
              </w:drawing>
            </w:r>
            <w:r>
              <w:t>1.82%</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C.不清楚</w:t>
            </w:r>
          </w:p>
        </w:tc>
        <w:tc>
          <w:tcPr>
            <w:shd w:val="clear" w:color="auto" w:fill="FFFFFF"/>
            <w:vAlign w:val="center"/>
          </w:tcPr>
          <w:p>
            <w:pPr>
              <w:jc w:val="center"/>
            </w:pPr>
            <w:r>
              <w:t>0</w:t>
            </w:r>
          </w:p>
        </w:tc>
        <w:tc>
          <w:tcPr>
            <w:shd w:val="clear" w:color="auto" w:fill="FFFFFF"/>
            <w:vAlign w:val="center"/>
          </w:tcPr>
          <w:p>
            <w:pPr>
              <w:jc w:val="left"/>
            </w:pPr>
            <w:r>
              <w:drawing>
                <wp:inline distT="0" distB="0" distL="114300" distR="114300">
                  <wp:extent cx="1352550" cy="114300"/>
                  <wp:effectExtent l="0" t="0" r="6350" b="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9"/>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本题有效填写人次</w:t>
            </w:r>
          </w:p>
        </w:tc>
        <w:tc>
          <w:tcPr>
            <w:shd w:val="clear" w:color="auto" w:fill="F5F5F5"/>
            <w:vAlign w:val="center"/>
          </w:tcPr>
          <w:p>
            <w:pPr>
              <w:jc w:val="center"/>
            </w:pPr>
            <w:r>
              <w:t>55</w:t>
            </w:r>
          </w:p>
        </w:tc>
        <w:tc>
          <w:tcPr>
            <w:shd w:val="clear" w:color="auto" w:fill="F5F5F5"/>
            <w:vAlign w:val="center"/>
          </w:tcPr>
          <w:p>
            <w:pPr>
              <w:jc w:val="left"/>
            </w:pPr>
          </w:p>
        </w:tc>
      </w:tr>
    </w:tbl>
    <w:p>
      <w:pPr>
        <w:rPr>
          <w:b w:val="0"/>
          <w:color w:val="000000"/>
          <w:sz w:val="24"/>
        </w:rPr>
      </w:pPr>
    </w:p>
    <w:p>
      <w:r>
        <w:rPr>
          <w:b w:val="0"/>
          <w:color w:val="000000"/>
          <w:sz w:val="24"/>
        </w:rPr>
        <w:t xml:space="preserve">4、您认为工资发放是否保障教育教学工作的开展？   </w:t>
      </w:r>
      <w:r>
        <w:rPr>
          <w:b w:val="0"/>
          <w:color w:val="0066FF"/>
          <w:sz w:val="24"/>
        </w:rPr>
        <w:t>[单选题]</w:t>
      </w:r>
    </w:p>
    <w:p>
      <w:pPr>
        <w:rPr>
          <w:b w:val="0"/>
          <w:color w:val="0066FF"/>
          <w:sz w:val="24"/>
        </w:rPr>
      </w:pPr>
    </w:p>
    <w:tbl>
      <w:tblPr>
        <w:tblStyle w:val="11"/>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311"/>
        <w:gridCol w:w="1033"/>
        <w:gridCol w:w="417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A.是</w:t>
            </w:r>
          </w:p>
        </w:tc>
        <w:tc>
          <w:tcPr>
            <w:shd w:val="clear" w:color="auto" w:fill="FFFFFF"/>
            <w:vAlign w:val="center"/>
          </w:tcPr>
          <w:p>
            <w:pPr>
              <w:jc w:val="center"/>
            </w:pPr>
            <w:r>
              <w:t>54</w:t>
            </w:r>
          </w:p>
        </w:tc>
        <w:tc>
          <w:tcPr>
            <w:shd w:val="clear" w:color="auto" w:fill="FFFFFF"/>
            <w:vAlign w:val="center"/>
          </w:tcPr>
          <w:p>
            <w:pPr>
              <w:jc w:val="left"/>
            </w:pPr>
            <w:r>
              <w:drawing>
                <wp:inline distT="0" distB="0" distL="114300" distR="114300">
                  <wp:extent cx="1323975" cy="114300"/>
                  <wp:effectExtent l="0" t="0" r="9525" b="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14"/>
                          <a:stretch>
                            <a:fillRect/>
                          </a:stretch>
                        </pic:blipFill>
                        <pic:spPr>
                          <a:xfrm>
                            <a:off x="0" y="0"/>
                            <a:ext cx="1323975" cy="114300"/>
                          </a:xfrm>
                          <a:prstGeom prst="rect">
                            <a:avLst/>
                          </a:prstGeom>
                          <a:noFill/>
                          <a:ln>
                            <a:noFill/>
                          </a:ln>
                        </pic:spPr>
                      </pic:pic>
                    </a:graphicData>
                  </a:graphic>
                </wp:inline>
              </w:drawing>
            </w:r>
            <w:r>
              <w:drawing>
                <wp:inline distT="0" distB="0" distL="114300" distR="114300">
                  <wp:extent cx="28575" cy="114300"/>
                  <wp:effectExtent l="0" t="0" r="9525"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5"/>
                          <a:stretch>
                            <a:fillRect/>
                          </a:stretch>
                        </pic:blipFill>
                        <pic:spPr>
                          <a:xfrm>
                            <a:off x="0" y="0"/>
                            <a:ext cx="28575" cy="114300"/>
                          </a:xfrm>
                          <a:prstGeom prst="rect">
                            <a:avLst/>
                          </a:prstGeom>
                          <a:noFill/>
                          <a:ln>
                            <a:noFill/>
                          </a:ln>
                        </pic:spPr>
                      </pic:pic>
                    </a:graphicData>
                  </a:graphic>
                </wp:inline>
              </w:drawing>
            </w:r>
            <w:r>
              <w:t>98.18%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B.否</w:t>
            </w:r>
          </w:p>
        </w:tc>
        <w:tc>
          <w:tcPr>
            <w:shd w:val="clear" w:color="auto" w:fill="FAFAFA"/>
            <w:vAlign w:val="center"/>
          </w:tcPr>
          <w:p>
            <w:pPr>
              <w:jc w:val="center"/>
            </w:pPr>
            <w:r>
              <w:t>1</w:t>
            </w:r>
          </w:p>
        </w:tc>
        <w:tc>
          <w:tcPr>
            <w:shd w:val="clear" w:color="auto" w:fill="FAFAFA"/>
            <w:vAlign w:val="center"/>
          </w:tcPr>
          <w:p>
            <w:pPr>
              <w:jc w:val="left"/>
            </w:pPr>
            <w:r>
              <w:drawing>
                <wp:inline distT="0" distB="0" distL="114300" distR="114300">
                  <wp:extent cx="19050" cy="114300"/>
                  <wp:effectExtent l="0" t="0" r="6350" b="0"/>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16"/>
                          <a:stretch>
                            <a:fillRect/>
                          </a:stretch>
                        </pic:blipFill>
                        <pic:spPr>
                          <a:xfrm>
                            <a:off x="0" y="0"/>
                            <a:ext cx="19050" cy="114300"/>
                          </a:xfrm>
                          <a:prstGeom prst="rect">
                            <a:avLst/>
                          </a:prstGeom>
                          <a:noFill/>
                          <a:ln>
                            <a:noFill/>
                          </a:ln>
                        </pic:spPr>
                      </pic:pic>
                    </a:graphicData>
                  </a:graphic>
                </wp:inline>
              </w:drawing>
            </w:r>
            <w:r>
              <w:drawing>
                <wp:inline distT="0" distB="0" distL="114300" distR="114300">
                  <wp:extent cx="1333500" cy="114300"/>
                  <wp:effectExtent l="0" t="0" r="0" b="0"/>
                  <wp:docPr id="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7"/>
                          <pic:cNvPicPr>
                            <a:picLocks noChangeAspect="1"/>
                          </pic:cNvPicPr>
                        </pic:nvPicPr>
                        <pic:blipFill>
                          <a:blip r:embed="rId17"/>
                          <a:stretch>
                            <a:fillRect/>
                          </a:stretch>
                        </pic:blipFill>
                        <pic:spPr>
                          <a:xfrm>
                            <a:off x="0" y="0"/>
                            <a:ext cx="1333500" cy="114300"/>
                          </a:xfrm>
                          <a:prstGeom prst="rect">
                            <a:avLst/>
                          </a:prstGeom>
                          <a:noFill/>
                          <a:ln>
                            <a:noFill/>
                          </a:ln>
                        </pic:spPr>
                      </pic:pic>
                    </a:graphicData>
                  </a:graphic>
                </wp:inline>
              </w:drawing>
            </w:r>
            <w:r>
              <w:t>1.82%</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C.不清楚</w:t>
            </w:r>
          </w:p>
        </w:tc>
        <w:tc>
          <w:tcPr>
            <w:shd w:val="clear" w:color="auto" w:fill="FFFFFF"/>
            <w:vAlign w:val="center"/>
          </w:tcPr>
          <w:p>
            <w:pPr>
              <w:jc w:val="center"/>
            </w:pPr>
            <w:r>
              <w:t>0</w:t>
            </w:r>
          </w:p>
        </w:tc>
        <w:tc>
          <w:tcPr>
            <w:shd w:val="clear" w:color="auto" w:fill="FFFFFF"/>
            <w:vAlign w:val="center"/>
          </w:tcPr>
          <w:p>
            <w:pPr>
              <w:jc w:val="left"/>
            </w:pPr>
            <w:r>
              <w:drawing>
                <wp:inline distT="0" distB="0" distL="114300" distR="114300">
                  <wp:extent cx="1352550" cy="114300"/>
                  <wp:effectExtent l="0" t="0" r="6350" b="0"/>
                  <wp:docPr id="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8"/>
                          <pic:cNvPicPr>
                            <a:picLocks noChangeAspect="1"/>
                          </pic:cNvPicPr>
                        </pic:nvPicPr>
                        <pic:blipFill>
                          <a:blip r:embed="rId9"/>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本题有效填写人次</w:t>
            </w:r>
          </w:p>
        </w:tc>
        <w:tc>
          <w:tcPr>
            <w:shd w:val="clear" w:color="auto" w:fill="F5F5F5"/>
            <w:vAlign w:val="center"/>
          </w:tcPr>
          <w:p>
            <w:pPr>
              <w:jc w:val="center"/>
            </w:pPr>
            <w:r>
              <w:t>55</w:t>
            </w:r>
          </w:p>
        </w:tc>
        <w:tc>
          <w:tcPr>
            <w:shd w:val="clear" w:color="auto" w:fill="F5F5F5"/>
            <w:vAlign w:val="center"/>
          </w:tcPr>
          <w:p>
            <w:pPr>
              <w:jc w:val="left"/>
            </w:pPr>
          </w:p>
        </w:tc>
      </w:tr>
    </w:tbl>
    <w:p>
      <w:pPr>
        <w:rPr>
          <w:b w:val="0"/>
          <w:color w:val="000000"/>
          <w:sz w:val="24"/>
        </w:rPr>
      </w:pPr>
    </w:p>
    <w:p>
      <w:pPr>
        <w:rPr>
          <w:b w:val="0"/>
          <w:color w:val="000000"/>
          <w:sz w:val="24"/>
        </w:rPr>
      </w:pPr>
    </w:p>
    <w:p>
      <w:r>
        <w:rPr>
          <w:b w:val="0"/>
          <w:color w:val="000000"/>
          <w:sz w:val="24"/>
        </w:rPr>
        <w:t xml:space="preserve">5、您认为教育专项资金项目是否促进教育教学均衡发展？   </w:t>
      </w:r>
      <w:r>
        <w:rPr>
          <w:b w:val="0"/>
          <w:color w:val="0066FF"/>
          <w:sz w:val="24"/>
        </w:rPr>
        <w:t>[单选题]</w:t>
      </w:r>
    </w:p>
    <w:p>
      <w:pPr>
        <w:rPr>
          <w:b w:val="0"/>
          <w:color w:val="0066FF"/>
          <w:sz w:val="24"/>
        </w:rPr>
      </w:pPr>
    </w:p>
    <w:tbl>
      <w:tblPr>
        <w:tblStyle w:val="11"/>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321"/>
        <w:gridCol w:w="1036"/>
        <w:gridCol w:w="4165"/>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A.是</w:t>
            </w:r>
          </w:p>
        </w:tc>
        <w:tc>
          <w:tcPr>
            <w:shd w:val="clear" w:color="auto" w:fill="FFFFFF"/>
            <w:vAlign w:val="center"/>
          </w:tcPr>
          <w:p>
            <w:pPr>
              <w:jc w:val="center"/>
            </w:pPr>
            <w:r>
              <w:t>50</w:t>
            </w:r>
          </w:p>
        </w:tc>
        <w:tc>
          <w:tcPr>
            <w:shd w:val="clear" w:color="auto" w:fill="FFFFFF"/>
            <w:vAlign w:val="center"/>
          </w:tcPr>
          <w:p>
            <w:pPr>
              <w:jc w:val="left"/>
            </w:pPr>
            <w:r>
              <w:drawing>
                <wp:inline distT="0" distB="0" distL="114300" distR="114300">
                  <wp:extent cx="1228725" cy="114300"/>
                  <wp:effectExtent l="0" t="0" r="3175" b="0"/>
                  <wp:docPr id="1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9"/>
                          <pic:cNvPicPr>
                            <a:picLocks noChangeAspect="1"/>
                          </pic:cNvPicPr>
                        </pic:nvPicPr>
                        <pic:blipFill>
                          <a:blip r:embed="rId18"/>
                          <a:stretch>
                            <a:fillRect/>
                          </a:stretch>
                        </pic:blipFill>
                        <pic:spPr>
                          <a:xfrm>
                            <a:off x="0" y="0"/>
                            <a:ext cx="1228725" cy="114300"/>
                          </a:xfrm>
                          <a:prstGeom prst="rect">
                            <a:avLst/>
                          </a:prstGeom>
                          <a:noFill/>
                          <a:ln>
                            <a:noFill/>
                          </a:ln>
                        </pic:spPr>
                      </pic:pic>
                    </a:graphicData>
                  </a:graphic>
                </wp:inline>
              </w:drawing>
            </w:r>
            <w:r>
              <w:drawing>
                <wp:inline distT="0" distB="0" distL="114300" distR="114300">
                  <wp:extent cx="123825" cy="114300"/>
                  <wp:effectExtent l="0" t="0" r="3175" b="0"/>
                  <wp:docPr id="1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0"/>
                          <pic:cNvPicPr>
                            <a:picLocks noChangeAspect="1"/>
                          </pic:cNvPicPr>
                        </pic:nvPicPr>
                        <pic:blipFill>
                          <a:blip r:embed="rId19"/>
                          <a:stretch>
                            <a:fillRect/>
                          </a:stretch>
                        </pic:blipFill>
                        <pic:spPr>
                          <a:xfrm>
                            <a:off x="0" y="0"/>
                            <a:ext cx="123825" cy="114300"/>
                          </a:xfrm>
                          <a:prstGeom prst="rect">
                            <a:avLst/>
                          </a:prstGeom>
                          <a:noFill/>
                          <a:ln>
                            <a:noFill/>
                          </a:ln>
                        </pic:spPr>
                      </pic:pic>
                    </a:graphicData>
                  </a:graphic>
                </wp:inline>
              </w:drawing>
            </w:r>
            <w:r>
              <w:t>90.91%</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B.否</w:t>
            </w:r>
          </w:p>
        </w:tc>
        <w:tc>
          <w:tcPr>
            <w:shd w:val="clear" w:color="auto" w:fill="FAFAFA"/>
            <w:vAlign w:val="center"/>
          </w:tcPr>
          <w:p>
            <w:pPr>
              <w:jc w:val="center"/>
            </w:pPr>
            <w:r>
              <w:t>2</w:t>
            </w:r>
          </w:p>
        </w:tc>
        <w:tc>
          <w:tcPr>
            <w:shd w:val="clear" w:color="auto" w:fill="FAFAFA"/>
            <w:vAlign w:val="center"/>
          </w:tcPr>
          <w:p>
            <w:pPr>
              <w:jc w:val="left"/>
            </w:pPr>
            <w:r>
              <w:drawing>
                <wp:inline distT="0" distB="0" distL="114300" distR="114300">
                  <wp:extent cx="47625" cy="114300"/>
                  <wp:effectExtent l="0" t="0" r="3175" b="0"/>
                  <wp:docPr id="2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1"/>
                          <pic:cNvPicPr>
                            <a:picLocks noChangeAspect="1"/>
                          </pic:cNvPicPr>
                        </pic:nvPicPr>
                        <pic:blipFill>
                          <a:blip r:embed="rId20"/>
                          <a:stretch>
                            <a:fillRect/>
                          </a:stretch>
                        </pic:blipFill>
                        <pic:spPr>
                          <a:xfrm>
                            <a:off x="0" y="0"/>
                            <a:ext cx="47625" cy="114300"/>
                          </a:xfrm>
                          <a:prstGeom prst="rect">
                            <a:avLst/>
                          </a:prstGeom>
                          <a:noFill/>
                          <a:ln>
                            <a:noFill/>
                          </a:ln>
                        </pic:spPr>
                      </pic:pic>
                    </a:graphicData>
                  </a:graphic>
                </wp:inline>
              </w:drawing>
            </w:r>
            <w:r>
              <w:drawing>
                <wp:inline distT="0" distB="0" distL="114300" distR="114300">
                  <wp:extent cx="1304925" cy="114300"/>
                  <wp:effectExtent l="0" t="0" r="3175" b="0"/>
                  <wp:docPr id="2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2"/>
                          <pic:cNvPicPr>
                            <a:picLocks noChangeAspect="1"/>
                          </pic:cNvPicPr>
                        </pic:nvPicPr>
                        <pic:blipFill>
                          <a:blip r:embed="rId21"/>
                          <a:stretch>
                            <a:fillRect/>
                          </a:stretch>
                        </pic:blipFill>
                        <pic:spPr>
                          <a:xfrm>
                            <a:off x="0" y="0"/>
                            <a:ext cx="1304925" cy="114300"/>
                          </a:xfrm>
                          <a:prstGeom prst="rect">
                            <a:avLst/>
                          </a:prstGeom>
                          <a:noFill/>
                          <a:ln>
                            <a:noFill/>
                          </a:ln>
                        </pic:spPr>
                      </pic:pic>
                    </a:graphicData>
                  </a:graphic>
                </wp:inline>
              </w:drawing>
            </w:r>
            <w:r>
              <w:t>3.64%</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C.不清楚</w:t>
            </w:r>
          </w:p>
        </w:tc>
        <w:tc>
          <w:tcPr>
            <w:shd w:val="clear" w:color="auto" w:fill="FFFFFF"/>
            <w:vAlign w:val="center"/>
          </w:tcPr>
          <w:p>
            <w:pPr>
              <w:jc w:val="center"/>
            </w:pPr>
            <w:r>
              <w:t>3</w:t>
            </w:r>
          </w:p>
        </w:tc>
        <w:tc>
          <w:tcPr>
            <w:shd w:val="clear" w:color="auto" w:fill="FFFFFF"/>
            <w:vAlign w:val="center"/>
          </w:tcPr>
          <w:p>
            <w:pPr>
              <w:jc w:val="left"/>
            </w:pPr>
            <w:r>
              <w:drawing>
                <wp:inline distT="0" distB="0" distL="114300" distR="114300">
                  <wp:extent cx="66675" cy="114300"/>
                  <wp:effectExtent l="0" t="0" r="9525" b="0"/>
                  <wp:docPr id="2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3"/>
                          <pic:cNvPicPr>
                            <a:picLocks noChangeAspect="1"/>
                          </pic:cNvPicPr>
                        </pic:nvPicPr>
                        <pic:blipFill>
                          <a:blip r:embed="rId22"/>
                          <a:stretch>
                            <a:fillRect/>
                          </a:stretch>
                        </pic:blipFill>
                        <pic:spPr>
                          <a:xfrm>
                            <a:off x="0" y="0"/>
                            <a:ext cx="66675" cy="114300"/>
                          </a:xfrm>
                          <a:prstGeom prst="rect">
                            <a:avLst/>
                          </a:prstGeom>
                          <a:noFill/>
                          <a:ln>
                            <a:noFill/>
                          </a:ln>
                        </pic:spPr>
                      </pic:pic>
                    </a:graphicData>
                  </a:graphic>
                </wp:inline>
              </w:drawing>
            </w:r>
            <w:r>
              <w:drawing>
                <wp:inline distT="0" distB="0" distL="114300" distR="114300">
                  <wp:extent cx="1285875" cy="114300"/>
                  <wp:effectExtent l="0" t="0" r="9525" b="0"/>
                  <wp:docPr id="2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4"/>
                          <pic:cNvPicPr>
                            <a:picLocks noChangeAspect="1"/>
                          </pic:cNvPicPr>
                        </pic:nvPicPr>
                        <pic:blipFill>
                          <a:blip r:embed="rId23"/>
                          <a:stretch>
                            <a:fillRect/>
                          </a:stretch>
                        </pic:blipFill>
                        <pic:spPr>
                          <a:xfrm>
                            <a:off x="0" y="0"/>
                            <a:ext cx="1285875" cy="114300"/>
                          </a:xfrm>
                          <a:prstGeom prst="rect">
                            <a:avLst/>
                          </a:prstGeom>
                          <a:noFill/>
                          <a:ln>
                            <a:noFill/>
                          </a:ln>
                        </pic:spPr>
                      </pic:pic>
                    </a:graphicData>
                  </a:graphic>
                </wp:inline>
              </w:drawing>
            </w:r>
            <w:r>
              <w:t>5.45%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本题有效填写人次</w:t>
            </w:r>
          </w:p>
        </w:tc>
        <w:tc>
          <w:tcPr>
            <w:shd w:val="clear" w:color="auto" w:fill="F5F5F5"/>
            <w:vAlign w:val="center"/>
          </w:tcPr>
          <w:p>
            <w:pPr>
              <w:jc w:val="center"/>
            </w:pPr>
            <w:r>
              <w:t>55</w:t>
            </w:r>
          </w:p>
        </w:tc>
        <w:tc>
          <w:tcPr>
            <w:shd w:val="clear" w:color="auto" w:fill="F5F5F5"/>
            <w:vAlign w:val="center"/>
          </w:tcPr>
          <w:p>
            <w:pPr>
              <w:jc w:val="left"/>
            </w:pPr>
          </w:p>
        </w:tc>
      </w:tr>
    </w:tbl>
    <w:p>
      <w:pPr>
        <w:rPr>
          <w:b w:val="0"/>
          <w:color w:val="000000"/>
          <w:sz w:val="24"/>
        </w:rPr>
      </w:pPr>
    </w:p>
    <w:p>
      <w:pPr>
        <w:rPr>
          <w:b w:val="0"/>
          <w:color w:val="000000"/>
          <w:sz w:val="24"/>
        </w:rPr>
      </w:pPr>
    </w:p>
    <w:p>
      <w:r>
        <w:rPr>
          <w:b w:val="0"/>
          <w:color w:val="000000"/>
          <w:sz w:val="24"/>
        </w:rPr>
        <w:t xml:space="preserve">6、您认为教育专项资金项目是否保障教育事业持续发展？   </w:t>
      </w:r>
      <w:r>
        <w:rPr>
          <w:b w:val="0"/>
          <w:color w:val="0066FF"/>
          <w:sz w:val="24"/>
        </w:rPr>
        <w:t>[单选题]</w:t>
      </w:r>
    </w:p>
    <w:p>
      <w:pPr>
        <w:rPr>
          <w:b w:val="0"/>
          <w:color w:val="0066FF"/>
          <w:sz w:val="24"/>
        </w:rPr>
      </w:pPr>
    </w:p>
    <w:tbl>
      <w:tblPr>
        <w:tblStyle w:val="11"/>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321"/>
        <w:gridCol w:w="1036"/>
        <w:gridCol w:w="4165"/>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A.是</w:t>
            </w:r>
          </w:p>
        </w:tc>
        <w:tc>
          <w:tcPr>
            <w:shd w:val="clear" w:color="auto" w:fill="FFFFFF"/>
            <w:vAlign w:val="center"/>
          </w:tcPr>
          <w:p>
            <w:pPr>
              <w:jc w:val="center"/>
            </w:pPr>
            <w:r>
              <w:t>50</w:t>
            </w:r>
          </w:p>
        </w:tc>
        <w:tc>
          <w:tcPr>
            <w:shd w:val="clear" w:color="auto" w:fill="FFFFFF"/>
            <w:vAlign w:val="center"/>
          </w:tcPr>
          <w:p>
            <w:pPr>
              <w:jc w:val="left"/>
            </w:pPr>
            <w:r>
              <w:drawing>
                <wp:inline distT="0" distB="0" distL="114300" distR="114300">
                  <wp:extent cx="1228725" cy="114300"/>
                  <wp:effectExtent l="0" t="0" r="3175" b="0"/>
                  <wp:docPr id="2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5"/>
                          <pic:cNvPicPr>
                            <a:picLocks noChangeAspect="1"/>
                          </pic:cNvPicPr>
                        </pic:nvPicPr>
                        <pic:blipFill>
                          <a:blip r:embed="rId18"/>
                          <a:stretch>
                            <a:fillRect/>
                          </a:stretch>
                        </pic:blipFill>
                        <pic:spPr>
                          <a:xfrm>
                            <a:off x="0" y="0"/>
                            <a:ext cx="1228725" cy="114300"/>
                          </a:xfrm>
                          <a:prstGeom prst="rect">
                            <a:avLst/>
                          </a:prstGeom>
                          <a:noFill/>
                          <a:ln>
                            <a:noFill/>
                          </a:ln>
                        </pic:spPr>
                      </pic:pic>
                    </a:graphicData>
                  </a:graphic>
                </wp:inline>
              </w:drawing>
            </w:r>
            <w:r>
              <w:drawing>
                <wp:inline distT="0" distB="0" distL="114300" distR="114300">
                  <wp:extent cx="123825" cy="114300"/>
                  <wp:effectExtent l="0" t="0" r="3175" b="0"/>
                  <wp:docPr id="2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6"/>
                          <pic:cNvPicPr>
                            <a:picLocks noChangeAspect="1"/>
                          </pic:cNvPicPr>
                        </pic:nvPicPr>
                        <pic:blipFill>
                          <a:blip r:embed="rId19"/>
                          <a:stretch>
                            <a:fillRect/>
                          </a:stretch>
                        </pic:blipFill>
                        <pic:spPr>
                          <a:xfrm>
                            <a:off x="0" y="0"/>
                            <a:ext cx="123825" cy="114300"/>
                          </a:xfrm>
                          <a:prstGeom prst="rect">
                            <a:avLst/>
                          </a:prstGeom>
                          <a:noFill/>
                          <a:ln>
                            <a:noFill/>
                          </a:ln>
                        </pic:spPr>
                      </pic:pic>
                    </a:graphicData>
                  </a:graphic>
                </wp:inline>
              </w:drawing>
            </w:r>
            <w:r>
              <w:t>90.91%</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B.否</w:t>
            </w:r>
          </w:p>
        </w:tc>
        <w:tc>
          <w:tcPr>
            <w:shd w:val="clear" w:color="auto" w:fill="FAFAFA"/>
            <w:vAlign w:val="center"/>
          </w:tcPr>
          <w:p>
            <w:pPr>
              <w:jc w:val="center"/>
            </w:pPr>
            <w:r>
              <w:t>2</w:t>
            </w:r>
          </w:p>
        </w:tc>
        <w:tc>
          <w:tcPr>
            <w:shd w:val="clear" w:color="auto" w:fill="FAFAFA"/>
            <w:vAlign w:val="center"/>
          </w:tcPr>
          <w:p>
            <w:pPr>
              <w:jc w:val="left"/>
            </w:pPr>
            <w:r>
              <w:drawing>
                <wp:inline distT="0" distB="0" distL="114300" distR="114300">
                  <wp:extent cx="47625" cy="114300"/>
                  <wp:effectExtent l="0" t="0" r="3175" b="0"/>
                  <wp:docPr id="26"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7"/>
                          <pic:cNvPicPr>
                            <a:picLocks noChangeAspect="1"/>
                          </pic:cNvPicPr>
                        </pic:nvPicPr>
                        <pic:blipFill>
                          <a:blip r:embed="rId20"/>
                          <a:stretch>
                            <a:fillRect/>
                          </a:stretch>
                        </pic:blipFill>
                        <pic:spPr>
                          <a:xfrm>
                            <a:off x="0" y="0"/>
                            <a:ext cx="47625" cy="114300"/>
                          </a:xfrm>
                          <a:prstGeom prst="rect">
                            <a:avLst/>
                          </a:prstGeom>
                          <a:noFill/>
                          <a:ln>
                            <a:noFill/>
                          </a:ln>
                        </pic:spPr>
                      </pic:pic>
                    </a:graphicData>
                  </a:graphic>
                </wp:inline>
              </w:drawing>
            </w:r>
            <w:r>
              <w:drawing>
                <wp:inline distT="0" distB="0" distL="114300" distR="114300">
                  <wp:extent cx="1304925" cy="114300"/>
                  <wp:effectExtent l="0" t="0" r="3175" b="0"/>
                  <wp:docPr id="2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8"/>
                          <pic:cNvPicPr>
                            <a:picLocks noChangeAspect="1"/>
                          </pic:cNvPicPr>
                        </pic:nvPicPr>
                        <pic:blipFill>
                          <a:blip r:embed="rId21"/>
                          <a:stretch>
                            <a:fillRect/>
                          </a:stretch>
                        </pic:blipFill>
                        <pic:spPr>
                          <a:xfrm>
                            <a:off x="0" y="0"/>
                            <a:ext cx="1304925" cy="114300"/>
                          </a:xfrm>
                          <a:prstGeom prst="rect">
                            <a:avLst/>
                          </a:prstGeom>
                          <a:noFill/>
                          <a:ln>
                            <a:noFill/>
                          </a:ln>
                        </pic:spPr>
                      </pic:pic>
                    </a:graphicData>
                  </a:graphic>
                </wp:inline>
              </w:drawing>
            </w:r>
            <w:r>
              <w:t>3.64%</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C.不清楚</w:t>
            </w:r>
          </w:p>
        </w:tc>
        <w:tc>
          <w:tcPr>
            <w:shd w:val="clear" w:color="auto" w:fill="FFFFFF"/>
            <w:vAlign w:val="center"/>
          </w:tcPr>
          <w:p>
            <w:pPr>
              <w:jc w:val="center"/>
            </w:pPr>
            <w:r>
              <w:t>3</w:t>
            </w:r>
          </w:p>
        </w:tc>
        <w:tc>
          <w:tcPr>
            <w:shd w:val="clear" w:color="auto" w:fill="FFFFFF"/>
            <w:vAlign w:val="center"/>
          </w:tcPr>
          <w:p>
            <w:pPr>
              <w:jc w:val="left"/>
            </w:pPr>
            <w:r>
              <w:drawing>
                <wp:inline distT="0" distB="0" distL="114300" distR="114300">
                  <wp:extent cx="66675" cy="114300"/>
                  <wp:effectExtent l="0" t="0" r="9525" b="0"/>
                  <wp:docPr id="28"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9"/>
                          <pic:cNvPicPr>
                            <a:picLocks noChangeAspect="1"/>
                          </pic:cNvPicPr>
                        </pic:nvPicPr>
                        <pic:blipFill>
                          <a:blip r:embed="rId22"/>
                          <a:stretch>
                            <a:fillRect/>
                          </a:stretch>
                        </pic:blipFill>
                        <pic:spPr>
                          <a:xfrm>
                            <a:off x="0" y="0"/>
                            <a:ext cx="66675" cy="114300"/>
                          </a:xfrm>
                          <a:prstGeom prst="rect">
                            <a:avLst/>
                          </a:prstGeom>
                          <a:noFill/>
                          <a:ln>
                            <a:noFill/>
                          </a:ln>
                        </pic:spPr>
                      </pic:pic>
                    </a:graphicData>
                  </a:graphic>
                </wp:inline>
              </w:drawing>
            </w:r>
            <w:r>
              <w:drawing>
                <wp:inline distT="0" distB="0" distL="114300" distR="114300">
                  <wp:extent cx="1285875" cy="114300"/>
                  <wp:effectExtent l="0" t="0" r="9525" b="0"/>
                  <wp:docPr id="29"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0"/>
                          <pic:cNvPicPr>
                            <a:picLocks noChangeAspect="1"/>
                          </pic:cNvPicPr>
                        </pic:nvPicPr>
                        <pic:blipFill>
                          <a:blip r:embed="rId23"/>
                          <a:stretch>
                            <a:fillRect/>
                          </a:stretch>
                        </pic:blipFill>
                        <pic:spPr>
                          <a:xfrm>
                            <a:off x="0" y="0"/>
                            <a:ext cx="1285875" cy="114300"/>
                          </a:xfrm>
                          <a:prstGeom prst="rect">
                            <a:avLst/>
                          </a:prstGeom>
                          <a:noFill/>
                          <a:ln>
                            <a:noFill/>
                          </a:ln>
                        </pic:spPr>
                      </pic:pic>
                    </a:graphicData>
                  </a:graphic>
                </wp:inline>
              </w:drawing>
            </w:r>
            <w:r>
              <w:t>5.45%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本题有效填写人次</w:t>
            </w:r>
          </w:p>
        </w:tc>
        <w:tc>
          <w:tcPr>
            <w:shd w:val="clear" w:color="auto" w:fill="F5F5F5"/>
            <w:vAlign w:val="center"/>
          </w:tcPr>
          <w:p>
            <w:pPr>
              <w:jc w:val="center"/>
            </w:pPr>
            <w:r>
              <w:t>55</w:t>
            </w:r>
          </w:p>
        </w:tc>
        <w:tc>
          <w:tcPr>
            <w:shd w:val="clear" w:color="auto" w:fill="F5F5F5"/>
            <w:vAlign w:val="center"/>
          </w:tcPr>
          <w:p>
            <w:pPr>
              <w:jc w:val="left"/>
            </w:pPr>
          </w:p>
        </w:tc>
      </w:tr>
    </w:tbl>
    <w:p>
      <w:pPr>
        <w:rPr>
          <w:b w:val="0"/>
          <w:color w:val="000000"/>
          <w:sz w:val="24"/>
        </w:rPr>
      </w:pPr>
    </w:p>
    <w:p>
      <w:pPr>
        <w:rPr>
          <w:b w:val="0"/>
          <w:color w:val="000000"/>
          <w:sz w:val="24"/>
        </w:rPr>
      </w:pPr>
    </w:p>
    <w:p>
      <w:pPr>
        <w:rPr>
          <w:b w:val="0"/>
          <w:color w:val="000000"/>
          <w:sz w:val="24"/>
        </w:rPr>
      </w:pPr>
    </w:p>
    <w:p>
      <w:r>
        <w:rPr>
          <w:b w:val="0"/>
          <w:color w:val="000000"/>
          <w:sz w:val="24"/>
        </w:rPr>
        <w:t xml:space="preserve">7、您对该项目的总体评价如何？   </w:t>
      </w:r>
      <w:r>
        <w:rPr>
          <w:b w:val="0"/>
          <w:color w:val="0066FF"/>
          <w:sz w:val="24"/>
        </w:rPr>
        <w:t>[单选题]</w:t>
      </w:r>
    </w:p>
    <w:p>
      <w:pPr>
        <w:rPr>
          <w:b w:val="0"/>
          <w:color w:val="0066FF"/>
          <w:sz w:val="24"/>
        </w:rPr>
      </w:pPr>
    </w:p>
    <w:tbl>
      <w:tblPr>
        <w:tblStyle w:val="11"/>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321"/>
        <w:gridCol w:w="1036"/>
        <w:gridCol w:w="4165"/>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A.满意</w:t>
            </w:r>
          </w:p>
        </w:tc>
        <w:tc>
          <w:tcPr>
            <w:shd w:val="clear" w:color="auto" w:fill="FFFFFF"/>
            <w:vAlign w:val="center"/>
          </w:tcPr>
          <w:p>
            <w:pPr>
              <w:jc w:val="center"/>
            </w:pPr>
            <w:r>
              <w:t>49</w:t>
            </w:r>
          </w:p>
        </w:tc>
        <w:tc>
          <w:tcPr>
            <w:shd w:val="clear" w:color="auto" w:fill="FFFFFF"/>
            <w:vAlign w:val="center"/>
          </w:tcPr>
          <w:p>
            <w:pPr>
              <w:jc w:val="left"/>
            </w:pPr>
            <w:r>
              <w:drawing>
                <wp:inline distT="0" distB="0" distL="114300" distR="114300">
                  <wp:extent cx="1200150" cy="114300"/>
                  <wp:effectExtent l="0" t="0" r="6350" b="0"/>
                  <wp:docPr id="30"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1"/>
                          <pic:cNvPicPr>
                            <a:picLocks noChangeAspect="1"/>
                          </pic:cNvPicPr>
                        </pic:nvPicPr>
                        <pic:blipFill>
                          <a:blip r:embed="rId24"/>
                          <a:stretch>
                            <a:fillRect/>
                          </a:stretch>
                        </pic:blipFill>
                        <pic:spPr>
                          <a:xfrm>
                            <a:off x="0" y="0"/>
                            <a:ext cx="1200150" cy="114300"/>
                          </a:xfrm>
                          <a:prstGeom prst="rect">
                            <a:avLst/>
                          </a:prstGeom>
                          <a:noFill/>
                          <a:ln>
                            <a:noFill/>
                          </a:ln>
                        </pic:spPr>
                      </pic:pic>
                    </a:graphicData>
                  </a:graphic>
                </wp:inline>
              </w:drawing>
            </w:r>
            <w:r>
              <w:drawing>
                <wp:inline distT="0" distB="0" distL="114300" distR="114300">
                  <wp:extent cx="152400" cy="114300"/>
                  <wp:effectExtent l="0" t="0" r="0" b="0"/>
                  <wp:docPr id="31"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2"/>
                          <pic:cNvPicPr>
                            <a:picLocks noChangeAspect="1"/>
                          </pic:cNvPicPr>
                        </pic:nvPicPr>
                        <pic:blipFill>
                          <a:blip r:embed="rId25"/>
                          <a:stretch>
                            <a:fillRect/>
                          </a:stretch>
                        </pic:blipFill>
                        <pic:spPr>
                          <a:xfrm>
                            <a:off x="0" y="0"/>
                            <a:ext cx="152400" cy="114300"/>
                          </a:xfrm>
                          <a:prstGeom prst="rect">
                            <a:avLst/>
                          </a:prstGeom>
                          <a:noFill/>
                          <a:ln>
                            <a:noFill/>
                          </a:ln>
                        </pic:spPr>
                      </pic:pic>
                    </a:graphicData>
                  </a:graphic>
                </wp:inline>
              </w:drawing>
            </w:r>
            <w:r>
              <w:t>89.09%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B.一般</w:t>
            </w:r>
          </w:p>
        </w:tc>
        <w:tc>
          <w:tcPr>
            <w:shd w:val="clear" w:color="auto" w:fill="FAFAFA"/>
            <w:vAlign w:val="center"/>
          </w:tcPr>
          <w:p>
            <w:pPr>
              <w:jc w:val="center"/>
            </w:pPr>
            <w:r>
              <w:t>3</w:t>
            </w:r>
          </w:p>
        </w:tc>
        <w:tc>
          <w:tcPr>
            <w:shd w:val="clear" w:color="auto" w:fill="FAFAFA"/>
            <w:vAlign w:val="center"/>
          </w:tcPr>
          <w:p>
            <w:pPr>
              <w:jc w:val="left"/>
            </w:pPr>
            <w:r>
              <w:drawing>
                <wp:inline distT="0" distB="0" distL="114300" distR="114300">
                  <wp:extent cx="66675" cy="114300"/>
                  <wp:effectExtent l="0" t="0" r="9525" b="0"/>
                  <wp:docPr id="32"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3"/>
                          <pic:cNvPicPr>
                            <a:picLocks noChangeAspect="1"/>
                          </pic:cNvPicPr>
                        </pic:nvPicPr>
                        <pic:blipFill>
                          <a:blip r:embed="rId22"/>
                          <a:stretch>
                            <a:fillRect/>
                          </a:stretch>
                        </pic:blipFill>
                        <pic:spPr>
                          <a:xfrm>
                            <a:off x="0" y="0"/>
                            <a:ext cx="66675" cy="114300"/>
                          </a:xfrm>
                          <a:prstGeom prst="rect">
                            <a:avLst/>
                          </a:prstGeom>
                          <a:noFill/>
                          <a:ln>
                            <a:noFill/>
                          </a:ln>
                        </pic:spPr>
                      </pic:pic>
                    </a:graphicData>
                  </a:graphic>
                </wp:inline>
              </w:drawing>
            </w:r>
            <w:r>
              <w:drawing>
                <wp:inline distT="0" distB="0" distL="114300" distR="114300">
                  <wp:extent cx="1285875" cy="114300"/>
                  <wp:effectExtent l="0" t="0" r="9525" b="0"/>
                  <wp:docPr id="33"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4"/>
                          <pic:cNvPicPr>
                            <a:picLocks noChangeAspect="1"/>
                          </pic:cNvPicPr>
                        </pic:nvPicPr>
                        <pic:blipFill>
                          <a:blip r:embed="rId23"/>
                          <a:stretch>
                            <a:fillRect/>
                          </a:stretch>
                        </pic:blipFill>
                        <pic:spPr>
                          <a:xfrm>
                            <a:off x="0" y="0"/>
                            <a:ext cx="1285875" cy="114300"/>
                          </a:xfrm>
                          <a:prstGeom prst="rect">
                            <a:avLst/>
                          </a:prstGeom>
                          <a:noFill/>
                          <a:ln>
                            <a:noFill/>
                          </a:ln>
                        </pic:spPr>
                      </pic:pic>
                    </a:graphicData>
                  </a:graphic>
                </wp:inline>
              </w:drawing>
            </w:r>
            <w:r>
              <w:t>5.45%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C.不满意</w:t>
            </w:r>
          </w:p>
        </w:tc>
        <w:tc>
          <w:tcPr>
            <w:shd w:val="clear" w:color="auto" w:fill="FFFFFF"/>
            <w:vAlign w:val="center"/>
          </w:tcPr>
          <w:p>
            <w:pPr>
              <w:jc w:val="center"/>
            </w:pPr>
            <w:r>
              <w:t>3</w:t>
            </w:r>
          </w:p>
        </w:tc>
        <w:tc>
          <w:tcPr>
            <w:shd w:val="clear" w:color="auto" w:fill="FFFFFF"/>
            <w:vAlign w:val="center"/>
          </w:tcPr>
          <w:p>
            <w:pPr>
              <w:jc w:val="left"/>
            </w:pPr>
            <w:r>
              <w:drawing>
                <wp:inline distT="0" distB="0" distL="114300" distR="114300">
                  <wp:extent cx="66675" cy="114300"/>
                  <wp:effectExtent l="0" t="0" r="9525" b="0"/>
                  <wp:docPr id="34"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5"/>
                          <pic:cNvPicPr>
                            <a:picLocks noChangeAspect="1"/>
                          </pic:cNvPicPr>
                        </pic:nvPicPr>
                        <pic:blipFill>
                          <a:blip r:embed="rId22"/>
                          <a:stretch>
                            <a:fillRect/>
                          </a:stretch>
                        </pic:blipFill>
                        <pic:spPr>
                          <a:xfrm>
                            <a:off x="0" y="0"/>
                            <a:ext cx="66675" cy="114300"/>
                          </a:xfrm>
                          <a:prstGeom prst="rect">
                            <a:avLst/>
                          </a:prstGeom>
                          <a:noFill/>
                          <a:ln>
                            <a:noFill/>
                          </a:ln>
                        </pic:spPr>
                      </pic:pic>
                    </a:graphicData>
                  </a:graphic>
                </wp:inline>
              </w:drawing>
            </w:r>
            <w:r>
              <w:drawing>
                <wp:inline distT="0" distB="0" distL="114300" distR="114300">
                  <wp:extent cx="1285875" cy="114300"/>
                  <wp:effectExtent l="0" t="0" r="9525" b="0"/>
                  <wp:docPr id="35"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6"/>
                          <pic:cNvPicPr>
                            <a:picLocks noChangeAspect="1"/>
                          </pic:cNvPicPr>
                        </pic:nvPicPr>
                        <pic:blipFill>
                          <a:blip r:embed="rId23"/>
                          <a:stretch>
                            <a:fillRect/>
                          </a:stretch>
                        </pic:blipFill>
                        <pic:spPr>
                          <a:xfrm>
                            <a:off x="0" y="0"/>
                            <a:ext cx="1285875" cy="114300"/>
                          </a:xfrm>
                          <a:prstGeom prst="rect">
                            <a:avLst/>
                          </a:prstGeom>
                          <a:noFill/>
                          <a:ln>
                            <a:noFill/>
                          </a:ln>
                        </pic:spPr>
                      </pic:pic>
                    </a:graphicData>
                  </a:graphic>
                </wp:inline>
              </w:drawing>
            </w:r>
            <w:r>
              <w:t>5.45%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本题有效填写人次</w:t>
            </w:r>
          </w:p>
        </w:tc>
        <w:tc>
          <w:tcPr>
            <w:shd w:val="clear" w:color="auto" w:fill="F5F5F5"/>
            <w:vAlign w:val="center"/>
          </w:tcPr>
          <w:p>
            <w:pPr>
              <w:jc w:val="center"/>
            </w:pPr>
            <w:r>
              <w:t>55</w:t>
            </w:r>
          </w:p>
        </w:tc>
        <w:tc>
          <w:tcPr>
            <w:shd w:val="clear" w:color="auto" w:fill="F5F5F5"/>
            <w:vAlign w:val="center"/>
          </w:tcPr>
          <w:p>
            <w:pPr>
              <w:jc w:val="left"/>
            </w:pPr>
          </w:p>
        </w:tc>
      </w:tr>
    </w:tbl>
    <w:p/>
    <w:p/>
    <w:p>
      <w:pPr>
        <w:pStyle w:val="5"/>
      </w:pPr>
    </w:p>
    <w:p/>
    <w:p>
      <w:pPr>
        <w:pStyle w:val="5"/>
      </w:pPr>
    </w:p>
    <w:p/>
    <w:p>
      <w:pPr>
        <w:pStyle w:val="5"/>
      </w:pPr>
    </w:p>
    <w:p/>
    <w:p>
      <w:pPr>
        <w:pStyle w:val="5"/>
      </w:pPr>
    </w:p>
    <w:p/>
    <w:p>
      <w:pPr>
        <w:pStyle w:val="5"/>
      </w:pPr>
    </w:p>
    <w:p/>
    <w:p>
      <w:pPr>
        <w:pStyle w:val="5"/>
      </w:pPr>
    </w:p>
    <w:p/>
    <w:p>
      <w:pPr>
        <w:pStyle w:val="5"/>
      </w:pPr>
    </w:p>
    <w:p/>
    <w:p>
      <w:pPr>
        <w:keepLines w:val="0"/>
        <w:spacing w:after="400"/>
        <w:ind w:firstLine="160"/>
        <w:jc w:val="center"/>
      </w:pPr>
      <w:r>
        <w:rPr>
          <w:b/>
          <w:sz w:val="32"/>
        </w:rPr>
        <w:t>经开区2022年教育专项资金项目问卷调查</w:t>
      </w:r>
      <w:r>
        <w:rPr>
          <w:rFonts w:hint="eastAsia"/>
          <w:b/>
          <w:sz w:val="32"/>
          <w:lang w:eastAsia="zh-CN"/>
        </w:rPr>
        <w:t>结果统计</w:t>
      </w:r>
      <w:r>
        <w:rPr>
          <w:b/>
          <w:sz w:val="32"/>
        </w:rPr>
        <w:t>表（实验中学购置教学设备）</w:t>
      </w:r>
    </w:p>
    <w:p>
      <w:pPr>
        <w:rPr>
          <w:b/>
          <w:sz w:val="32"/>
        </w:rPr>
      </w:pPr>
      <w:r>
        <w:rPr>
          <w:b w:val="0"/>
          <w:color w:val="000000"/>
          <w:sz w:val="24"/>
        </w:rPr>
        <w:t xml:space="preserve">1、请问您是开发区实验中学的职工吗？   </w:t>
      </w:r>
      <w:r>
        <w:rPr>
          <w:b w:val="0"/>
          <w:color w:val="0066FF"/>
          <w:sz w:val="24"/>
        </w:rPr>
        <w:t>[单选题]</w:t>
      </w:r>
    </w:p>
    <w:p>
      <w:pPr>
        <w:rPr>
          <w:b w:val="0"/>
          <w:color w:val="0066FF"/>
          <w:sz w:val="24"/>
        </w:rPr>
      </w:pPr>
    </w:p>
    <w:tbl>
      <w:tblPr>
        <w:tblStyle w:val="11"/>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441"/>
        <w:gridCol w:w="1073"/>
        <w:gridCol w:w="400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A.是</w:t>
            </w:r>
          </w:p>
        </w:tc>
        <w:tc>
          <w:tcPr>
            <w:shd w:val="clear" w:color="auto" w:fill="FFFFFF"/>
            <w:vAlign w:val="center"/>
          </w:tcPr>
          <w:p>
            <w:pPr>
              <w:jc w:val="center"/>
            </w:pPr>
            <w:r>
              <w:t>40</w:t>
            </w:r>
          </w:p>
        </w:tc>
        <w:tc>
          <w:tcPr>
            <w:shd w:val="clear" w:color="auto" w:fill="FFFFFF"/>
            <w:vAlign w:val="center"/>
          </w:tcPr>
          <w:p>
            <w:pPr>
              <w:jc w:val="left"/>
            </w:pPr>
            <w:r>
              <w:drawing>
                <wp:inline distT="0" distB="0" distL="114300" distR="114300">
                  <wp:extent cx="1352550" cy="114300"/>
                  <wp:effectExtent l="0" t="0" r="0" b="0"/>
                  <wp:docPr id="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
                          <pic:cNvPicPr>
                            <a:picLocks noChangeAspect="1"/>
                          </pic:cNvPicPr>
                        </pic:nvPicPr>
                        <pic:blipFill>
                          <a:blip r:embed="rId8"/>
                          <a:stretch>
                            <a:fillRect/>
                          </a:stretch>
                        </pic:blipFill>
                        <pic:spPr>
                          <a:xfrm>
                            <a:off x="0" y="0"/>
                            <a:ext cx="1352550" cy="114300"/>
                          </a:xfrm>
                          <a:prstGeom prst="rect">
                            <a:avLst/>
                          </a:prstGeom>
                          <a:noFill/>
                          <a:ln>
                            <a:noFill/>
                          </a:ln>
                        </pic:spPr>
                      </pic:pic>
                    </a:graphicData>
                  </a:graphic>
                </wp:inline>
              </w:drawing>
            </w:r>
            <w:r>
              <w:t>100%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B.不是</w:t>
            </w:r>
          </w:p>
        </w:tc>
        <w:tc>
          <w:tcPr>
            <w:shd w:val="clear" w:color="auto" w:fill="FAFAFA"/>
            <w:vAlign w:val="center"/>
          </w:tcPr>
          <w:p>
            <w:pPr>
              <w:jc w:val="center"/>
            </w:pPr>
            <w:r>
              <w:t>0</w:t>
            </w:r>
          </w:p>
        </w:tc>
        <w:tc>
          <w:tcPr>
            <w:shd w:val="clear" w:color="auto" w:fill="FAFAFA"/>
            <w:vAlign w:val="center"/>
          </w:tcPr>
          <w:p>
            <w:pPr>
              <w:jc w:val="left"/>
            </w:pPr>
            <w:r>
              <w:drawing>
                <wp:inline distT="0" distB="0" distL="114300" distR="114300">
                  <wp:extent cx="1352550" cy="114300"/>
                  <wp:effectExtent l="0" t="0" r="0" b="0"/>
                  <wp:docPr id="4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
                          <pic:cNvPicPr>
                            <a:picLocks noChangeAspect="1"/>
                          </pic:cNvPicPr>
                        </pic:nvPicPr>
                        <pic:blipFill>
                          <a:blip r:embed="rId9"/>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本题有效填写人次</w:t>
            </w:r>
          </w:p>
        </w:tc>
        <w:tc>
          <w:tcPr>
            <w:shd w:val="clear" w:color="auto" w:fill="F5F5F5"/>
            <w:vAlign w:val="center"/>
          </w:tcPr>
          <w:p>
            <w:pPr>
              <w:jc w:val="center"/>
            </w:pPr>
            <w:r>
              <w:t>40</w:t>
            </w:r>
          </w:p>
        </w:tc>
        <w:tc>
          <w:tcPr>
            <w:shd w:val="clear" w:color="auto" w:fill="F5F5F5"/>
            <w:vAlign w:val="center"/>
          </w:tcPr>
          <w:p>
            <w:pPr>
              <w:jc w:val="left"/>
            </w:pPr>
          </w:p>
        </w:tc>
      </w:tr>
    </w:tbl>
    <w:p/>
    <w:p>
      <w:r>
        <w:rPr>
          <w:b w:val="0"/>
          <w:color w:val="000000"/>
          <w:sz w:val="24"/>
        </w:rPr>
        <w:t xml:space="preserve">2、请问您认为“2021年开发区实验中学教学装备及教学设施”的采购计划是否合理？   </w:t>
      </w:r>
      <w:r>
        <w:rPr>
          <w:b w:val="0"/>
          <w:color w:val="0066FF"/>
          <w:sz w:val="24"/>
        </w:rPr>
        <w:t>[单选题]</w:t>
      </w:r>
    </w:p>
    <w:p>
      <w:pPr>
        <w:rPr>
          <w:b w:val="0"/>
          <w:color w:val="0066FF"/>
          <w:sz w:val="24"/>
        </w:rPr>
      </w:pPr>
    </w:p>
    <w:tbl>
      <w:tblPr>
        <w:tblStyle w:val="11"/>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506"/>
        <w:gridCol w:w="1094"/>
        <w:gridCol w:w="3922"/>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PrEx>
        <w:trPr>
          <w:trHeight w:val="500" w:hRule="atLeas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A.非常合理</w:t>
            </w:r>
          </w:p>
        </w:tc>
        <w:tc>
          <w:tcPr>
            <w:shd w:val="clear" w:color="auto" w:fill="FFFFFF"/>
            <w:vAlign w:val="center"/>
          </w:tcPr>
          <w:p>
            <w:pPr>
              <w:jc w:val="center"/>
            </w:pPr>
            <w:r>
              <w:t>36</w:t>
            </w:r>
          </w:p>
        </w:tc>
        <w:tc>
          <w:tcPr>
            <w:shd w:val="clear" w:color="auto" w:fill="FFFFFF"/>
            <w:vAlign w:val="center"/>
          </w:tcPr>
          <w:p>
            <w:pPr>
              <w:jc w:val="left"/>
            </w:pPr>
            <w:r>
              <w:drawing>
                <wp:inline distT="0" distB="0" distL="114300" distR="114300">
                  <wp:extent cx="1209675" cy="114300"/>
                  <wp:effectExtent l="0" t="0" r="9525" b="0"/>
                  <wp:docPr id="4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
                          <pic:cNvPicPr>
                            <a:picLocks noChangeAspect="1"/>
                          </pic:cNvPicPr>
                        </pic:nvPicPr>
                        <pic:blipFill>
                          <a:blip r:embed="rId26"/>
                          <a:stretch>
                            <a:fillRect/>
                          </a:stretch>
                        </pic:blipFill>
                        <pic:spPr>
                          <a:xfrm>
                            <a:off x="0" y="0"/>
                            <a:ext cx="1209675" cy="114300"/>
                          </a:xfrm>
                          <a:prstGeom prst="rect">
                            <a:avLst/>
                          </a:prstGeom>
                          <a:noFill/>
                          <a:ln>
                            <a:noFill/>
                          </a:ln>
                        </pic:spPr>
                      </pic:pic>
                    </a:graphicData>
                  </a:graphic>
                </wp:inline>
              </w:drawing>
            </w:r>
            <w:r>
              <w:drawing>
                <wp:inline distT="0" distB="0" distL="114300" distR="114300">
                  <wp:extent cx="142875" cy="114300"/>
                  <wp:effectExtent l="0" t="0" r="9525" b="0"/>
                  <wp:docPr id="4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
                          <pic:cNvPicPr>
                            <a:picLocks noChangeAspect="1"/>
                          </pic:cNvPicPr>
                        </pic:nvPicPr>
                        <pic:blipFill>
                          <a:blip r:embed="rId27"/>
                          <a:stretch>
                            <a:fillRect/>
                          </a:stretch>
                        </pic:blipFill>
                        <pic:spPr>
                          <a:xfrm>
                            <a:off x="0" y="0"/>
                            <a:ext cx="142875" cy="114300"/>
                          </a:xfrm>
                          <a:prstGeom prst="rect">
                            <a:avLst/>
                          </a:prstGeom>
                          <a:noFill/>
                          <a:ln>
                            <a:noFill/>
                          </a:ln>
                        </pic:spPr>
                      </pic:pic>
                    </a:graphicData>
                  </a:graphic>
                </wp:inline>
              </w:drawing>
            </w:r>
            <w:r>
              <w:t>90%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B.合理</w:t>
            </w:r>
          </w:p>
        </w:tc>
        <w:tc>
          <w:tcPr>
            <w:shd w:val="clear" w:color="auto" w:fill="FAFAFA"/>
            <w:vAlign w:val="center"/>
          </w:tcPr>
          <w:p>
            <w:pPr>
              <w:jc w:val="center"/>
            </w:pPr>
            <w:r>
              <w:t>4</w:t>
            </w:r>
          </w:p>
        </w:tc>
        <w:tc>
          <w:tcPr>
            <w:shd w:val="clear" w:color="auto" w:fill="FAFAFA"/>
            <w:vAlign w:val="center"/>
          </w:tcPr>
          <w:p>
            <w:pPr>
              <w:jc w:val="left"/>
            </w:pPr>
            <w:r>
              <w:drawing>
                <wp:inline distT="0" distB="0" distL="114300" distR="114300">
                  <wp:extent cx="133350" cy="114300"/>
                  <wp:effectExtent l="0" t="0" r="0" b="0"/>
                  <wp:docPr id="4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5"/>
                          <pic:cNvPicPr>
                            <a:picLocks noChangeAspect="1"/>
                          </pic:cNvPicPr>
                        </pic:nvPicPr>
                        <pic:blipFill>
                          <a:blip r:embed="rId28"/>
                          <a:stretch>
                            <a:fillRect/>
                          </a:stretch>
                        </pic:blipFill>
                        <pic:spPr>
                          <a:xfrm>
                            <a:off x="0" y="0"/>
                            <a:ext cx="133350" cy="114300"/>
                          </a:xfrm>
                          <a:prstGeom prst="rect">
                            <a:avLst/>
                          </a:prstGeom>
                          <a:noFill/>
                          <a:ln>
                            <a:noFill/>
                          </a:ln>
                        </pic:spPr>
                      </pic:pic>
                    </a:graphicData>
                  </a:graphic>
                </wp:inline>
              </w:drawing>
            </w:r>
            <w:r>
              <w:drawing>
                <wp:inline distT="0" distB="0" distL="114300" distR="114300">
                  <wp:extent cx="1219200" cy="114300"/>
                  <wp:effectExtent l="0" t="0" r="0" b="0"/>
                  <wp:docPr id="4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6"/>
                          <pic:cNvPicPr>
                            <a:picLocks noChangeAspect="1"/>
                          </pic:cNvPicPr>
                        </pic:nvPicPr>
                        <pic:blipFill>
                          <a:blip r:embed="rId29"/>
                          <a:stretch>
                            <a:fillRect/>
                          </a:stretch>
                        </pic:blipFill>
                        <pic:spPr>
                          <a:xfrm>
                            <a:off x="0" y="0"/>
                            <a:ext cx="1219200" cy="114300"/>
                          </a:xfrm>
                          <a:prstGeom prst="rect">
                            <a:avLst/>
                          </a:prstGeom>
                          <a:noFill/>
                          <a:ln>
                            <a:noFill/>
                          </a:ln>
                        </pic:spPr>
                      </pic:pic>
                    </a:graphicData>
                  </a:graphic>
                </wp:inline>
              </w:drawing>
            </w:r>
            <w:r>
              <w:t>10%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C.不合理</w:t>
            </w:r>
          </w:p>
        </w:tc>
        <w:tc>
          <w:tcPr>
            <w:shd w:val="clear" w:color="auto" w:fill="FFFFFF"/>
            <w:vAlign w:val="center"/>
          </w:tcPr>
          <w:p>
            <w:pPr>
              <w:jc w:val="center"/>
            </w:pPr>
            <w:r>
              <w:t>0</w:t>
            </w:r>
          </w:p>
        </w:tc>
        <w:tc>
          <w:tcPr>
            <w:shd w:val="clear" w:color="auto" w:fill="FFFFFF"/>
            <w:vAlign w:val="center"/>
          </w:tcPr>
          <w:p>
            <w:pPr>
              <w:jc w:val="left"/>
            </w:pPr>
            <w:r>
              <w:drawing>
                <wp:inline distT="0" distB="0" distL="114300" distR="114300">
                  <wp:extent cx="1352550" cy="114300"/>
                  <wp:effectExtent l="0" t="0" r="0" b="0"/>
                  <wp:docPr id="4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7"/>
                          <pic:cNvPicPr>
                            <a:picLocks noChangeAspect="1"/>
                          </pic:cNvPicPr>
                        </pic:nvPicPr>
                        <pic:blipFill>
                          <a:blip r:embed="rId9"/>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本题有效填写人次</w:t>
            </w:r>
          </w:p>
        </w:tc>
        <w:tc>
          <w:tcPr>
            <w:shd w:val="clear" w:color="auto" w:fill="F5F5F5"/>
            <w:vAlign w:val="center"/>
          </w:tcPr>
          <w:p>
            <w:pPr>
              <w:jc w:val="center"/>
            </w:pPr>
            <w:r>
              <w:t>40</w:t>
            </w:r>
          </w:p>
        </w:tc>
        <w:tc>
          <w:tcPr>
            <w:shd w:val="clear" w:color="auto" w:fill="F5F5F5"/>
            <w:vAlign w:val="center"/>
          </w:tcPr>
          <w:p>
            <w:pPr>
              <w:jc w:val="left"/>
            </w:pPr>
          </w:p>
        </w:tc>
      </w:tr>
    </w:tbl>
    <w:p>
      <w:r>
        <w:rPr>
          <w:b w:val="0"/>
          <w:color w:val="000000"/>
          <w:sz w:val="24"/>
        </w:rPr>
        <w:t xml:space="preserve">3、请问您对开发区实验中学教学设备质量是否满意？   </w:t>
      </w:r>
      <w:r>
        <w:rPr>
          <w:b w:val="0"/>
          <w:color w:val="0066FF"/>
          <w:sz w:val="24"/>
        </w:rPr>
        <w:t>[单选题]</w:t>
      </w:r>
    </w:p>
    <w:p>
      <w:pPr>
        <w:rPr>
          <w:b w:val="0"/>
          <w:color w:val="0066FF"/>
          <w:sz w:val="24"/>
        </w:rPr>
      </w:pPr>
    </w:p>
    <w:tbl>
      <w:tblPr>
        <w:tblStyle w:val="11"/>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387"/>
        <w:gridCol w:w="1056"/>
        <w:gridCol w:w="4079"/>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A.满意</w:t>
            </w:r>
          </w:p>
        </w:tc>
        <w:tc>
          <w:tcPr>
            <w:shd w:val="clear" w:color="auto" w:fill="FFFFFF"/>
            <w:vAlign w:val="center"/>
          </w:tcPr>
          <w:p>
            <w:pPr>
              <w:jc w:val="center"/>
            </w:pPr>
            <w:r>
              <w:t>37</w:t>
            </w:r>
          </w:p>
        </w:tc>
        <w:tc>
          <w:tcPr>
            <w:shd w:val="clear" w:color="auto" w:fill="FFFFFF"/>
            <w:vAlign w:val="center"/>
          </w:tcPr>
          <w:p>
            <w:pPr>
              <w:jc w:val="left"/>
            </w:pPr>
            <w:r>
              <w:drawing>
                <wp:inline distT="0" distB="0" distL="114300" distR="114300">
                  <wp:extent cx="1247775" cy="114300"/>
                  <wp:effectExtent l="0" t="0" r="9525" b="0"/>
                  <wp:docPr id="5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8"/>
                          <pic:cNvPicPr>
                            <a:picLocks noChangeAspect="1"/>
                          </pic:cNvPicPr>
                        </pic:nvPicPr>
                        <pic:blipFill>
                          <a:blip r:embed="rId30"/>
                          <a:stretch>
                            <a:fillRect/>
                          </a:stretch>
                        </pic:blipFill>
                        <pic:spPr>
                          <a:xfrm>
                            <a:off x="0" y="0"/>
                            <a:ext cx="1247775" cy="114300"/>
                          </a:xfrm>
                          <a:prstGeom prst="rect">
                            <a:avLst/>
                          </a:prstGeom>
                          <a:noFill/>
                          <a:ln>
                            <a:noFill/>
                          </a:ln>
                        </pic:spPr>
                      </pic:pic>
                    </a:graphicData>
                  </a:graphic>
                </wp:inline>
              </w:drawing>
            </w:r>
            <w:r>
              <w:drawing>
                <wp:inline distT="0" distB="0" distL="114300" distR="114300">
                  <wp:extent cx="104775" cy="114300"/>
                  <wp:effectExtent l="0" t="0" r="9525" b="0"/>
                  <wp:docPr id="5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9"/>
                          <pic:cNvPicPr>
                            <a:picLocks noChangeAspect="1"/>
                          </pic:cNvPicPr>
                        </pic:nvPicPr>
                        <pic:blipFill>
                          <a:blip r:embed="rId31"/>
                          <a:stretch>
                            <a:fillRect/>
                          </a:stretch>
                        </pic:blipFill>
                        <pic:spPr>
                          <a:xfrm>
                            <a:off x="0" y="0"/>
                            <a:ext cx="104775" cy="114300"/>
                          </a:xfrm>
                          <a:prstGeom prst="rect">
                            <a:avLst/>
                          </a:prstGeom>
                          <a:noFill/>
                          <a:ln>
                            <a:noFill/>
                          </a:ln>
                        </pic:spPr>
                      </pic:pic>
                    </a:graphicData>
                  </a:graphic>
                </wp:inline>
              </w:drawing>
            </w:r>
            <w:r>
              <w:t>92.5%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B.一般</w:t>
            </w:r>
          </w:p>
        </w:tc>
        <w:tc>
          <w:tcPr>
            <w:shd w:val="clear" w:color="auto" w:fill="FAFAFA"/>
            <w:vAlign w:val="center"/>
          </w:tcPr>
          <w:p>
            <w:pPr>
              <w:jc w:val="center"/>
            </w:pPr>
            <w:r>
              <w:t>3</w:t>
            </w:r>
          </w:p>
        </w:tc>
        <w:tc>
          <w:tcPr>
            <w:shd w:val="clear" w:color="auto" w:fill="FAFAFA"/>
            <w:vAlign w:val="center"/>
          </w:tcPr>
          <w:p>
            <w:pPr>
              <w:jc w:val="left"/>
            </w:pPr>
            <w:r>
              <w:drawing>
                <wp:inline distT="0" distB="0" distL="114300" distR="114300">
                  <wp:extent cx="95250" cy="114300"/>
                  <wp:effectExtent l="0" t="0" r="0" b="0"/>
                  <wp:docPr id="5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0"/>
                          <pic:cNvPicPr>
                            <a:picLocks noChangeAspect="1"/>
                          </pic:cNvPicPr>
                        </pic:nvPicPr>
                        <pic:blipFill>
                          <a:blip r:embed="rId32"/>
                          <a:stretch>
                            <a:fillRect/>
                          </a:stretch>
                        </pic:blipFill>
                        <pic:spPr>
                          <a:xfrm>
                            <a:off x="0" y="0"/>
                            <a:ext cx="95250" cy="114300"/>
                          </a:xfrm>
                          <a:prstGeom prst="rect">
                            <a:avLst/>
                          </a:prstGeom>
                          <a:noFill/>
                          <a:ln>
                            <a:noFill/>
                          </a:ln>
                        </pic:spPr>
                      </pic:pic>
                    </a:graphicData>
                  </a:graphic>
                </wp:inline>
              </w:drawing>
            </w:r>
            <w:r>
              <w:drawing>
                <wp:inline distT="0" distB="0" distL="114300" distR="114300">
                  <wp:extent cx="1257300" cy="114300"/>
                  <wp:effectExtent l="0" t="0" r="0" b="0"/>
                  <wp:docPr id="5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1"/>
                          <pic:cNvPicPr>
                            <a:picLocks noChangeAspect="1"/>
                          </pic:cNvPicPr>
                        </pic:nvPicPr>
                        <pic:blipFill>
                          <a:blip r:embed="rId33"/>
                          <a:stretch>
                            <a:fillRect/>
                          </a:stretch>
                        </pic:blipFill>
                        <pic:spPr>
                          <a:xfrm>
                            <a:off x="0" y="0"/>
                            <a:ext cx="1257300" cy="114300"/>
                          </a:xfrm>
                          <a:prstGeom prst="rect">
                            <a:avLst/>
                          </a:prstGeom>
                          <a:noFill/>
                          <a:ln>
                            <a:noFill/>
                          </a:ln>
                        </pic:spPr>
                      </pic:pic>
                    </a:graphicData>
                  </a:graphic>
                </wp:inline>
              </w:drawing>
            </w:r>
            <w:r>
              <w:t>7.5%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C.不满意</w:t>
            </w:r>
          </w:p>
        </w:tc>
        <w:tc>
          <w:tcPr>
            <w:shd w:val="clear" w:color="auto" w:fill="FFFFFF"/>
            <w:vAlign w:val="center"/>
          </w:tcPr>
          <w:p>
            <w:pPr>
              <w:jc w:val="center"/>
            </w:pPr>
            <w:r>
              <w:t>0</w:t>
            </w:r>
          </w:p>
        </w:tc>
        <w:tc>
          <w:tcPr>
            <w:shd w:val="clear" w:color="auto" w:fill="FFFFFF"/>
            <w:vAlign w:val="center"/>
          </w:tcPr>
          <w:p>
            <w:pPr>
              <w:jc w:val="left"/>
            </w:pPr>
            <w:r>
              <w:drawing>
                <wp:inline distT="0" distB="0" distL="114300" distR="114300">
                  <wp:extent cx="1352550" cy="114300"/>
                  <wp:effectExtent l="0" t="0" r="0" b="0"/>
                  <wp:docPr id="5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2"/>
                          <pic:cNvPicPr>
                            <a:picLocks noChangeAspect="1"/>
                          </pic:cNvPicPr>
                        </pic:nvPicPr>
                        <pic:blipFill>
                          <a:blip r:embed="rId9"/>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本题有效填写人次</w:t>
            </w:r>
          </w:p>
        </w:tc>
        <w:tc>
          <w:tcPr>
            <w:shd w:val="clear" w:color="auto" w:fill="F5F5F5"/>
            <w:vAlign w:val="center"/>
          </w:tcPr>
          <w:p>
            <w:pPr>
              <w:jc w:val="center"/>
            </w:pPr>
            <w:r>
              <w:t>40</w:t>
            </w:r>
          </w:p>
        </w:tc>
        <w:tc>
          <w:tcPr>
            <w:shd w:val="clear" w:color="auto" w:fill="F5F5F5"/>
            <w:vAlign w:val="center"/>
          </w:tcPr>
          <w:p>
            <w:pPr>
              <w:jc w:val="left"/>
            </w:pPr>
          </w:p>
        </w:tc>
      </w:tr>
    </w:tbl>
    <w:p/>
    <w:p>
      <w:r>
        <w:rPr>
          <w:b w:val="0"/>
          <w:color w:val="000000"/>
          <w:sz w:val="24"/>
        </w:rPr>
        <w:t xml:space="preserve">4、请问您对开发区实验中学教学设备建设进度方面的评价如何？   </w:t>
      </w:r>
      <w:r>
        <w:rPr>
          <w:b w:val="0"/>
          <w:color w:val="0066FF"/>
          <w:sz w:val="24"/>
        </w:rPr>
        <w:t>[单选题]</w:t>
      </w:r>
    </w:p>
    <w:p>
      <w:pPr>
        <w:rPr>
          <w:b w:val="0"/>
          <w:color w:val="0066FF"/>
          <w:sz w:val="24"/>
        </w:rPr>
      </w:pPr>
    </w:p>
    <w:tbl>
      <w:tblPr>
        <w:tblStyle w:val="11"/>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523"/>
        <w:gridCol w:w="1099"/>
        <w:gridCol w:w="3900"/>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A.满意</w:t>
            </w:r>
          </w:p>
        </w:tc>
        <w:tc>
          <w:tcPr>
            <w:shd w:val="clear" w:color="auto" w:fill="FFFFFF"/>
            <w:vAlign w:val="center"/>
          </w:tcPr>
          <w:p>
            <w:pPr>
              <w:jc w:val="center"/>
            </w:pPr>
            <w:r>
              <w:t>38</w:t>
            </w:r>
          </w:p>
        </w:tc>
        <w:tc>
          <w:tcPr>
            <w:shd w:val="clear" w:color="auto" w:fill="FFFFFF"/>
            <w:vAlign w:val="center"/>
          </w:tcPr>
          <w:p>
            <w:pPr>
              <w:jc w:val="left"/>
            </w:pPr>
            <w:r>
              <w:drawing>
                <wp:inline distT="0" distB="0" distL="114300" distR="114300">
                  <wp:extent cx="1276350" cy="114300"/>
                  <wp:effectExtent l="0" t="0" r="0" b="0"/>
                  <wp:docPr id="5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3"/>
                          <pic:cNvPicPr>
                            <a:picLocks noChangeAspect="1"/>
                          </pic:cNvPicPr>
                        </pic:nvPicPr>
                        <pic:blipFill>
                          <a:blip r:embed="rId34"/>
                          <a:stretch>
                            <a:fillRect/>
                          </a:stretch>
                        </pic:blipFill>
                        <pic:spPr>
                          <a:xfrm>
                            <a:off x="0" y="0"/>
                            <a:ext cx="1276350" cy="114300"/>
                          </a:xfrm>
                          <a:prstGeom prst="rect">
                            <a:avLst/>
                          </a:prstGeom>
                          <a:noFill/>
                          <a:ln>
                            <a:noFill/>
                          </a:ln>
                        </pic:spPr>
                      </pic:pic>
                    </a:graphicData>
                  </a:graphic>
                </wp:inline>
              </w:drawing>
            </w:r>
            <w:r>
              <w:drawing>
                <wp:inline distT="0" distB="0" distL="114300" distR="114300">
                  <wp:extent cx="76200" cy="114300"/>
                  <wp:effectExtent l="0" t="0" r="0" b="0"/>
                  <wp:docPr id="5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4"/>
                          <pic:cNvPicPr>
                            <a:picLocks noChangeAspect="1"/>
                          </pic:cNvPicPr>
                        </pic:nvPicPr>
                        <pic:blipFill>
                          <a:blip r:embed="rId35"/>
                          <a:stretch>
                            <a:fillRect/>
                          </a:stretch>
                        </pic:blipFill>
                        <pic:spPr>
                          <a:xfrm>
                            <a:off x="0" y="0"/>
                            <a:ext cx="76200" cy="114300"/>
                          </a:xfrm>
                          <a:prstGeom prst="rect">
                            <a:avLst/>
                          </a:prstGeom>
                          <a:noFill/>
                          <a:ln>
                            <a:noFill/>
                          </a:ln>
                        </pic:spPr>
                      </pic:pic>
                    </a:graphicData>
                  </a:graphic>
                </wp:inline>
              </w:drawing>
            </w:r>
            <w:r>
              <w:t>95%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B.一般</w:t>
            </w:r>
          </w:p>
        </w:tc>
        <w:tc>
          <w:tcPr>
            <w:shd w:val="clear" w:color="auto" w:fill="FAFAFA"/>
            <w:vAlign w:val="center"/>
          </w:tcPr>
          <w:p>
            <w:pPr>
              <w:jc w:val="center"/>
            </w:pPr>
            <w:r>
              <w:t>2</w:t>
            </w:r>
          </w:p>
        </w:tc>
        <w:tc>
          <w:tcPr>
            <w:shd w:val="clear" w:color="auto" w:fill="FAFAFA"/>
            <w:vAlign w:val="center"/>
          </w:tcPr>
          <w:p>
            <w:pPr>
              <w:jc w:val="left"/>
            </w:pPr>
            <w:r>
              <w:drawing>
                <wp:inline distT="0" distB="0" distL="114300" distR="114300">
                  <wp:extent cx="66675" cy="114300"/>
                  <wp:effectExtent l="0" t="0" r="9525" b="0"/>
                  <wp:docPr id="5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5"/>
                          <pic:cNvPicPr>
                            <a:picLocks noChangeAspect="1"/>
                          </pic:cNvPicPr>
                        </pic:nvPicPr>
                        <pic:blipFill>
                          <a:blip r:embed="rId22"/>
                          <a:stretch>
                            <a:fillRect/>
                          </a:stretch>
                        </pic:blipFill>
                        <pic:spPr>
                          <a:xfrm>
                            <a:off x="0" y="0"/>
                            <a:ext cx="66675" cy="114300"/>
                          </a:xfrm>
                          <a:prstGeom prst="rect">
                            <a:avLst/>
                          </a:prstGeom>
                          <a:noFill/>
                          <a:ln>
                            <a:noFill/>
                          </a:ln>
                        </pic:spPr>
                      </pic:pic>
                    </a:graphicData>
                  </a:graphic>
                </wp:inline>
              </w:drawing>
            </w:r>
            <w:r>
              <w:drawing>
                <wp:inline distT="0" distB="0" distL="114300" distR="114300">
                  <wp:extent cx="1285875" cy="114300"/>
                  <wp:effectExtent l="0" t="0" r="9525" b="0"/>
                  <wp:docPr id="5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6"/>
                          <pic:cNvPicPr>
                            <a:picLocks noChangeAspect="1"/>
                          </pic:cNvPicPr>
                        </pic:nvPicPr>
                        <pic:blipFill>
                          <a:blip r:embed="rId23"/>
                          <a:stretch>
                            <a:fillRect/>
                          </a:stretch>
                        </pic:blipFill>
                        <pic:spPr>
                          <a:xfrm>
                            <a:off x="0" y="0"/>
                            <a:ext cx="1285875" cy="114300"/>
                          </a:xfrm>
                          <a:prstGeom prst="rect">
                            <a:avLst/>
                          </a:prstGeom>
                          <a:noFill/>
                          <a:ln>
                            <a:noFill/>
                          </a:ln>
                        </pic:spPr>
                      </pic:pic>
                    </a:graphicData>
                  </a:graphic>
                </wp:inline>
              </w:drawing>
            </w:r>
            <w:r>
              <w:t>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C.不满意</w:t>
            </w:r>
          </w:p>
        </w:tc>
        <w:tc>
          <w:tcPr>
            <w:shd w:val="clear" w:color="auto" w:fill="FFFFFF"/>
            <w:vAlign w:val="center"/>
          </w:tcPr>
          <w:p>
            <w:pPr>
              <w:jc w:val="center"/>
            </w:pPr>
            <w:r>
              <w:t>0</w:t>
            </w:r>
          </w:p>
        </w:tc>
        <w:tc>
          <w:tcPr>
            <w:shd w:val="clear" w:color="auto" w:fill="FFFFFF"/>
            <w:vAlign w:val="center"/>
          </w:tcPr>
          <w:p>
            <w:pPr>
              <w:jc w:val="left"/>
            </w:pPr>
            <w:r>
              <w:drawing>
                <wp:inline distT="0" distB="0" distL="114300" distR="114300">
                  <wp:extent cx="1352550" cy="114300"/>
                  <wp:effectExtent l="0" t="0" r="0" b="0"/>
                  <wp:docPr id="5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7"/>
                          <pic:cNvPicPr>
                            <a:picLocks noChangeAspect="1"/>
                          </pic:cNvPicPr>
                        </pic:nvPicPr>
                        <pic:blipFill>
                          <a:blip r:embed="rId9"/>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本题有效填写人次</w:t>
            </w:r>
          </w:p>
        </w:tc>
        <w:tc>
          <w:tcPr>
            <w:shd w:val="clear" w:color="auto" w:fill="F5F5F5"/>
            <w:vAlign w:val="center"/>
          </w:tcPr>
          <w:p>
            <w:pPr>
              <w:jc w:val="center"/>
            </w:pPr>
            <w:r>
              <w:t>40</w:t>
            </w:r>
          </w:p>
        </w:tc>
        <w:tc>
          <w:tcPr>
            <w:shd w:val="clear" w:color="auto" w:fill="F5F5F5"/>
            <w:vAlign w:val="center"/>
          </w:tcPr>
          <w:p>
            <w:pPr>
              <w:jc w:val="left"/>
            </w:pPr>
          </w:p>
        </w:tc>
      </w:tr>
    </w:tbl>
    <w:p/>
    <w:p>
      <w:r>
        <w:rPr>
          <w:b w:val="0"/>
          <w:color w:val="000000"/>
          <w:sz w:val="24"/>
        </w:rPr>
        <w:t xml:space="preserve">5、请问您对开发区实验中学教学设备实施后的工作帮助以及效率提升方面评价如何？   </w:t>
      </w:r>
      <w:r>
        <w:rPr>
          <w:b w:val="0"/>
          <w:color w:val="0066FF"/>
          <w:sz w:val="24"/>
        </w:rPr>
        <w:t>[单选题]</w:t>
      </w:r>
    </w:p>
    <w:p>
      <w:pPr>
        <w:rPr>
          <w:b w:val="0"/>
          <w:color w:val="0066FF"/>
          <w:sz w:val="24"/>
        </w:rPr>
      </w:pPr>
    </w:p>
    <w:tbl>
      <w:tblPr>
        <w:tblStyle w:val="11"/>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506"/>
        <w:gridCol w:w="1094"/>
        <w:gridCol w:w="3922"/>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A.非常明显</w:t>
            </w:r>
          </w:p>
        </w:tc>
        <w:tc>
          <w:tcPr>
            <w:shd w:val="clear" w:color="auto" w:fill="FFFFFF"/>
            <w:vAlign w:val="center"/>
          </w:tcPr>
          <w:p>
            <w:pPr>
              <w:jc w:val="center"/>
            </w:pPr>
            <w:r>
              <w:t>36</w:t>
            </w:r>
          </w:p>
        </w:tc>
        <w:tc>
          <w:tcPr>
            <w:shd w:val="clear" w:color="auto" w:fill="FFFFFF"/>
            <w:vAlign w:val="center"/>
          </w:tcPr>
          <w:p>
            <w:pPr>
              <w:jc w:val="left"/>
            </w:pPr>
            <w:r>
              <w:drawing>
                <wp:inline distT="0" distB="0" distL="114300" distR="114300">
                  <wp:extent cx="1209675" cy="114300"/>
                  <wp:effectExtent l="0" t="0" r="9525" b="0"/>
                  <wp:docPr id="6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8"/>
                          <pic:cNvPicPr>
                            <a:picLocks noChangeAspect="1"/>
                          </pic:cNvPicPr>
                        </pic:nvPicPr>
                        <pic:blipFill>
                          <a:blip r:embed="rId26"/>
                          <a:stretch>
                            <a:fillRect/>
                          </a:stretch>
                        </pic:blipFill>
                        <pic:spPr>
                          <a:xfrm>
                            <a:off x="0" y="0"/>
                            <a:ext cx="1209675" cy="114300"/>
                          </a:xfrm>
                          <a:prstGeom prst="rect">
                            <a:avLst/>
                          </a:prstGeom>
                          <a:noFill/>
                          <a:ln>
                            <a:noFill/>
                          </a:ln>
                        </pic:spPr>
                      </pic:pic>
                    </a:graphicData>
                  </a:graphic>
                </wp:inline>
              </w:drawing>
            </w:r>
            <w:r>
              <w:drawing>
                <wp:inline distT="0" distB="0" distL="114300" distR="114300">
                  <wp:extent cx="142875" cy="114300"/>
                  <wp:effectExtent l="0" t="0" r="9525" b="0"/>
                  <wp:docPr id="6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9"/>
                          <pic:cNvPicPr>
                            <a:picLocks noChangeAspect="1"/>
                          </pic:cNvPicPr>
                        </pic:nvPicPr>
                        <pic:blipFill>
                          <a:blip r:embed="rId27"/>
                          <a:stretch>
                            <a:fillRect/>
                          </a:stretch>
                        </pic:blipFill>
                        <pic:spPr>
                          <a:xfrm>
                            <a:off x="0" y="0"/>
                            <a:ext cx="142875" cy="114300"/>
                          </a:xfrm>
                          <a:prstGeom prst="rect">
                            <a:avLst/>
                          </a:prstGeom>
                          <a:noFill/>
                          <a:ln>
                            <a:noFill/>
                          </a:ln>
                        </pic:spPr>
                      </pic:pic>
                    </a:graphicData>
                  </a:graphic>
                </wp:inline>
              </w:drawing>
            </w:r>
            <w:r>
              <w:t>90%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B.比较明显</w:t>
            </w:r>
          </w:p>
        </w:tc>
        <w:tc>
          <w:tcPr>
            <w:shd w:val="clear" w:color="auto" w:fill="FAFAFA"/>
            <w:vAlign w:val="center"/>
          </w:tcPr>
          <w:p>
            <w:pPr>
              <w:jc w:val="center"/>
            </w:pPr>
            <w:r>
              <w:t>4</w:t>
            </w:r>
          </w:p>
        </w:tc>
        <w:tc>
          <w:tcPr>
            <w:shd w:val="clear" w:color="auto" w:fill="FAFAFA"/>
            <w:vAlign w:val="center"/>
          </w:tcPr>
          <w:p>
            <w:pPr>
              <w:jc w:val="left"/>
            </w:pPr>
            <w:r>
              <w:drawing>
                <wp:inline distT="0" distB="0" distL="114300" distR="114300">
                  <wp:extent cx="133350" cy="114300"/>
                  <wp:effectExtent l="0" t="0" r="0" b="0"/>
                  <wp:docPr id="6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0"/>
                          <pic:cNvPicPr>
                            <a:picLocks noChangeAspect="1"/>
                          </pic:cNvPicPr>
                        </pic:nvPicPr>
                        <pic:blipFill>
                          <a:blip r:embed="rId28"/>
                          <a:stretch>
                            <a:fillRect/>
                          </a:stretch>
                        </pic:blipFill>
                        <pic:spPr>
                          <a:xfrm>
                            <a:off x="0" y="0"/>
                            <a:ext cx="133350" cy="114300"/>
                          </a:xfrm>
                          <a:prstGeom prst="rect">
                            <a:avLst/>
                          </a:prstGeom>
                          <a:noFill/>
                          <a:ln>
                            <a:noFill/>
                          </a:ln>
                        </pic:spPr>
                      </pic:pic>
                    </a:graphicData>
                  </a:graphic>
                </wp:inline>
              </w:drawing>
            </w:r>
            <w:r>
              <w:drawing>
                <wp:inline distT="0" distB="0" distL="114300" distR="114300">
                  <wp:extent cx="1219200" cy="114300"/>
                  <wp:effectExtent l="0" t="0" r="0" b="0"/>
                  <wp:docPr id="6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1"/>
                          <pic:cNvPicPr>
                            <a:picLocks noChangeAspect="1"/>
                          </pic:cNvPicPr>
                        </pic:nvPicPr>
                        <pic:blipFill>
                          <a:blip r:embed="rId29"/>
                          <a:stretch>
                            <a:fillRect/>
                          </a:stretch>
                        </pic:blipFill>
                        <pic:spPr>
                          <a:xfrm>
                            <a:off x="0" y="0"/>
                            <a:ext cx="1219200" cy="114300"/>
                          </a:xfrm>
                          <a:prstGeom prst="rect">
                            <a:avLst/>
                          </a:prstGeom>
                          <a:noFill/>
                          <a:ln>
                            <a:noFill/>
                          </a:ln>
                        </pic:spPr>
                      </pic:pic>
                    </a:graphicData>
                  </a:graphic>
                </wp:inline>
              </w:drawing>
            </w:r>
            <w:r>
              <w:t>10%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C.不明显</w:t>
            </w:r>
          </w:p>
        </w:tc>
        <w:tc>
          <w:tcPr>
            <w:shd w:val="clear" w:color="auto" w:fill="FFFFFF"/>
            <w:vAlign w:val="center"/>
          </w:tcPr>
          <w:p>
            <w:pPr>
              <w:jc w:val="center"/>
            </w:pPr>
            <w:r>
              <w:t>0</w:t>
            </w:r>
          </w:p>
        </w:tc>
        <w:tc>
          <w:tcPr>
            <w:shd w:val="clear" w:color="auto" w:fill="FFFFFF"/>
            <w:vAlign w:val="center"/>
          </w:tcPr>
          <w:p>
            <w:pPr>
              <w:jc w:val="left"/>
            </w:pPr>
            <w:r>
              <w:drawing>
                <wp:inline distT="0" distB="0" distL="114300" distR="114300">
                  <wp:extent cx="1352550" cy="114300"/>
                  <wp:effectExtent l="0" t="0" r="0" b="0"/>
                  <wp:docPr id="6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22"/>
                          <pic:cNvPicPr>
                            <a:picLocks noChangeAspect="1"/>
                          </pic:cNvPicPr>
                        </pic:nvPicPr>
                        <pic:blipFill>
                          <a:blip r:embed="rId9"/>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本题有效填写人次</w:t>
            </w:r>
          </w:p>
        </w:tc>
        <w:tc>
          <w:tcPr>
            <w:shd w:val="clear" w:color="auto" w:fill="F5F5F5"/>
            <w:vAlign w:val="center"/>
          </w:tcPr>
          <w:p>
            <w:pPr>
              <w:jc w:val="center"/>
            </w:pPr>
            <w:r>
              <w:t>40</w:t>
            </w:r>
          </w:p>
        </w:tc>
        <w:tc>
          <w:tcPr>
            <w:shd w:val="clear" w:color="auto" w:fill="F5F5F5"/>
            <w:vAlign w:val="center"/>
          </w:tcPr>
          <w:p>
            <w:pPr>
              <w:jc w:val="left"/>
            </w:pPr>
          </w:p>
        </w:tc>
      </w:tr>
    </w:tbl>
    <w:p/>
    <w:p>
      <w:r>
        <w:rPr>
          <w:b w:val="0"/>
          <w:color w:val="000000"/>
          <w:sz w:val="24"/>
        </w:rPr>
        <w:t xml:space="preserve">6、您认为该项目是否改善了学校办学条件？   </w:t>
      </w:r>
      <w:r>
        <w:rPr>
          <w:b w:val="0"/>
          <w:color w:val="0066FF"/>
          <w:sz w:val="24"/>
        </w:rPr>
        <w:t>[单选题]</w:t>
      </w:r>
    </w:p>
    <w:p>
      <w:pPr>
        <w:rPr>
          <w:b w:val="0"/>
          <w:color w:val="0066FF"/>
          <w:sz w:val="24"/>
        </w:rPr>
      </w:pPr>
    </w:p>
    <w:tbl>
      <w:tblPr>
        <w:tblStyle w:val="11"/>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402"/>
        <w:gridCol w:w="1061"/>
        <w:gridCol w:w="4059"/>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A.是</w:t>
            </w:r>
          </w:p>
        </w:tc>
        <w:tc>
          <w:tcPr>
            <w:shd w:val="clear" w:color="auto" w:fill="FFFFFF"/>
            <w:vAlign w:val="center"/>
          </w:tcPr>
          <w:p>
            <w:pPr>
              <w:jc w:val="center"/>
            </w:pPr>
            <w:r>
              <w:t>39</w:t>
            </w:r>
          </w:p>
        </w:tc>
        <w:tc>
          <w:tcPr>
            <w:shd w:val="clear" w:color="auto" w:fill="FFFFFF"/>
            <w:vAlign w:val="center"/>
          </w:tcPr>
          <w:p>
            <w:pPr>
              <w:jc w:val="left"/>
            </w:pPr>
            <w:r>
              <w:drawing>
                <wp:inline distT="0" distB="0" distL="114300" distR="114300">
                  <wp:extent cx="1314450" cy="114300"/>
                  <wp:effectExtent l="0" t="0" r="0" b="0"/>
                  <wp:docPr id="6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23"/>
                          <pic:cNvPicPr>
                            <a:picLocks noChangeAspect="1"/>
                          </pic:cNvPicPr>
                        </pic:nvPicPr>
                        <pic:blipFill>
                          <a:blip r:embed="rId36"/>
                          <a:stretch>
                            <a:fillRect/>
                          </a:stretch>
                        </pic:blipFill>
                        <pic:spPr>
                          <a:xfrm>
                            <a:off x="0" y="0"/>
                            <a:ext cx="1314450" cy="114300"/>
                          </a:xfrm>
                          <a:prstGeom prst="rect">
                            <a:avLst/>
                          </a:prstGeom>
                          <a:noFill/>
                          <a:ln>
                            <a:noFill/>
                          </a:ln>
                        </pic:spPr>
                      </pic:pic>
                    </a:graphicData>
                  </a:graphic>
                </wp:inline>
              </w:drawing>
            </w:r>
            <w:r>
              <w:drawing>
                <wp:inline distT="0" distB="0" distL="114300" distR="114300">
                  <wp:extent cx="38100" cy="114300"/>
                  <wp:effectExtent l="0" t="0" r="0" b="0"/>
                  <wp:docPr id="6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24"/>
                          <pic:cNvPicPr>
                            <a:picLocks noChangeAspect="1"/>
                          </pic:cNvPicPr>
                        </pic:nvPicPr>
                        <pic:blipFill>
                          <a:blip r:embed="rId37"/>
                          <a:stretch>
                            <a:fillRect/>
                          </a:stretch>
                        </pic:blipFill>
                        <pic:spPr>
                          <a:xfrm>
                            <a:off x="0" y="0"/>
                            <a:ext cx="38100" cy="114300"/>
                          </a:xfrm>
                          <a:prstGeom prst="rect">
                            <a:avLst/>
                          </a:prstGeom>
                          <a:noFill/>
                          <a:ln>
                            <a:noFill/>
                          </a:ln>
                        </pic:spPr>
                      </pic:pic>
                    </a:graphicData>
                  </a:graphic>
                </wp:inline>
              </w:drawing>
            </w:r>
            <w:r>
              <w:t>97.5%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B.否</w:t>
            </w:r>
          </w:p>
        </w:tc>
        <w:tc>
          <w:tcPr>
            <w:shd w:val="clear" w:color="auto" w:fill="FAFAFA"/>
            <w:vAlign w:val="center"/>
          </w:tcPr>
          <w:p>
            <w:pPr>
              <w:jc w:val="center"/>
            </w:pPr>
            <w:r>
              <w:t>1</w:t>
            </w:r>
          </w:p>
        </w:tc>
        <w:tc>
          <w:tcPr>
            <w:shd w:val="clear" w:color="auto" w:fill="FAFAFA"/>
            <w:vAlign w:val="center"/>
          </w:tcPr>
          <w:p>
            <w:pPr>
              <w:jc w:val="left"/>
            </w:pPr>
            <w:r>
              <w:drawing>
                <wp:inline distT="0" distB="0" distL="114300" distR="114300">
                  <wp:extent cx="28575" cy="114300"/>
                  <wp:effectExtent l="0" t="0" r="9525" b="0"/>
                  <wp:docPr id="6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25"/>
                          <pic:cNvPicPr>
                            <a:picLocks noChangeAspect="1"/>
                          </pic:cNvPicPr>
                        </pic:nvPicPr>
                        <pic:blipFill>
                          <a:blip r:embed="rId38"/>
                          <a:stretch>
                            <a:fillRect/>
                          </a:stretch>
                        </pic:blipFill>
                        <pic:spPr>
                          <a:xfrm>
                            <a:off x="0" y="0"/>
                            <a:ext cx="28575" cy="114300"/>
                          </a:xfrm>
                          <a:prstGeom prst="rect">
                            <a:avLst/>
                          </a:prstGeom>
                          <a:noFill/>
                          <a:ln>
                            <a:noFill/>
                          </a:ln>
                        </pic:spPr>
                      </pic:pic>
                    </a:graphicData>
                  </a:graphic>
                </wp:inline>
              </w:drawing>
            </w:r>
            <w:r>
              <w:drawing>
                <wp:inline distT="0" distB="0" distL="114300" distR="114300">
                  <wp:extent cx="1323975" cy="114300"/>
                  <wp:effectExtent l="0" t="0" r="9525" b="0"/>
                  <wp:docPr id="6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26"/>
                          <pic:cNvPicPr>
                            <a:picLocks noChangeAspect="1"/>
                          </pic:cNvPicPr>
                        </pic:nvPicPr>
                        <pic:blipFill>
                          <a:blip r:embed="rId39"/>
                          <a:stretch>
                            <a:fillRect/>
                          </a:stretch>
                        </pic:blipFill>
                        <pic:spPr>
                          <a:xfrm>
                            <a:off x="0" y="0"/>
                            <a:ext cx="1323975" cy="114300"/>
                          </a:xfrm>
                          <a:prstGeom prst="rect">
                            <a:avLst/>
                          </a:prstGeom>
                          <a:noFill/>
                          <a:ln>
                            <a:noFill/>
                          </a:ln>
                        </pic:spPr>
                      </pic:pic>
                    </a:graphicData>
                  </a:graphic>
                </wp:inline>
              </w:drawing>
            </w:r>
            <w:r>
              <w:t>2.5%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C.不清楚</w:t>
            </w:r>
          </w:p>
        </w:tc>
        <w:tc>
          <w:tcPr>
            <w:shd w:val="clear" w:color="auto" w:fill="FFFFFF"/>
            <w:vAlign w:val="center"/>
          </w:tcPr>
          <w:p>
            <w:pPr>
              <w:jc w:val="center"/>
            </w:pPr>
            <w:r>
              <w:t>0</w:t>
            </w:r>
          </w:p>
        </w:tc>
        <w:tc>
          <w:tcPr>
            <w:shd w:val="clear" w:color="auto" w:fill="FFFFFF"/>
            <w:vAlign w:val="center"/>
          </w:tcPr>
          <w:p>
            <w:pPr>
              <w:jc w:val="left"/>
            </w:pPr>
            <w:r>
              <w:drawing>
                <wp:inline distT="0" distB="0" distL="114300" distR="114300">
                  <wp:extent cx="1352550" cy="114300"/>
                  <wp:effectExtent l="0" t="0" r="0" b="0"/>
                  <wp:docPr id="6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27"/>
                          <pic:cNvPicPr>
                            <a:picLocks noChangeAspect="1"/>
                          </pic:cNvPicPr>
                        </pic:nvPicPr>
                        <pic:blipFill>
                          <a:blip r:embed="rId9"/>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本题有效填写人次</w:t>
            </w:r>
          </w:p>
        </w:tc>
        <w:tc>
          <w:tcPr>
            <w:shd w:val="clear" w:color="auto" w:fill="F5F5F5"/>
            <w:vAlign w:val="center"/>
          </w:tcPr>
          <w:p>
            <w:pPr>
              <w:jc w:val="center"/>
            </w:pPr>
            <w:r>
              <w:t>40</w:t>
            </w:r>
          </w:p>
        </w:tc>
        <w:tc>
          <w:tcPr>
            <w:shd w:val="clear" w:color="auto" w:fill="F5F5F5"/>
            <w:vAlign w:val="center"/>
          </w:tcPr>
          <w:p>
            <w:pPr>
              <w:jc w:val="left"/>
            </w:pPr>
          </w:p>
        </w:tc>
      </w:tr>
    </w:tbl>
    <w:p/>
    <w:p>
      <w:pPr>
        <w:rPr>
          <w:b w:val="0"/>
          <w:color w:val="000000"/>
          <w:sz w:val="24"/>
        </w:rPr>
      </w:pPr>
    </w:p>
    <w:p>
      <w:r>
        <w:rPr>
          <w:b w:val="0"/>
          <w:color w:val="000000"/>
          <w:sz w:val="24"/>
        </w:rPr>
        <w:t xml:space="preserve">7、您是否赞同并支持加大力度长期推广教育专项经费项目？   </w:t>
      </w:r>
      <w:r>
        <w:rPr>
          <w:b w:val="0"/>
          <w:color w:val="0066FF"/>
          <w:sz w:val="24"/>
        </w:rPr>
        <w:t>[单选题]</w:t>
      </w:r>
    </w:p>
    <w:p>
      <w:pPr>
        <w:rPr>
          <w:b w:val="0"/>
          <w:color w:val="0066FF"/>
          <w:sz w:val="24"/>
        </w:rPr>
      </w:pPr>
    </w:p>
    <w:tbl>
      <w:tblPr>
        <w:tblStyle w:val="11"/>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441"/>
        <w:gridCol w:w="1073"/>
        <w:gridCol w:w="400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A.非常赞同</w:t>
            </w:r>
          </w:p>
        </w:tc>
        <w:tc>
          <w:tcPr>
            <w:shd w:val="clear" w:color="auto" w:fill="FFFFFF"/>
            <w:vAlign w:val="center"/>
          </w:tcPr>
          <w:p>
            <w:pPr>
              <w:jc w:val="center"/>
            </w:pPr>
            <w:r>
              <w:t>40</w:t>
            </w:r>
          </w:p>
        </w:tc>
        <w:tc>
          <w:tcPr>
            <w:shd w:val="clear" w:color="auto" w:fill="FFFFFF"/>
            <w:vAlign w:val="center"/>
          </w:tcPr>
          <w:p>
            <w:pPr>
              <w:jc w:val="left"/>
            </w:pPr>
            <w:r>
              <w:drawing>
                <wp:inline distT="0" distB="0" distL="114300" distR="114300">
                  <wp:extent cx="1352550" cy="114300"/>
                  <wp:effectExtent l="0" t="0" r="0" b="0"/>
                  <wp:docPr id="7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28"/>
                          <pic:cNvPicPr>
                            <a:picLocks noChangeAspect="1"/>
                          </pic:cNvPicPr>
                        </pic:nvPicPr>
                        <pic:blipFill>
                          <a:blip r:embed="rId8"/>
                          <a:stretch>
                            <a:fillRect/>
                          </a:stretch>
                        </pic:blipFill>
                        <pic:spPr>
                          <a:xfrm>
                            <a:off x="0" y="0"/>
                            <a:ext cx="1352550" cy="114300"/>
                          </a:xfrm>
                          <a:prstGeom prst="rect">
                            <a:avLst/>
                          </a:prstGeom>
                          <a:noFill/>
                          <a:ln>
                            <a:noFill/>
                          </a:ln>
                        </pic:spPr>
                      </pic:pic>
                    </a:graphicData>
                  </a:graphic>
                </wp:inline>
              </w:drawing>
            </w:r>
            <w:r>
              <w:t>100%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B.赞同</w:t>
            </w:r>
          </w:p>
        </w:tc>
        <w:tc>
          <w:tcPr>
            <w:shd w:val="clear" w:color="auto" w:fill="FAFAFA"/>
            <w:vAlign w:val="center"/>
          </w:tcPr>
          <w:p>
            <w:pPr>
              <w:jc w:val="center"/>
            </w:pPr>
            <w:r>
              <w:t>0</w:t>
            </w:r>
          </w:p>
        </w:tc>
        <w:tc>
          <w:tcPr>
            <w:shd w:val="clear" w:color="auto" w:fill="FAFAFA"/>
            <w:vAlign w:val="center"/>
          </w:tcPr>
          <w:p>
            <w:pPr>
              <w:jc w:val="left"/>
            </w:pPr>
            <w:r>
              <w:drawing>
                <wp:inline distT="0" distB="0" distL="114300" distR="114300">
                  <wp:extent cx="1352550" cy="114300"/>
                  <wp:effectExtent l="0" t="0" r="0" b="0"/>
                  <wp:docPr id="36"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9"/>
                          <pic:cNvPicPr>
                            <a:picLocks noChangeAspect="1"/>
                          </pic:cNvPicPr>
                        </pic:nvPicPr>
                        <pic:blipFill>
                          <a:blip r:embed="rId9"/>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C.不赞同</w:t>
            </w:r>
          </w:p>
        </w:tc>
        <w:tc>
          <w:tcPr>
            <w:shd w:val="clear" w:color="auto" w:fill="FFFFFF"/>
            <w:vAlign w:val="center"/>
          </w:tcPr>
          <w:p>
            <w:pPr>
              <w:jc w:val="center"/>
            </w:pPr>
            <w:r>
              <w:t>0</w:t>
            </w:r>
          </w:p>
        </w:tc>
        <w:tc>
          <w:tcPr>
            <w:shd w:val="clear" w:color="auto" w:fill="FFFFFF"/>
            <w:vAlign w:val="center"/>
          </w:tcPr>
          <w:p>
            <w:pPr>
              <w:jc w:val="left"/>
            </w:pPr>
            <w:r>
              <w:drawing>
                <wp:inline distT="0" distB="0" distL="114300" distR="114300">
                  <wp:extent cx="1352550" cy="114300"/>
                  <wp:effectExtent l="0" t="0" r="0" b="0"/>
                  <wp:docPr id="37"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0"/>
                          <pic:cNvPicPr>
                            <a:picLocks noChangeAspect="1"/>
                          </pic:cNvPicPr>
                        </pic:nvPicPr>
                        <pic:blipFill>
                          <a:blip r:embed="rId9"/>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本题有效填写人次</w:t>
            </w:r>
          </w:p>
        </w:tc>
        <w:tc>
          <w:tcPr>
            <w:shd w:val="clear" w:color="auto" w:fill="F5F5F5"/>
            <w:vAlign w:val="center"/>
          </w:tcPr>
          <w:p>
            <w:pPr>
              <w:jc w:val="center"/>
            </w:pPr>
            <w:r>
              <w:t>40</w:t>
            </w:r>
          </w:p>
        </w:tc>
        <w:tc>
          <w:tcPr>
            <w:shd w:val="clear" w:color="auto" w:fill="F5F5F5"/>
            <w:vAlign w:val="center"/>
          </w:tcPr>
          <w:p>
            <w:pPr>
              <w:jc w:val="left"/>
            </w:pPr>
          </w:p>
        </w:tc>
      </w:tr>
    </w:tbl>
    <w:p/>
    <w:p>
      <w:r>
        <w:rPr>
          <w:b w:val="0"/>
          <w:color w:val="000000"/>
          <w:sz w:val="24"/>
        </w:rPr>
        <w:t xml:space="preserve">8、您对该项目的总体评价如何？   </w:t>
      </w:r>
      <w:r>
        <w:rPr>
          <w:b w:val="0"/>
          <w:color w:val="0066FF"/>
          <w:sz w:val="24"/>
        </w:rPr>
        <w:t>[单选题]</w:t>
      </w:r>
    </w:p>
    <w:p>
      <w:pPr>
        <w:rPr>
          <w:b w:val="0"/>
          <w:color w:val="0066FF"/>
          <w:sz w:val="24"/>
        </w:rPr>
      </w:pPr>
    </w:p>
    <w:tbl>
      <w:tblPr>
        <w:tblStyle w:val="11"/>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402"/>
        <w:gridCol w:w="1061"/>
        <w:gridCol w:w="4059"/>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选项</w:t>
            </w:r>
          </w:p>
        </w:tc>
        <w:tc>
          <w:tcPr>
            <w:shd w:val="clear" w:color="auto" w:fill="F5F5F5"/>
            <w:vAlign w:val="center"/>
          </w:tcPr>
          <w:p>
            <w:pPr>
              <w:jc w:val="center"/>
            </w:pPr>
            <w:r>
              <w:t>小计</w:t>
            </w:r>
          </w:p>
        </w:tc>
        <w:tc>
          <w:tcPr>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A.满意</w:t>
            </w:r>
          </w:p>
        </w:tc>
        <w:tc>
          <w:tcPr>
            <w:shd w:val="clear" w:color="auto" w:fill="FFFFFF"/>
            <w:vAlign w:val="center"/>
          </w:tcPr>
          <w:p>
            <w:pPr>
              <w:jc w:val="center"/>
            </w:pPr>
            <w:r>
              <w:t>39</w:t>
            </w:r>
          </w:p>
        </w:tc>
        <w:tc>
          <w:tcPr>
            <w:shd w:val="clear" w:color="auto" w:fill="FFFFFF"/>
            <w:vAlign w:val="center"/>
          </w:tcPr>
          <w:p>
            <w:pPr>
              <w:jc w:val="left"/>
            </w:pPr>
            <w:r>
              <w:drawing>
                <wp:inline distT="0" distB="0" distL="114300" distR="114300">
                  <wp:extent cx="1314450" cy="114300"/>
                  <wp:effectExtent l="0" t="0" r="0" b="0"/>
                  <wp:docPr id="38"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1"/>
                          <pic:cNvPicPr>
                            <a:picLocks noChangeAspect="1"/>
                          </pic:cNvPicPr>
                        </pic:nvPicPr>
                        <pic:blipFill>
                          <a:blip r:embed="rId36"/>
                          <a:stretch>
                            <a:fillRect/>
                          </a:stretch>
                        </pic:blipFill>
                        <pic:spPr>
                          <a:xfrm>
                            <a:off x="0" y="0"/>
                            <a:ext cx="1314450" cy="114300"/>
                          </a:xfrm>
                          <a:prstGeom prst="rect">
                            <a:avLst/>
                          </a:prstGeom>
                          <a:noFill/>
                          <a:ln>
                            <a:noFill/>
                          </a:ln>
                        </pic:spPr>
                      </pic:pic>
                    </a:graphicData>
                  </a:graphic>
                </wp:inline>
              </w:drawing>
            </w:r>
            <w:r>
              <w:drawing>
                <wp:inline distT="0" distB="0" distL="114300" distR="114300">
                  <wp:extent cx="38100" cy="114300"/>
                  <wp:effectExtent l="0" t="0" r="0" b="0"/>
                  <wp:docPr id="39"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2"/>
                          <pic:cNvPicPr>
                            <a:picLocks noChangeAspect="1"/>
                          </pic:cNvPicPr>
                        </pic:nvPicPr>
                        <pic:blipFill>
                          <a:blip r:embed="rId37"/>
                          <a:stretch>
                            <a:fillRect/>
                          </a:stretch>
                        </pic:blipFill>
                        <pic:spPr>
                          <a:xfrm>
                            <a:off x="0" y="0"/>
                            <a:ext cx="38100" cy="114300"/>
                          </a:xfrm>
                          <a:prstGeom prst="rect">
                            <a:avLst/>
                          </a:prstGeom>
                          <a:noFill/>
                          <a:ln>
                            <a:noFill/>
                          </a:ln>
                        </pic:spPr>
                      </pic:pic>
                    </a:graphicData>
                  </a:graphic>
                </wp:inline>
              </w:drawing>
            </w:r>
            <w:r>
              <w:t>97.5%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jc w:val="left"/>
            </w:pPr>
            <w:r>
              <w:t>B.一般</w:t>
            </w:r>
          </w:p>
        </w:tc>
        <w:tc>
          <w:tcPr>
            <w:shd w:val="clear" w:color="auto" w:fill="FAFAFA"/>
            <w:vAlign w:val="center"/>
          </w:tcPr>
          <w:p>
            <w:pPr>
              <w:jc w:val="center"/>
            </w:pPr>
            <w:r>
              <w:t>1</w:t>
            </w:r>
          </w:p>
        </w:tc>
        <w:tc>
          <w:tcPr>
            <w:shd w:val="clear" w:color="auto" w:fill="FAFAFA"/>
            <w:vAlign w:val="center"/>
          </w:tcPr>
          <w:p>
            <w:pPr>
              <w:jc w:val="left"/>
            </w:pPr>
            <w:r>
              <w:drawing>
                <wp:inline distT="0" distB="0" distL="114300" distR="114300">
                  <wp:extent cx="28575" cy="114300"/>
                  <wp:effectExtent l="0" t="0" r="9525" b="0"/>
                  <wp:docPr id="40"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3"/>
                          <pic:cNvPicPr>
                            <a:picLocks noChangeAspect="1"/>
                          </pic:cNvPicPr>
                        </pic:nvPicPr>
                        <pic:blipFill>
                          <a:blip r:embed="rId38"/>
                          <a:stretch>
                            <a:fillRect/>
                          </a:stretch>
                        </pic:blipFill>
                        <pic:spPr>
                          <a:xfrm>
                            <a:off x="0" y="0"/>
                            <a:ext cx="28575" cy="114300"/>
                          </a:xfrm>
                          <a:prstGeom prst="rect">
                            <a:avLst/>
                          </a:prstGeom>
                          <a:noFill/>
                          <a:ln>
                            <a:noFill/>
                          </a:ln>
                        </pic:spPr>
                      </pic:pic>
                    </a:graphicData>
                  </a:graphic>
                </wp:inline>
              </w:drawing>
            </w:r>
            <w:r>
              <w:drawing>
                <wp:inline distT="0" distB="0" distL="114300" distR="114300">
                  <wp:extent cx="1323975" cy="114300"/>
                  <wp:effectExtent l="0" t="0" r="9525" b="0"/>
                  <wp:docPr id="41"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4"/>
                          <pic:cNvPicPr>
                            <a:picLocks noChangeAspect="1"/>
                          </pic:cNvPicPr>
                        </pic:nvPicPr>
                        <pic:blipFill>
                          <a:blip r:embed="rId39"/>
                          <a:stretch>
                            <a:fillRect/>
                          </a:stretch>
                        </pic:blipFill>
                        <pic:spPr>
                          <a:xfrm>
                            <a:off x="0" y="0"/>
                            <a:ext cx="1323975" cy="114300"/>
                          </a:xfrm>
                          <a:prstGeom prst="rect">
                            <a:avLst/>
                          </a:prstGeom>
                          <a:noFill/>
                          <a:ln>
                            <a:noFill/>
                          </a:ln>
                        </pic:spPr>
                      </pic:pic>
                    </a:graphicData>
                  </a:graphic>
                </wp:inline>
              </w:drawing>
            </w:r>
            <w:r>
              <w:t>2.5%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jc w:val="left"/>
            </w:pPr>
            <w:r>
              <w:t>C.不满意</w:t>
            </w:r>
          </w:p>
        </w:tc>
        <w:tc>
          <w:tcPr>
            <w:shd w:val="clear" w:color="auto" w:fill="FFFFFF"/>
            <w:vAlign w:val="center"/>
          </w:tcPr>
          <w:p>
            <w:pPr>
              <w:jc w:val="center"/>
            </w:pPr>
            <w:r>
              <w:t>0</w:t>
            </w:r>
          </w:p>
        </w:tc>
        <w:tc>
          <w:tcPr>
            <w:shd w:val="clear" w:color="auto" w:fill="FFFFFF"/>
            <w:vAlign w:val="center"/>
          </w:tcPr>
          <w:p>
            <w:pPr>
              <w:jc w:val="left"/>
            </w:pPr>
            <w:r>
              <w:drawing>
                <wp:inline distT="0" distB="0" distL="114300" distR="114300">
                  <wp:extent cx="1352550" cy="114300"/>
                  <wp:effectExtent l="0" t="0" r="0" b="0"/>
                  <wp:docPr id="42"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5"/>
                          <pic:cNvPicPr>
                            <a:picLocks noChangeAspect="1"/>
                          </pic:cNvPicPr>
                        </pic:nvPicPr>
                        <pic:blipFill>
                          <a:blip r:embed="rId9"/>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jc w:val="left"/>
            </w:pPr>
            <w:r>
              <w:t>本题有效填写人次</w:t>
            </w:r>
          </w:p>
        </w:tc>
        <w:tc>
          <w:tcPr>
            <w:shd w:val="clear" w:color="auto" w:fill="F5F5F5"/>
            <w:vAlign w:val="center"/>
          </w:tcPr>
          <w:p>
            <w:pPr>
              <w:jc w:val="center"/>
            </w:pPr>
            <w:r>
              <w:t>40</w:t>
            </w:r>
          </w:p>
        </w:tc>
        <w:tc>
          <w:tcPr>
            <w:shd w:val="clear" w:color="auto" w:fill="F5F5F5"/>
            <w:vAlign w:val="center"/>
          </w:tcPr>
          <w:p>
            <w:pPr>
              <w:jc w:val="left"/>
            </w:pPr>
          </w:p>
        </w:tc>
      </w:tr>
    </w:tbl>
    <w:p/>
    <w:p/>
    <w:p/>
    <w:p>
      <w:pPr>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4"/>
        <w:keepNext/>
        <w:keepLines/>
        <w:pageBreakBefore w:val="0"/>
        <w:widowControl w:val="0"/>
        <w:kinsoku/>
        <w:wordWrap/>
        <w:overflowPunct/>
        <w:topLinePunct w:val="0"/>
        <w:autoSpaceDE/>
        <w:autoSpaceDN/>
        <w:bidi w:val="0"/>
        <w:adjustRightInd/>
        <w:snapToGrid/>
        <w:spacing w:before="0"/>
        <w:textAlignment w:val="auto"/>
        <w:outlineLvl w:val="0"/>
        <w:rPr>
          <w:rFonts w:hint="eastAsia" w:ascii="仿宋" w:hAnsi="仿宋" w:eastAsia="仿宋" w:cs="仿宋"/>
          <w:sz w:val="30"/>
          <w:szCs w:val="30"/>
        </w:rPr>
      </w:pPr>
      <w:bookmarkStart w:id="87" w:name="_Toc8199"/>
      <w:bookmarkStart w:id="88" w:name="_Toc76309921"/>
      <w:bookmarkStart w:id="89" w:name="_Toc70414103"/>
      <w:bookmarkStart w:id="90" w:name="_Toc18832"/>
      <w:bookmarkStart w:id="91" w:name="_Toc5805"/>
      <w:r>
        <w:rPr>
          <w:rFonts w:hint="eastAsia" w:ascii="仿宋" w:hAnsi="仿宋" w:eastAsia="仿宋" w:cs="仿宋"/>
          <w:sz w:val="30"/>
          <w:szCs w:val="30"/>
        </w:rPr>
        <w:t>附件-</w:t>
      </w:r>
      <w:r>
        <w:rPr>
          <w:rFonts w:hint="eastAsia" w:ascii="仿宋" w:hAnsi="仿宋" w:eastAsia="仿宋" w:cs="仿宋"/>
          <w:sz w:val="30"/>
          <w:szCs w:val="30"/>
          <w:lang w:val="en-US" w:eastAsia="zh-CN"/>
        </w:rPr>
        <w:t>7：评价</w:t>
      </w:r>
      <w:r>
        <w:rPr>
          <w:rFonts w:hint="eastAsia" w:ascii="仿宋" w:hAnsi="仿宋" w:eastAsia="仿宋" w:cs="仿宋"/>
          <w:sz w:val="30"/>
          <w:szCs w:val="30"/>
        </w:rPr>
        <w:t>小组工作时间安排</w:t>
      </w:r>
      <w:bookmarkEnd w:id="87"/>
      <w:bookmarkEnd w:id="88"/>
      <w:bookmarkEnd w:id="89"/>
      <w:bookmarkEnd w:id="90"/>
      <w:bookmarkEnd w:id="91"/>
    </w:p>
    <w:tbl>
      <w:tblPr>
        <w:tblStyle w:val="11"/>
        <w:tblW w:w="10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2291"/>
        <w:gridCol w:w="4013"/>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2164" w:type="dxa"/>
            <w:tcBorders>
              <w:tl2br w:val="nil"/>
              <w:tr2bl w:val="nil"/>
            </w:tcBorders>
            <w:shd w:val="clear" w:color="000000"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时间节点</w:t>
            </w:r>
          </w:p>
        </w:tc>
        <w:tc>
          <w:tcPr>
            <w:tcW w:w="2291" w:type="dxa"/>
            <w:tcBorders>
              <w:tl2br w:val="nil"/>
              <w:tr2bl w:val="nil"/>
            </w:tcBorders>
            <w:shd w:val="clear" w:color="000000"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lang w:val="en-US" w:eastAsia="zh-CN"/>
              </w:rPr>
              <w:t>评价</w:t>
            </w:r>
            <w:r>
              <w:rPr>
                <w:rFonts w:hint="eastAsia" w:ascii="宋体" w:hAnsi="宋体" w:cs="宋体"/>
                <w:b/>
                <w:bCs/>
                <w:color w:val="000000"/>
                <w:kern w:val="0"/>
                <w:sz w:val="24"/>
                <w:szCs w:val="24"/>
              </w:rPr>
              <w:t>任务</w:t>
            </w:r>
          </w:p>
        </w:tc>
        <w:tc>
          <w:tcPr>
            <w:tcW w:w="4013" w:type="dxa"/>
            <w:tcBorders>
              <w:tl2br w:val="nil"/>
              <w:tr2bl w:val="nil"/>
            </w:tcBorders>
            <w:shd w:val="clear" w:color="000000"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工作内容</w:t>
            </w:r>
          </w:p>
        </w:tc>
        <w:tc>
          <w:tcPr>
            <w:tcW w:w="1891" w:type="dxa"/>
            <w:tcBorders>
              <w:tl2br w:val="nil"/>
              <w:tr2bl w:val="nil"/>
            </w:tcBorders>
            <w:shd w:val="clear" w:color="000000" w:fill="auto"/>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节点成果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2164" w:type="dxa"/>
            <w:tcBorders>
              <w:tl2br w:val="nil"/>
              <w:tr2bl w:val="nil"/>
            </w:tcBorders>
            <w:shd w:val="clear" w:color="auto" w:fill="auto"/>
            <w:vAlign w:val="center"/>
          </w:tcPr>
          <w:p>
            <w:pPr>
              <w:widowControl/>
              <w:spacing w:line="360" w:lineRule="auto"/>
              <w:ind w:left="0" w:leftChars="0" w:firstLine="0" w:firstLineChars="0"/>
              <w:jc w:val="both"/>
              <w:rPr>
                <w:rFonts w:hint="default" w:ascii="宋体" w:hAnsi="宋体" w:eastAsia="仿宋_GB2312" w:cs="宋体"/>
                <w:color w:val="000000"/>
                <w:kern w:val="0"/>
                <w:sz w:val="24"/>
                <w:szCs w:val="24"/>
                <w:lang w:val="en-US" w:eastAsia="zh-CN"/>
              </w:rPr>
            </w:pPr>
            <w:r>
              <w:rPr>
                <w:rFonts w:hint="eastAsia" w:ascii="宋体" w:hAnsi="宋体" w:cs="宋体"/>
                <w:color w:val="000000"/>
                <w:kern w:val="0"/>
                <w:sz w:val="24"/>
                <w:szCs w:val="24"/>
                <w:lang w:val="en-US" w:eastAsia="zh-CN"/>
              </w:rPr>
              <w:t>5.11-5.20</w:t>
            </w:r>
          </w:p>
        </w:tc>
        <w:tc>
          <w:tcPr>
            <w:tcW w:w="2291" w:type="dxa"/>
            <w:tcBorders>
              <w:tl2br w:val="nil"/>
              <w:tr2bl w:val="nil"/>
            </w:tcBorders>
            <w:shd w:val="clear" w:color="auto" w:fill="auto"/>
            <w:vAlign w:val="center"/>
          </w:tcPr>
          <w:p>
            <w:pPr>
              <w:widowControl/>
              <w:spacing w:line="360" w:lineRule="auto"/>
              <w:ind w:left="0" w:leftChars="0" w:firstLine="0" w:firstLineChars="0"/>
              <w:jc w:val="both"/>
              <w:rPr>
                <w:rFonts w:ascii="宋体" w:hAnsi="宋体" w:cs="宋体"/>
                <w:color w:val="000000"/>
                <w:kern w:val="0"/>
                <w:sz w:val="24"/>
                <w:szCs w:val="24"/>
              </w:rPr>
            </w:pPr>
            <w:r>
              <w:rPr>
                <w:rFonts w:hint="eastAsia" w:ascii="宋体" w:hAnsi="宋体" w:cs="宋体"/>
                <w:color w:val="000000"/>
                <w:kern w:val="0"/>
                <w:sz w:val="24"/>
                <w:szCs w:val="24"/>
              </w:rPr>
              <w:t xml:space="preserve">制定总体工作方案 </w:t>
            </w:r>
          </w:p>
        </w:tc>
        <w:tc>
          <w:tcPr>
            <w:tcW w:w="4013" w:type="dxa"/>
            <w:tcBorders>
              <w:tl2br w:val="nil"/>
              <w:tr2bl w:val="nil"/>
            </w:tcBorders>
            <w:shd w:val="clear" w:color="auto" w:fill="auto"/>
            <w:vAlign w:val="center"/>
          </w:tcPr>
          <w:p>
            <w:pPr>
              <w:widowControl/>
              <w:spacing w:line="360" w:lineRule="auto"/>
              <w:ind w:left="0" w:leftChars="0" w:firstLine="0" w:firstLineChars="0"/>
              <w:rPr>
                <w:rFonts w:ascii="宋体" w:hAnsi="宋体" w:cs="宋体"/>
                <w:color w:val="000000"/>
                <w:kern w:val="0"/>
                <w:sz w:val="24"/>
                <w:szCs w:val="24"/>
              </w:rPr>
            </w:pPr>
            <w:r>
              <w:rPr>
                <w:rFonts w:hint="eastAsia" w:ascii="宋体" w:hAnsi="宋体" w:cs="宋体"/>
                <w:color w:val="000000"/>
                <w:kern w:val="0"/>
                <w:sz w:val="24"/>
                <w:szCs w:val="24"/>
              </w:rPr>
              <w:t>成立工作组，小组探讨制定总体工作方案、设计问卷、访谈、指标体系</w:t>
            </w:r>
          </w:p>
        </w:tc>
        <w:tc>
          <w:tcPr>
            <w:tcW w:w="1891" w:type="dxa"/>
            <w:tcBorders>
              <w:tl2br w:val="nil"/>
              <w:tr2bl w:val="nil"/>
            </w:tcBorders>
            <w:shd w:val="clear" w:color="auto" w:fill="auto"/>
            <w:vAlign w:val="center"/>
          </w:tcPr>
          <w:p>
            <w:pPr>
              <w:widowControl/>
              <w:spacing w:line="360" w:lineRule="auto"/>
              <w:ind w:left="0" w:leftChars="0" w:firstLine="0" w:firstLineChars="0"/>
              <w:jc w:val="both"/>
              <w:rPr>
                <w:rFonts w:ascii="宋体" w:hAnsi="宋体" w:cs="宋体"/>
                <w:color w:val="000000"/>
                <w:kern w:val="0"/>
                <w:sz w:val="24"/>
                <w:szCs w:val="24"/>
              </w:rPr>
            </w:pPr>
            <w:r>
              <w:rPr>
                <w:rFonts w:hint="eastAsia" w:ascii="宋体" w:hAnsi="宋体" w:cs="宋体"/>
                <w:color w:val="000000"/>
                <w:kern w:val="0"/>
                <w:sz w:val="24"/>
                <w:szCs w:val="24"/>
              </w:rPr>
              <w:t>工作方案（初稿）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64" w:type="dxa"/>
            <w:vMerge w:val="restart"/>
            <w:tcBorders>
              <w:tl2br w:val="nil"/>
              <w:tr2bl w:val="nil"/>
            </w:tcBorders>
            <w:vAlign w:val="center"/>
          </w:tcPr>
          <w:p>
            <w:pPr>
              <w:spacing w:line="360" w:lineRule="auto"/>
              <w:ind w:left="0" w:leftChars="0" w:firstLine="0" w:firstLineChars="0"/>
              <w:jc w:val="both"/>
              <w:rPr>
                <w:rFonts w:hint="default" w:ascii="宋体" w:hAnsi="宋体" w:eastAsia="仿宋_GB2312" w:cs="宋体"/>
                <w:color w:val="000000"/>
                <w:kern w:val="0"/>
                <w:sz w:val="24"/>
                <w:szCs w:val="24"/>
                <w:lang w:val="en-US" w:eastAsia="zh-CN"/>
              </w:rPr>
            </w:pPr>
            <w:r>
              <w:rPr>
                <w:rFonts w:hint="eastAsia" w:ascii="宋体" w:hAnsi="宋体" w:cs="宋体"/>
                <w:color w:val="000000"/>
                <w:kern w:val="0"/>
                <w:sz w:val="24"/>
                <w:szCs w:val="24"/>
                <w:lang w:val="en-US" w:eastAsia="zh-CN"/>
              </w:rPr>
              <w:t>5.20-5.30</w:t>
            </w:r>
          </w:p>
        </w:tc>
        <w:tc>
          <w:tcPr>
            <w:tcW w:w="2291" w:type="dxa"/>
            <w:vMerge w:val="restart"/>
            <w:tcBorders>
              <w:tl2br w:val="nil"/>
              <w:tr2bl w:val="nil"/>
            </w:tcBorders>
            <w:shd w:val="clear" w:color="auto" w:fill="auto"/>
            <w:vAlign w:val="center"/>
          </w:tcPr>
          <w:p>
            <w:pPr>
              <w:widowControl/>
              <w:spacing w:line="360" w:lineRule="auto"/>
              <w:ind w:left="0" w:leftChars="0" w:firstLine="0" w:firstLineChars="0"/>
              <w:jc w:val="both"/>
              <w:rPr>
                <w:rFonts w:ascii="宋体" w:hAnsi="宋体" w:cs="宋体"/>
                <w:color w:val="000000"/>
                <w:kern w:val="0"/>
                <w:sz w:val="24"/>
                <w:szCs w:val="24"/>
              </w:rPr>
            </w:pPr>
            <w:r>
              <w:rPr>
                <w:rFonts w:hint="eastAsia" w:ascii="宋体" w:hAnsi="宋体" w:cs="宋体"/>
                <w:color w:val="000000"/>
                <w:kern w:val="0"/>
                <w:sz w:val="24"/>
                <w:szCs w:val="24"/>
              </w:rPr>
              <w:t>调研与文件整理</w:t>
            </w:r>
          </w:p>
        </w:tc>
        <w:tc>
          <w:tcPr>
            <w:tcW w:w="4013" w:type="dxa"/>
            <w:vMerge w:val="restart"/>
            <w:tcBorders>
              <w:tl2br w:val="nil"/>
              <w:tr2bl w:val="nil"/>
            </w:tcBorders>
            <w:shd w:val="clear" w:color="auto" w:fill="auto"/>
            <w:vAlign w:val="center"/>
          </w:tcPr>
          <w:p>
            <w:pPr>
              <w:widowControl/>
              <w:spacing w:line="360" w:lineRule="auto"/>
              <w:ind w:left="0" w:leftChars="0" w:firstLine="0" w:firstLineChars="0"/>
              <w:rPr>
                <w:rFonts w:ascii="宋体" w:hAnsi="宋体" w:cs="宋体"/>
                <w:color w:val="000000"/>
                <w:kern w:val="0"/>
                <w:sz w:val="24"/>
                <w:szCs w:val="24"/>
              </w:rPr>
            </w:pPr>
            <w:r>
              <w:rPr>
                <w:rFonts w:hint="eastAsia" w:ascii="宋体" w:hAnsi="宋体" w:cs="宋体"/>
                <w:color w:val="000000"/>
                <w:kern w:val="0"/>
                <w:sz w:val="24"/>
                <w:szCs w:val="24"/>
              </w:rPr>
              <w:t>收集和整理相关政策、文件和其他相关资料</w:t>
            </w:r>
          </w:p>
        </w:tc>
        <w:tc>
          <w:tcPr>
            <w:tcW w:w="1891" w:type="dxa"/>
            <w:vMerge w:val="restart"/>
            <w:tcBorders>
              <w:tl2br w:val="nil"/>
              <w:tr2bl w:val="nil"/>
            </w:tcBorders>
            <w:shd w:val="clear" w:color="auto" w:fill="auto"/>
            <w:vAlign w:val="center"/>
          </w:tcPr>
          <w:p>
            <w:pPr>
              <w:widowControl/>
              <w:spacing w:line="360" w:lineRule="auto"/>
              <w:ind w:left="0" w:leftChars="0" w:firstLine="0" w:firstLineChars="0"/>
              <w:jc w:val="both"/>
              <w:rPr>
                <w:rFonts w:ascii="宋体" w:hAnsi="宋体" w:cs="宋体"/>
                <w:color w:val="000000"/>
                <w:kern w:val="0"/>
                <w:sz w:val="24"/>
                <w:szCs w:val="24"/>
              </w:rPr>
            </w:pPr>
            <w:r>
              <w:rPr>
                <w:rFonts w:hint="eastAsia" w:ascii="宋体" w:hAnsi="宋体" w:cs="宋体"/>
                <w:color w:val="000000"/>
                <w:kern w:val="0"/>
                <w:sz w:val="24"/>
                <w:szCs w:val="24"/>
              </w:rPr>
              <w:t>掌握该项目基本情况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164" w:type="dxa"/>
            <w:vMerge w:val="continue"/>
            <w:tcBorders>
              <w:tl2br w:val="nil"/>
              <w:tr2bl w:val="nil"/>
            </w:tcBorders>
            <w:vAlign w:val="center"/>
          </w:tcPr>
          <w:p>
            <w:pPr>
              <w:widowControl/>
              <w:spacing w:line="360" w:lineRule="auto"/>
              <w:jc w:val="left"/>
              <w:rPr>
                <w:rFonts w:ascii="宋体" w:hAnsi="宋体" w:cs="宋体"/>
                <w:color w:val="000000"/>
                <w:kern w:val="0"/>
                <w:sz w:val="24"/>
                <w:szCs w:val="24"/>
              </w:rPr>
            </w:pPr>
          </w:p>
        </w:tc>
        <w:tc>
          <w:tcPr>
            <w:tcW w:w="2291" w:type="dxa"/>
            <w:vMerge w:val="continue"/>
            <w:tcBorders>
              <w:tl2br w:val="nil"/>
              <w:tr2bl w:val="nil"/>
            </w:tcBorders>
            <w:vAlign w:val="center"/>
          </w:tcPr>
          <w:p>
            <w:pPr>
              <w:widowControl/>
              <w:spacing w:line="360" w:lineRule="auto"/>
              <w:jc w:val="left"/>
              <w:rPr>
                <w:rFonts w:ascii="宋体" w:hAnsi="宋体" w:cs="宋体"/>
                <w:color w:val="000000"/>
                <w:kern w:val="0"/>
                <w:sz w:val="24"/>
                <w:szCs w:val="24"/>
              </w:rPr>
            </w:pPr>
          </w:p>
        </w:tc>
        <w:tc>
          <w:tcPr>
            <w:tcW w:w="4013" w:type="dxa"/>
            <w:vMerge w:val="continue"/>
            <w:tcBorders>
              <w:tl2br w:val="nil"/>
              <w:tr2bl w:val="nil"/>
            </w:tcBorders>
            <w:vAlign w:val="center"/>
          </w:tcPr>
          <w:p>
            <w:pPr>
              <w:widowControl/>
              <w:spacing w:line="360" w:lineRule="auto"/>
              <w:jc w:val="left"/>
              <w:rPr>
                <w:rFonts w:ascii="宋体" w:hAnsi="宋体" w:cs="宋体"/>
                <w:color w:val="000000"/>
                <w:kern w:val="0"/>
                <w:sz w:val="24"/>
                <w:szCs w:val="24"/>
              </w:rPr>
            </w:pPr>
          </w:p>
        </w:tc>
        <w:tc>
          <w:tcPr>
            <w:tcW w:w="1891" w:type="dxa"/>
            <w:vMerge w:val="continue"/>
            <w:tcBorders>
              <w:tl2br w:val="nil"/>
              <w:tr2bl w:val="nil"/>
            </w:tcBorders>
            <w:vAlign w:val="center"/>
          </w:tcPr>
          <w:p>
            <w:pPr>
              <w:widowControl/>
              <w:spacing w:line="360" w:lineRule="auto"/>
              <w:jc w:val="left"/>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64" w:type="dxa"/>
            <w:tcBorders>
              <w:tl2br w:val="nil"/>
              <w:tr2bl w:val="nil"/>
            </w:tcBorders>
            <w:vAlign w:val="center"/>
          </w:tcPr>
          <w:p>
            <w:pPr>
              <w:widowControl/>
              <w:spacing w:line="360" w:lineRule="auto"/>
              <w:ind w:left="0" w:leftChars="0" w:firstLine="0" w:firstLineChars="0"/>
              <w:jc w:val="both"/>
              <w:rPr>
                <w:rFonts w:hint="default" w:ascii="宋体" w:hAnsi="宋体" w:eastAsia="仿宋_GB2312" w:cs="宋体"/>
                <w:color w:val="000000"/>
                <w:kern w:val="0"/>
                <w:sz w:val="24"/>
                <w:szCs w:val="24"/>
                <w:lang w:val="en-US" w:eastAsia="zh-CN"/>
              </w:rPr>
            </w:pPr>
            <w:r>
              <w:rPr>
                <w:rFonts w:hint="eastAsia" w:ascii="宋体" w:hAnsi="宋体" w:cs="宋体"/>
                <w:color w:val="000000"/>
                <w:kern w:val="0"/>
                <w:sz w:val="24"/>
                <w:szCs w:val="24"/>
                <w:lang w:val="en-US" w:eastAsia="zh-CN"/>
              </w:rPr>
              <w:t>6.14</w:t>
            </w:r>
          </w:p>
        </w:tc>
        <w:tc>
          <w:tcPr>
            <w:tcW w:w="2291" w:type="dxa"/>
            <w:tcBorders>
              <w:tl2br w:val="nil"/>
              <w:tr2bl w:val="nil"/>
            </w:tcBorders>
            <w:shd w:val="clear" w:color="auto" w:fill="auto"/>
            <w:vAlign w:val="center"/>
          </w:tcPr>
          <w:p>
            <w:pPr>
              <w:widowControl/>
              <w:spacing w:line="360" w:lineRule="auto"/>
              <w:ind w:left="0" w:leftChars="0" w:firstLine="0" w:firstLineChars="0"/>
              <w:jc w:val="both"/>
              <w:rPr>
                <w:rFonts w:ascii="宋体" w:hAnsi="宋体" w:cs="宋体"/>
                <w:color w:val="000000"/>
                <w:kern w:val="0"/>
                <w:sz w:val="24"/>
                <w:szCs w:val="24"/>
              </w:rPr>
            </w:pPr>
            <w:r>
              <w:rPr>
                <w:rFonts w:hint="eastAsia" w:ascii="宋体" w:hAnsi="宋体" w:cs="宋体"/>
                <w:color w:val="000000"/>
                <w:kern w:val="0"/>
                <w:sz w:val="24"/>
                <w:szCs w:val="24"/>
              </w:rPr>
              <w:t>访谈</w:t>
            </w:r>
          </w:p>
        </w:tc>
        <w:tc>
          <w:tcPr>
            <w:tcW w:w="4013" w:type="dxa"/>
            <w:tcBorders>
              <w:tl2br w:val="nil"/>
              <w:tr2bl w:val="nil"/>
            </w:tcBorders>
            <w:shd w:val="clear" w:color="auto" w:fill="auto"/>
            <w:vAlign w:val="center"/>
          </w:tcPr>
          <w:p>
            <w:pPr>
              <w:widowControl/>
              <w:spacing w:line="360" w:lineRule="auto"/>
              <w:ind w:left="0" w:leftChars="0" w:firstLine="0" w:firstLineChars="0"/>
              <w:rPr>
                <w:rFonts w:ascii="宋体" w:hAnsi="宋体" w:cs="宋体"/>
                <w:color w:val="000000"/>
                <w:kern w:val="0"/>
                <w:sz w:val="24"/>
                <w:szCs w:val="24"/>
              </w:rPr>
            </w:pPr>
            <w:r>
              <w:rPr>
                <w:rFonts w:hint="eastAsia" w:ascii="宋体" w:hAnsi="宋体" w:cs="宋体"/>
                <w:color w:val="000000"/>
                <w:kern w:val="0"/>
                <w:sz w:val="24"/>
                <w:szCs w:val="24"/>
              </w:rPr>
              <w:t>对项目相关人员访谈</w:t>
            </w:r>
          </w:p>
        </w:tc>
        <w:tc>
          <w:tcPr>
            <w:tcW w:w="1891" w:type="dxa"/>
            <w:tcBorders>
              <w:tl2br w:val="nil"/>
              <w:tr2bl w:val="nil"/>
            </w:tcBorders>
            <w:shd w:val="clear" w:color="auto" w:fill="auto"/>
            <w:vAlign w:val="center"/>
          </w:tcPr>
          <w:p>
            <w:pPr>
              <w:widowControl/>
              <w:spacing w:line="360" w:lineRule="auto"/>
              <w:ind w:left="0" w:leftChars="0" w:firstLine="0" w:firstLineChars="0"/>
              <w:jc w:val="both"/>
              <w:rPr>
                <w:rFonts w:ascii="宋体" w:hAnsi="宋体" w:cs="宋体"/>
                <w:color w:val="000000"/>
                <w:kern w:val="0"/>
                <w:sz w:val="24"/>
                <w:szCs w:val="24"/>
              </w:rPr>
            </w:pPr>
            <w:r>
              <w:rPr>
                <w:rFonts w:hint="eastAsia" w:ascii="宋体" w:hAnsi="宋体" w:cs="宋体"/>
                <w:color w:val="000000"/>
                <w:kern w:val="0"/>
                <w:sz w:val="24"/>
                <w:szCs w:val="24"/>
              </w:rPr>
              <w:t>访谈记录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2164" w:type="dxa"/>
            <w:tcBorders>
              <w:tl2br w:val="nil"/>
              <w:tr2bl w:val="nil"/>
            </w:tcBorders>
            <w:vAlign w:val="center"/>
          </w:tcPr>
          <w:p>
            <w:pPr>
              <w:widowControl/>
              <w:spacing w:line="360" w:lineRule="auto"/>
              <w:ind w:left="0" w:leftChars="0" w:firstLine="0" w:firstLineChars="0"/>
              <w:jc w:val="both"/>
              <w:rPr>
                <w:rFonts w:hint="default" w:ascii="宋体" w:hAnsi="宋体" w:eastAsia="仿宋_GB2312" w:cs="宋体"/>
                <w:color w:val="000000"/>
                <w:kern w:val="0"/>
                <w:sz w:val="24"/>
                <w:szCs w:val="24"/>
                <w:lang w:val="en-US" w:eastAsia="zh-CN"/>
              </w:rPr>
            </w:pPr>
            <w:r>
              <w:rPr>
                <w:rFonts w:hint="eastAsia" w:ascii="宋体" w:hAnsi="宋体" w:cs="宋体"/>
                <w:color w:val="000000"/>
                <w:kern w:val="0"/>
                <w:sz w:val="24"/>
                <w:szCs w:val="24"/>
                <w:lang w:val="en-US" w:eastAsia="zh-CN"/>
              </w:rPr>
              <w:t>6.15</w:t>
            </w:r>
          </w:p>
        </w:tc>
        <w:tc>
          <w:tcPr>
            <w:tcW w:w="2291" w:type="dxa"/>
            <w:tcBorders>
              <w:tl2br w:val="nil"/>
              <w:tr2bl w:val="nil"/>
            </w:tcBorders>
            <w:shd w:val="clear" w:color="auto" w:fill="auto"/>
            <w:vAlign w:val="center"/>
          </w:tcPr>
          <w:p>
            <w:pPr>
              <w:widowControl/>
              <w:spacing w:line="360" w:lineRule="auto"/>
              <w:ind w:left="0" w:leftChars="0" w:firstLine="0" w:firstLineChars="0"/>
              <w:jc w:val="both"/>
              <w:rPr>
                <w:rFonts w:ascii="宋体" w:hAnsi="宋体" w:cs="宋体"/>
                <w:color w:val="000000"/>
                <w:kern w:val="0"/>
                <w:sz w:val="24"/>
                <w:szCs w:val="24"/>
              </w:rPr>
            </w:pPr>
            <w:r>
              <w:rPr>
                <w:rFonts w:hint="eastAsia" w:ascii="宋体" w:hAnsi="宋体" w:cs="宋体"/>
                <w:color w:val="000000"/>
                <w:kern w:val="0"/>
                <w:sz w:val="24"/>
                <w:szCs w:val="24"/>
              </w:rPr>
              <w:t>实地调研</w:t>
            </w:r>
          </w:p>
        </w:tc>
        <w:tc>
          <w:tcPr>
            <w:tcW w:w="4013" w:type="dxa"/>
            <w:tcBorders>
              <w:tl2br w:val="nil"/>
              <w:tr2bl w:val="nil"/>
            </w:tcBorders>
            <w:shd w:val="clear" w:color="auto" w:fill="auto"/>
            <w:vAlign w:val="center"/>
          </w:tcPr>
          <w:p>
            <w:pPr>
              <w:widowControl/>
              <w:spacing w:line="360" w:lineRule="auto"/>
              <w:ind w:left="0" w:leftChars="0" w:firstLine="0" w:firstLineChars="0"/>
              <w:rPr>
                <w:rFonts w:ascii="宋体" w:hAnsi="宋体" w:cs="宋体"/>
                <w:color w:val="000000"/>
                <w:kern w:val="0"/>
                <w:sz w:val="24"/>
                <w:szCs w:val="24"/>
              </w:rPr>
            </w:pPr>
            <w:r>
              <w:rPr>
                <w:rFonts w:hint="eastAsia" w:ascii="宋体" w:hAnsi="宋体" w:cs="宋体"/>
                <w:color w:val="000000"/>
                <w:kern w:val="0"/>
                <w:sz w:val="24"/>
                <w:szCs w:val="24"/>
              </w:rPr>
              <w:t>实地调研项目开展情况，</w:t>
            </w:r>
            <w:r>
              <w:rPr>
                <w:rFonts w:hint="eastAsia" w:ascii="宋体" w:hAnsi="宋体" w:cs="宋体"/>
                <w:color w:val="000000"/>
                <w:kern w:val="0"/>
                <w:sz w:val="24"/>
                <w:szCs w:val="24"/>
                <w:lang w:val="en-US" w:eastAsia="zh-CN"/>
              </w:rPr>
              <w:t>了解项目进度</w:t>
            </w:r>
            <w:r>
              <w:rPr>
                <w:rFonts w:hint="eastAsia" w:ascii="宋体" w:hAnsi="宋体" w:cs="宋体"/>
                <w:color w:val="000000"/>
                <w:kern w:val="0"/>
                <w:sz w:val="24"/>
                <w:szCs w:val="24"/>
              </w:rPr>
              <w:t>。</w:t>
            </w:r>
          </w:p>
        </w:tc>
        <w:tc>
          <w:tcPr>
            <w:tcW w:w="1891" w:type="dxa"/>
            <w:tcBorders>
              <w:tl2br w:val="nil"/>
              <w:tr2bl w:val="nil"/>
            </w:tcBorders>
            <w:shd w:val="clear" w:color="auto" w:fill="auto"/>
            <w:vAlign w:val="center"/>
          </w:tcPr>
          <w:p>
            <w:pPr>
              <w:widowControl/>
              <w:spacing w:line="360" w:lineRule="auto"/>
              <w:ind w:left="0" w:leftChars="0" w:firstLine="0" w:firstLineChars="0"/>
              <w:jc w:val="both"/>
              <w:rPr>
                <w:rFonts w:ascii="宋体" w:hAnsi="宋体" w:cs="宋体"/>
                <w:color w:val="000000"/>
                <w:kern w:val="0"/>
                <w:sz w:val="24"/>
                <w:szCs w:val="24"/>
              </w:rPr>
            </w:pPr>
            <w:r>
              <w:rPr>
                <w:rFonts w:hint="eastAsia" w:ascii="宋体" w:hAnsi="宋体" w:cs="宋体"/>
                <w:color w:val="000000"/>
                <w:kern w:val="0"/>
                <w:sz w:val="24"/>
                <w:szCs w:val="24"/>
              </w:rPr>
              <w:t>为</w:t>
            </w:r>
            <w:r>
              <w:rPr>
                <w:rFonts w:hint="eastAsia" w:ascii="宋体" w:hAnsi="宋体" w:cs="宋体"/>
                <w:color w:val="000000"/>
                <w:kern w:val="0"/>
                <w:sz w:val="24"/>
                <w:szCs w:val="24"/>
                <w:lang w:val="en-US" w:eastAsia="zh-CN"/>
              </w:rPr>
              <w:t>评价</w:t>
            </w:r>
            <w:r>
              <w:rPr>
                <w:rFonts w:hint="eastAsia" w:ascii="宋体" w:hAnsi="宋体" w:cs="宋体"/>
                <w:color w:val="000000"/>
                <w:kern w:val="0"/>
                <w:sz w:val="24"/>
                <w:szCs w:val="24"/>
              </w:rPr>
              <w:t>工作提供依据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2164" w:type="dxa"/>
            <w:tcBorders>
              <w:tl2br w:val="nil"/>
              <w:tr2bl w:val="nil"/>
            </w:tcBorders>
            <w:shd w:val="clear" w:color="auto" w:fill="auto"/>
            <w:vAlign w:val="center"/>
          </w:tcPr>
          <w:p>
            <w:pPr>
              <w:widowControl/>
              <w:spacing w:line="360" w:lineRule="auto"/>
              <w:ind w:left="0" w:leftChars="0" w:firstLine="0" w:firstLineChars="0"/>
              <w:jc w:val="both"/>
              <w:rPr>
                <w:rFonts w:hint="default" w:ascii="宋体" w:hAnsi="宋体" w:eastAsia="仿宋_GB2312" w:cs="宋体"/>
                <w:color w:val="000000"/>
                <w:kern w:val="0"/>
                <w:sz w:val="24"/>
                <w:szCs w:val="24"/>
                <w:lang w:val="en-US" w:eastAsia="zh-CN"/>
              </w:rPr>
            </w:pPr>
            <w:r>
              <w:rPr>
                <w:rFonts w:hint="eastAsia" w:ascii="宋体" w:hAnsi="宋体" w:cs="宋体"/>
                <w:color w:val="000000"/>
                <w:kern w:val="0"/>
                <w:sz w:val="24"/>
                <w:szCs w:val="24"/>
                <w:lang w:val="en-US" w:eastAsia="zh-CN"/>
              </w:rPr>
              <w:t>6.17-6.20</w:t>
            </w:r>
          </w:p>
        </w:tc>
        <w:tc>
          <w:tcPr>
            <w:tcW w:w="2291" w:type="dxa"/>
            <w:tcBorders>
              <w:tl2br w:val="nil"/>
              <w:tr2bl w:val="nil"/>
            </w:tcBorders>
            <w:shd w:val="clear" w:color="auto" w:fill="auto"/>
            <w:vAlign w:val="center"/>
          </w:tcPr>
          <w:p>
            <w:pPr>
              <w:widowControl/>
              <w:spacing w:line="360" w:lineRule="auto"/>
              <w:ind w:left="0" w:leftChars="0" w:firstLine="0" w:firstLineChars="0"/>
              <w:jc w:val="both"/>
              <w:rPr>
                <w:rFonts w:ascii="宋体" w:hAnsi="宋体" w:cs="宋体"/>
                <w:color w:val="000000"/>
                <w:kern w:val="0"/>
                <w:sz w:val="24"/>
                <w:szCs w:val="24"/>
              </w:rPr>
            </w:pPr>
            <w:r>
              <w:rPr>
                <w:rFonts w:hint="eastAsia" w:ascii="宋体" w:hAnsi="宋体" w:cs="宋体"/>
                <w:color w:val="000000"/>
                <w:kern w:val="0"/>
                <w:sz w:val="24"/>
                <w:szCs w:val="24"/>
              </w:rPr>
              <w:t>小组探讨，分析数据</w:t>
            </w:r>
          </w:p>
        </w:tc>
        <w:tc>
          <w:tcPr>
            <w:tcW w:w="4013" w:type="dxa"/>
            <w:tcBorders>
              <w:tl2br w:val="nil"/>
              <w:tr2bl w:val="nil"/>
            </w:tcBorders>
            <w:shd w:val="clear" w:color="auto" w:fill="auto"/>
            <w:vAlign w:val="center"/>
          </w:tcPr>
          <w:p>
            <w:pPr>
              <w:widowControl/>
              <w:spacing w:line="360" w:lineRule="auto"/>
              <w:ind w:left="0" w:leftChars="0" w:firstLine="0" w:firstLineChars="0"/>
              <w:rPr>
                <w:rFonts w:ascii="宋体" w:hAnsi="宋体" w:cs="宋体"/>
                <w:color w:val="000000"/>
                <w:kern w:val="0"/>
                <w:sz w:val="24"/>
                <w:szCs w:val="24"/>
              </w:rPr>
            </w:pPr>
            <w:r>
              <w:rPr>
                <w:rFonts w:hint="eastAsia" w:ascii="宋体" w:hAnsi="宋体" w:cs="宋体"/>
                <w:color w:val="000000"/>
                <w:kern w:val="0"/>
                <w:sz w:val="24"/>
                <w:szCs w:val="24"/>
              </w:rPr>
              <w:t>对已有数据、资料共同分析，探讨，确定项目绩效目标完成情况。</w:t>
            </w:r>
          </w:p>
        </w:tc>
        <w:tc>
          <w:tcPr>
            <w:tcW w:w="1891" w:type="dxa"/>
            <w:tcBorders>
              <w:tl2br w:val="nil"/>
              <w:tr2bl w:val="nil"/>
            </w:tcBorders>
            <w:shd w:val="clear" w:color="auto" w:fill="auto"/>
            <w:vAlign w:val="center"/>
          </w:tcPr>
          <w:p>
            <w:pPr>
              <w:widowControl/>
              <w:spacing w:line="360" w:lineRule="auto"/>
              <w:ind w:left="0" w:leftChars="0" w:firstLine="0" w:firstLineChars="0"/>
              <w:jc w:val="both"/>
              <w:rPr>
                <w:rFonts w:ascii="宋体" w:hAnsi="宋体" w:cs="宋体"/>
                <w:color w:val="000000"/>
                <w:kern w:val="0"/>
                <w:sz w:val="24"/>
                <w:szCs w:val="24"/>
              </w:rPr>
            </w:pPr>
            <w:r>
              <w:rPr>
                <w:rFonts w:hint="eastAsia" w:ascii="宋体" w:hAnsi="宋体" w:cs="宋体"/>
                <w:color w:val="000000"/>
                <w:kern w:val="0"/>
                <w:sz w:val="24"/>
                <w:szCs w:val="24"/>
              </w:rPr>
              <w:t>绩效指标评分表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164" w:type="dxa"/>
            <w:vMerge w:val="restart"/>
            <w:tcBorders>
              <w:tl2br w:val="nil"/>
              <w:tr2bl w:val="nil"/>
            </w:tcBorders>
            <w:vAlign w:val="center"/>
          </w:tcPr>
          <w:p>
            <w:pPr>
              <w:spacing w:line="360" w:lineRule="auto"/>
              <w:ind w:left="0" w:leftChars="0" w:firstLine="0" w:firstLineChars="0"/>
              <w:jc w:val="both"/>
              <w:rPr>
                <w:rFonts w:hint="default" w:ascii="宋体" w:hAnsi="宋体" w:eastAsia="仿宋_GB2312" w:cs="宋体"/>
                <w:color w:val="000000"/>
                <w:kern w:val="0"/>
                <w:sz w:val="24"/>
                <w:szCs w:val="24"/>
                <w:lang w:val="en-US" w:eastAsia="zh-CN"/>
              </w:rPr>
            </w:pPr>
            <w:r>
              <w:rPr>
                <w:rFonts w:hint="eastAsia" w:ascii="宋体" w:hAnsi="宋体" w:cs="宋体"/>
                <w:color w:val="000000"/>
                <w:kern w:val="0"/>
                <w:sz w:val="24"/>
                <w:szCs w:val="24"/>
                <w:lang w:val="en-US" w:eastAsia="zh-CN"/>
              </w:rPr>
              <w:t>6.21-6.25</w:t>
            </w:r>
          </w:p>
        </w:tc>
        <w:tc>
          <w:tcPr>
            <w:tcW w:w="2291" w:type="dxa"/>
            <w:vMerge w:val="restart"/>
            <w:tcBorders>
              <w:tl2br w:val="nil"/>
              <w:tr2bl w:val="nil"/>
            </w:tcBorders>
            <w:shd w:val="clear" w:color="auto" w:fill="auto"/>
            <w:vAlign w:val="center"/>
          </w:tcPr>
          <w:p>
            <w:pPr>
              <w:widowControl/>
              <w:spacing w:line="360" w:lineRule="auto"/>
              <w:ind w:left="0" w:leftChars="0" w:firstLine="0" w:firstLineChars="0"/>
              <w:jc w:val="both"/>
              <w:rPr>
                <w:rFonts w:ascii="宋体" w:hAnsi="宋体" w:cs="宋体"/>
                <w:color w:val="000000"/>
                <w:kern w:val="0"/>
                <w:sz w:val="24"/>
                <w:szCs w:val="24"/>
              </w:rPr>
            </w:pPr>
            <w:r>
              <w:rPr>
                <w:rFonts w:hint="eastAsia" w:ascii="宋体" w:hAnsi="宋体" w:cs="宋体"/>
                <w:color w:val="000000"/>
                <w:kern w:val="0"/>
                <w:sz w:val="24"/>
                <w:szCs w:val="24"/>
                <w:lang w:val="en-US" w:eastAsia="zh-CN"/>
              </w:rPr>
              <w:t>评价</w:t>
            </w:r>
            <w:r>
              <w:rPr>
                <w:rFonts w:hint="eastAsia" w:ascii="宋体" w:hAnsi="宋体" w:cs="宋体"/>
                <w:color w:val="000000"/>
                <w:kern w:val="0"/>
                <w:sz w:val="24"/>
                <w:szCs w:val="24"/>
              </w:rPr>
              <w:t>报告撰写</w:t>
            </w:r>
          </w:p>
        </w:tc>
        <w:tc>
          <w:tcPr>
            <w:tcW w:w="4013" w:type="dxa"/>
            <w:vMerge w:val="restart"/>
            <w:tcBorders>
              <w:tl2br w:val="nil"/>
              <w:tr2bl w:val="nil"/>
            </w:tcBorders>
            <w:shd w:val="clear" w:color="auto" w:fill="auto"/>
            <w:vAlign w:val="center"/>
          </w:tcPr>
          <w:p>
            <w:pPr>
              <w:widowControl/>
              <w:spacing w:line="360" w:lineRule="auto"/>
              <w:ind w:left="0" w:leftChars="0" w:firstLine="0" w:firstLineChars="0"/>
              <w:rPr>
                <w:rFonts w:ascii="宋体" w:hAnsi="宋体" w:cs="宋体"/>
                <w:color w:val="000000"/>
                <w:kern w:val="0"/>
                <w:sz w:val="24"/>
                <w:szCs w:val="24"/>
              </w:rPr>
            </w:pPr>
            <w:r>
              <w:rPr>
                <w:rFonts w:hint="eastAsia" w:ascii="宋体" w:hAnsi="宋体" w:cs="宋体"/>
                <w:color w:val="000000"/>
                <w:kern w:val="0"/>
                <w:sz w:val="24"/>
                <w:szCs w:val="24"/>
              </w:rPr>
              <w:t>根据指标评价结果及相关资料信息，撰写</w:t>
            </w:r>
            <w:r>
              <w:rPr>
                <w:rFonts w:hint="eastAsia" w:ascii="宋体" w:hAnsi="宋体" w:cs="宋体"/>
                <w:color w:val="000000"/>
                <w:kern w:val="0"/>
                <w:sz w:val="24"/>
                <w:szCs w:val="24"/>
                <w:lang w:val="en-US" w:eastAsia="zh-CN"/>
              </w:rPr>
              <w:t>评价</w:t>
            </w:r>
            <w:r>
              <w:rPr>
                <w:rFonts w:hint="eastAsia" w:ascii="宋体" w:hAnsi="宋体" w:cs="宋体"/>
                <w:color w:val="000000"/>
                <w:kern w:val="0"/>
                <w:sz w:val="24"/>
                <w:szCs w:val="24"/>
              </w:rPr>
              <w:t>报告</w:t>
            </w:r>
          </w:p>
        </w:tc>
        <w:tc>
          <w:tcPr>
            <w:tcW w:w="1891" w:type="dxa"/>
            <w:vMerge w:val="restart"/>
            <w:tcBorders>
              <w:tl2br w:val="nil"/>
              <w:tr2bl w:val="nil"/>
            </w:tcBorders>
            <w:shd w:val="clear" w:color="auto" w:fill="auto"/>
            <w:vAlign w:val="center"/>
          </w:tcPr>
          <w:p>
            <w:pPr>
              <w:widowControl/>
              <w:spacing w:line="360" w:lineRule="auto"/>
              <w:ind w:left="0" w:leftChars="0" w:firstLine="0" w:firstLineChars="0"/>
              <w:jc w:val="both"/>
              <w:rPr>
                <w:rFonts w:ascii="宋体" w:hAnsi="宋体" w:cs="宋体"/>
                <w:color w:val="000000"/>
                <w:kern w:val="0"/>
                <w:sz w:val="24"/>
                <w:szCs w:val="24"/>
              </w:rPr>
            </w:pPr>
            <w:r>
              <w:rPr>
                <w:rFonts w:hint="eastAsia" w:ascii="宋体" w:hAnsi="宋体" w:cs="宋体"/>
                <w:color w:val="000000"/>
                <w:kern w:val="0"/>
                <w:sz w:val="24"/>
                <w:szCs w:val="24"/>
                <w:lang w:val="en-US" w:eastAsia="zh-CN"/>
              </w:rPr>
              <w:t>评价</w:t>
            </w:r>
            <w:r>
              <w:rPr>
                <w:rFonts w:hint="eastAsia" w:ascii="宋体" w:hAnsi="宋体" w:cs="宋体"/>
                <w:color w:val="000000"/>
                <w:kern w:val="0"/>
                <w:sz w:val="24"/>
                <w:szCs w:val="24"/>
              </w:rPr>
              <w:t>报告（初稿）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2164" w:type="dxa"/>
            <w:vMerge w:val="continue"/>
            <w:tcBorders>
              <w:tl2br w:val="nil"/>
              <w:tr2bl w:val="nil"/>
            </w:tcBorders>
            <w:vAlign w:val="center"/>
          </w:tcPr>
          <w:p>
            <w:pPr>
              <w:widowControl/>
              <w:spacing w:line="360" w:lineRule="auto"/>
              <w:jc w:val="left"/>
              <w:rPr>
                <w:rFonts w:ascii="宋体" w:hAnsi="宋体" w:cs="宋体"/>
                <w:color w:val="000000"/>
                <w:kern w:val="0"/>
                <w:sz w:val="24"/>
                <w:szCs w:val="24"/>
              </w:rPr>
            </w:pPr>
          </w:p>
        </w:tc>
        <w:tc>
          <w:tcPr>
            <w:tcW w:w="2291" w:type="dxa"/>
            <w:vMerge w:val="continue"/>
            <w:tcBorders>
              <w:tl2br w:val="nil"/>
              <w:tr2bl w:val="nil"/>
            </w:tcBorders>
            <w:vAlign w:val="center"/>
          </w:tcPr>
          <w:p>
            <w:pPr>
              <w:widowControl/>
              <w:spacing w:line="360" w:lineRule="auto"/>
              <w:jc w:val="left"/>
              <w:rPr>
                <w:rFonts w:ascii="宋体" w:hAnsi="宋体" w:cs="宋体"/>
                <w:color w:val="000000"/>
                <w:kern w:val="0"/>
                <w:sz w:val="24"/>
                <w:szCs w:val="24"/>
              </w:rPr>
            </w:pPr>
          </w:p>
        </w:tc>
        <w:tc>
          <w:tcPr>
            <w:tcW w:w="4013" w:type="dxa"/>
            <w:vMerge w:val="continue"/>
            <w:tcBorders>
              <w:tl2br w:val="nil"/>
              <w:tr2bl w:val="nil"/>
            </w:tcBorders>
            <w:vAlign w:val="center"/>
          </w:tcPr>
          <w:p>
            <w:pPr>
              <w:widowControl/>
              <w:spacing w:line="360" w:lineRule="auto"/>
              <w:jc w:val="left"/>
              <w:rPr>
                <w:rFonts w:ascii="宋体" w:hAnsi="宋体" w:cs="宋体"/>
                <w:color w:val="000000"/>
                <w:kern w:val="0"/>
                <w:sz w:val="24"/>
                <w:szCs w:val="24"/>
              </w:rPr>
            </w:pPr>
          </w:p>
        </w:tc>
        <w:tc>
          <w:tcPr>
            <w:tcW w:w="1891" w:type="dxa"/>
            <w:vMerge w:val="continue"/>
            <w:tcBorders>
              <w:tl2br w:val="nil"/>
              <w:tr2bl w:val="nil"/>
            </w:tcBorders>
            <w:vAlign w:val="center"/>
          </w:tcPr>
          <w:p>
            <w:pPr>
              <w:widowControl/>
              <w:spacing w:line="360" w:lineRule="auto"/>
              <w:jc w:val="left"/>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64" w:type="dxa"/>
            <w:vMerge w:val="restart"/>
            <w:tcBorders>
              <w:tl2br w:val="nil"/>
              <w:tr2bl w:val="nil"/>
            </w:tcBorders>
            <w:shd w:val="clear" w:color="auto" w:fill="auto"/>
            <w:vAlign w:val="center"/>
          </w:tcPr>
          <w:p>
            <w:pPr>
              <w:widowControl/>
              <w:spacing w:line="360" w:lineRule="auto"/>
              <w:ind w:left="0" w:leftChars="0" w:firstLine="0" w:firstLineChars="0"/>
              <w:jc w:val="both"/>
              <w:rPr>
                <w:rFonts w:hint="default" w:ascii="宋体" w:hAnsi="宋体" w:eastAsia="仿宋_GB2312" w:cs="宋体"/>
                <w:color w:val="000000"/>
                <w:kern w:val="0"/>
                <w:sz w:val="24"/>
                <w:szCs w:val="24"/>
                <w:lang w:val="en-US" w:eastAsia="zh-CN"/>
              </w:rPr>
            </w:pPr>
            <w:r>
              <w:rPr>
                <w:rFonts w:hint="eastAsia" w:ascii="宋体" w:hAnsi="宋体" w:cs="宋体"/>
                <w:color w:val="000000"/>
                <w:kern w:val="0"/>
                <w:sz w:val="24"/>
                <w:szCs w:val="24"/>
                <w:lang w:val="en-US" w:eastAsia="zh-CN"/>
              </w:rPr>
              <w:t>6.25-6.30</w:t>
            </w:r>
          </w:p>
        </w:tc>
        <w:tc>
          <w:tcPr>
            <w:tcW w:w="2291" w:type="dxa"/>
            <w:vMerge w:val="restart"/>
            <w:tcBorders>
              <w:tl2br w:val="nil"/>
              <w:tr2bl w:val="nil"/>
            </w:tcBorders>
            <w:shd w:val="clear" w:color="auto" w:fill="auto"/>
            <w:vAlign w:val="center"/>
          </w:tcPr>
          <w:p>
            <w:pPr>
              <w:widowControl/>
              <w:spacing w:line="360" w:lineRule="auto"/>
              <w:ind w:left="0" w:leftChars="0" w:firstLine="0" w:firstLineChars="0"/>
              <w:jc w:val="both"/>
              <w:rPr>
                <w:rFonts w:ascii="宋体" w:hAnsi="宋体" w:cs="宋体"/>
                <w:color w:val="000000"/>
                <w:kern w:val="0"/>
                <w:sz w:val="24"/>
                <w:szCs w:val="24"/>
              </w:rPr>
            </w:pPr>
            <w:r>
              <w:rPr>
                <w:rFonts w:hint="eastAsia" w:ascii="宋体" w:hAnsi="宋体" w:cs="宋体"/>
                <w:color w:val="000000"/>
                <w:kern w:val="0"/>
                <w:sz w:val="24"/>
                <w:szCs w:val="24"/>
              </w:rPr>
              <w:t>沟通反馈</w:t>
            </w:r>
          </w:p>
        </w:tc>
        <w:tc>
          <w:tcPr>
            <w:tcW w:w="4013" w:type="dxa"/>
            <w:vMerge w:val="restart"/>
            <w:tcBorders>
              <w:tl2br w:val="nil"/>
              <w:tr2bl w:val="nil"/>
            </w:tcBorders>
            <w:shd w:val="clear" w:color="auto" w:fill="auto"/>
            <w:vAlign w:val="center"/>
          </w:tcPr>
          <w:p>
            <w:pPr>
              <w:widowControl/>
              <w:spacing w:line="360" w:lineRule="auto"/>
              <w:ind w:left="0" w:leftChars="0" w:firstLine="0" w:firstLineChars="0"/>
              <w:rPr>
                <w:rFonts w:ascii="宋体" w:hAnsi="宋体" w:cs="宋体"/>
                <w:color w:val="000000"/>
                <w:kern w:val="0"/>
                <w:sz w:val="24"/>
                <w:szCs w:val="24"/>
              </w:rPr>
            </w:pPr>
            <w:r>
              <w:rPr>
                <w:rFonts w:hint="eastAsia" w:ascii="宋体" w:hAnsi="宋体" w:cs="宋体"/>
                <w:color w:val="000000"/>
                <w:kern w:val="0"/>
                <w:sz w:val="24"/>
                <w:szCs w:val="24"/>
              </w:rPr>
              <w:t>再次与委托方负责人沟通，听取对方反馈，对</w:t>
            </w:r>
            <w:r>
              <w:rPr>
                <w:rFonts w:hint="eastAsia" w:ascii="宋体" w:hAnsi="宋体" w:cs="宋体"/>
                <w:color w:val="000000"/>
                <w:kern w:val="0"/>
                <w:sz w:val="24"/>
                <w:szCs w:val="24"/>
                <w:lang w:val="en-US" w:eastAsia="zh-CN"/>
              </w:rPr>
              <w:t>评价</w:t>
            </w:r>
            <w:r>
              <w:rPr>
                <w:rFonts w:hint="eastAsia" w:ascii="宋体" w:hAnsi="宋体" w:cs="宋体"/>
                <w:color w:val="000000"/>
                <w:kern w:val="0"/>
                <w:sz w:val="24"/>
                <w:szCs w:val="24"/>
              </w:rPr>
              <w:t>报告进行核对、完善，完成绩效</w:t>
            </w:r>
            <w:r>
              <w:rPr>
                <w:rFonts w:hint="eastAsia" w:ascii="宋体" w:hAnsi="宋体" w:cs="宋体"/>
                <w:color w:val="000000"/>
                <w:kern w:val="0"/>
                <w:sz w:val="24"/>
                <w:szCs w:val="24"/>
                <w:lang w:val="en-US" w:eastAsia="zh-CN"/>
              </w:rPr>
              <w:t>评价</w:t>
            </w:r>
            <w:r>
              <w:rPr>
                <w:rFonts w:hint="eastAsia" w:ascii="宋体" w:hAnsi="宋体" w:cs="宋体"/>
                <w:color w:val="000000"/>
                <w:kern w:val="0"/>
                <w:sz w:val="24"/>
                <w:szCs w:val="24"/>
              </w:rPr>
              <w:t>工作报告</w:t>
            </w:r>
          </w:p>
        </w:tc>
        <w:tc>
          <w:tcPr>
            <w:tcW w:w="1891" w:type="dxa"/>
            <w:vMerge w:val="restart"/>
            <w:tcBorders>
              <w:tl2br w:val="nil"/>
              <w:tr2bl w:val="nil"/>
            </w:tcBorders>
            <w:shd w:val="clear" w:color="auto" w:fill="auto"/>
            <w:vAlign w:val="center"/>
          </w:tcPr>
          <w:p>
            <w:pPr>
              <w:widowControl/>
              <w:spacing w:line="360" w:lineRule="auto"/>
              <w:ind w:left="0" w:leftChars="0" w:firstLine="0" w:firstLineChars="0"/>
              <w:jc w:val="both"/>
              <w:rPr>
                <w:rFonts w:ascii="宋体" w:hAnsi="宋体" w:cs="宋体"/>
                <w:color w:val="000000"/>
                <w:kern w:val="0"/>
                <w:sz w:val="24"/>
                <w:szCs w:val="24"/>
              </w:rPr>
            </w:pPr>
            <w:r>
              <w:rPr>
                <w:rFonts w:hint="eastAsia" w:ascii="宋体" w:hAnsi="宋体" w:cs="宋体"/>
                <w:color w:val="000000"/>
                <w:kern w:val="0"/>
                <w:sz w:val="24"/>
                <w:szCs w:val="24"/>
                <w:lang w:val="en-US" w:eastAsia="zh-CN"/>
              </w:rPr>
              <w:t>评价</w:t>
            </w:r>
            <w:r>
              <w:rPr>
                <w:rFonts w:hint="eastAsia" w:ascii="宋体" w:hAnsi="宋体" w:cs="宋体"/>
                <w:color w:val="000000"/>
                <w:kern w:val="0"/>
                <w:sz w:val="24"/>
                <w:szCs w:val="24"/>
              </w:rPr>
              <w:t>报告（正式稿）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2164" w:type="dxa"/>
            <w:vMerge w:val="continue"/>
            <w:tcBorders>
              <w:tl2br w:val="nil"/>
              <w:tr2bl w:val="nil"/>
            </w:tcBorders>
            <w:vAlign w:val="center"/>
          </w:tcPr>
          <w:p>
            <w:pPr>
              <w:widowControl/>
              <w:spacing w:line="360" w:lineRule="auto"/>
              <w:jc w:val="left"/>
              <w:rPr>
                <w:rFonts w:ascii="宋体" w:hAnsi="宋体" w:cs="宋体"/>
                <w:color w:val="000000"/>
                <w:kern w:val="0"/>
                <w:sz w:val="24"/>
                <w:szCs w:val="24"/>
              </w:rPr>
            </w:pPr>
          </w:p>
        </w:tc>
        <w:tc>
          <w:tcPr>
            <w:tcW w:w="2291" w:type="dxa"/>
            <w:vMerge w:val="continue"/>
            <w:tcBorders>
              <w:tl2br w:val="nil"/>
              <w:tr2bl w:val="nil"/>
            </w:tcBorders>
            <w:vAlign w:val="center"/>
          </w:tcPr>
          <w:p>
            <w:pPr>
              <w:widowControl/>
              <w:spacing w:line="360" w:lineRule="auto"/>
              <w:jc w:val="left"/>
              <w:rPr>
                <w:rFonts w:ascii="宋体" w:hAnsi="宋体" w:cs="宋体"/>
                <w:color w:val="000000"/>
                <w:kern w:val="0"/>
                <w:sz w:val="24"/>
                <w:szCs w:val="24"/>
              </w:rPr>
            </w:pPr>
          </w:p>
        </w:tc>
        <w:tc>
          <w:tcPr>
            <w:tcW w:w="4013" w:type="dxa"/>
            <w:vMerge w:val="continue"/>
            <w:tcBorders>
              <w:tl2br w:val="nil"/>
              <w:tr2bl w:val="nil"/>
            </w:tcBorders>
            <w:vAlign w:val="center"/>
          </w:tcPr>
          <w:p>
            <w:pPr>
              <w:widowControl/>
              <w:spacing w:line="360" w:lineRule="auto"/>
              <w:jc w:val="left"/>
              <w:rPr>
                <w:rFonts w:ascii="宋体" w:hAnsi="宋体" w:cs="宋体"/>
                <w:color w:val="000000"/>
                <w:kern w:val="0"/>
                <w:sz w:val="24"/>
                <w:szCs w:val="24"/>
              </w:rPr>
            </w:pPr>
          </w:p>
        </w:tc>
        <w:tc>
          <w:tcPr>
            <w:tcW w:w="1891" w:type="dxa"/>
            <w:vMerge w:val="continue"/>
            <w:tcBorders>
              <w:tl2br w:val="nil"/>
              <w:tr2bl w:val="nil"/>
            </w:tcBorders>
            <w:vAlign w:val="center"/>
          </w:tcPr>
          <w:p>
            <w:pPr>
              <w:widowControl/>
              <w:spacing w:line="360" w:lineRule="auto"/>
              <w:jc w:val="left"/>
              <w:rPr>
                <w:rFonts w:ascii="宋体" w:hAnsi="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164" w:type="dxa"/>
            <w:tcBorders>
              <w:tl2br w:val="nil"/>
              <w:tr2bl w:val="nil"/>
            </w:tcBorders>
            <w:shd w:val="clear" w:color="auto" w:fill="auto"/>
            <w:vAlign w:val="center"/>
          </w:tcPr>
          <w:p>
            <w:pPr>
              <w:widowControl/>
              <w:ind w:left="0" w:leftChars="0" w:firstLine="0" w:firstLineChars="0"/>
              <w:jc w:val="both"/>
              <w:rPr>
                <w:rFonts w:hint="default" w:ascii="宋体" w:hAnsi="宋体" w:eastAsia="仿宋_GB2312" w:cs="宋体"/>
                <w:color w:val="000000"/>
                <w:kern w:val="0"/>
                <w:sz w:val="24"/>
                <w:szCs w:val="24"/>
                <w:lang w:val="en-US" w:eastAsia="zh-CN"/>
              </w:rPr>
            </w:pPr>
            <w:r>
              <w:rPr>
                <w:rFonts w:hint="eastAsia" w:ascii="宋体" w:hAnsi="宋体" w:cs="宋体"/>
                <w:color w:val="000000"/>
                <w:kern w:val="0"/>
                <w:sz w:val="24"/>
                <w:szCs w:val="24"/>
                <w:lang w:val="en-US" w:eastAsia="zh-CN"/>
              </w:rPr>
              <w:t>6.30</w:t>
            </w:r>
          </w:p>
        </w:tc>
        <w:tc>
          <w:tcPr>
            <w:tcW w:w="2291" w:type="dxa"/>
            <w:tcBorders>
              <w:tl2br w:val="nil"/>
              <w:tr2bl w:val="nil"/>
            </w:tcBorders>
            <w:shd w:val="clear" w:color="auto" w:fill="auto"/>
            <w:vAlign w:val="center"/>
          </w:tcPr>
          <w:p>
            <w:pPr>
              <w:widowControl/>
              <w:ind w:left="0" w:leftChars="0" w:firstLine="0" w:firstLineChars="0"/>
              <w:jc w:val="both"/>
              <w:rPr>
                <w:rFonts w:ascii="宋体" w:hAnsi="宋体" w:cs="宋体"/>
                <w:color w:val="000000"/>
                <w:kern w:val="0"/>
                <w:sz w:val="24"/>
                <w:szCs w:val="24"/>
              </w:rPr>
            </w:pPr>
            <w:r>
              <w:rPr>
                <w:rFonts w:hint="eastAsia" w:ascii="宋体" w:hAnsi="宋体" w:cs="宋体"/>
                <w:color w:val="000000"/>
                <w:kern w:val="0"/>
                <w:sz w:val="24"/>
                <w:szCs w:val="24"/>
              </w:rPr>
              <w:t>报告提交</w:t>
            </w:r>
          </w:p>
        </w:tc>
        <w:tc>
          <w:tcPr>
            <w:tcW w:w="4013" w:type="dxa"/>
            <w:tcBorders>
              <w:tl2br w:val="nil"/>
              <w:tr2bl w:val="nil"/>
            </w:tcBorders>
            <w:shd w:val="clear" w:color="auto" w:fill="auto"/>
            <w:vAlign w:val="center"/>
          </w:tcPr>
          <w:p>
            <w:pPr>
              <w:widowControl/>
              <w:ind w:left="0" w:leftChars="0" w:firstLine="0" w:firstLineChars="0"/>
              <w:jc w:val="both"/>
              <w:rPr>
                <w:rFonts w:ascii="宋体" w:hAnsi="宋体" w:cs="宋体"/>
                <w:color w:val="000000"/>
                <w:kern w:val="0"/>
                <w:sz w:val="24"/>
                <w:szCs w:val="24"/>
              </w:rPr>
            </w:pPr>
            <w:r>
              <w:rPr>
                <w:rFonts w:hint="eastAsia" w:ascii="宋体" w:hAnsi="宋体" w:cs="宋体"/>
                <w:color w:val="000000"/>
                <w:kern w:val="0"/>
                <w:sz w:val="24"/>
                <w:szCs w:val="24"/>
              </w:rPr>
              <w:t>打印装订</w:t>
            </w:r>
          </w:p>
        </w:tc>
        <w:tc>
          <w:tcPr>
            <w:tcW w:w="1891" w:type="dxa"/>
            <w:tcBorders>
              <w:tl2br w:val="nil"/>
              <w:tr2bl w:val="nil"/>
            </w:tcBorders>
            <w:shd w:val="clear" w:color="auto" w:fill="auto"/>
            <w:vAlign w:val="center"/>
          </w:tcPr>
          <w:p>
            <w:pPr>
              <w:widowControl/>
              <w:ind w:left="0" w:leftChars="0" w:firstLine="0" w:firstLineChars="0"/>
              <w:jc w:val="both"/>
              <w:rPr>
                <w:rFonts w:ascii="宋体" w:hAnsi="宋体" w:cs="宋体"/>
                <w:color w:val="000000"/>
                <w:kern w:val="0"/>
                <w:sz w:val="24"/>
                <w:szCs w:val="24"/>
              </w:rPr>
            </w:pPr>
            <w:r>
              <w:rPr>
                <w:rFonts w:hint="eastAsia" w:ascii="宋体" w:hAnsi="宋体" w:cs="宋体"/>
                <w:color w:val="000000"/>
                <w:kern w:val="0"/>
                <w:sz w:val="24"/>
                <w:szCs w:val="24"/>
                <w:lang w:val="en-US" w:eastAsia="zh-CN"/>
              </w:rPr>
              <w:t>评价</w:t>
            </w:r>
            <w:r>
              <w:rPr>
                <w:rFonts w:hint="eastAsia" w:ascii="宋体" w:hAnsi="宋体" w:cs="宋体"/>
                <w:color w:val="000000"/>
                <w:kern w:val="0"/>
                <w:sz w:val="24"/>
                <w:szCs w:val="24"/>
              </w:rPr>
              <w:t>报告终稿</w:t>
            </w:r>
          </w:p>
        </w:tc>
      </w:tr>
    </w:tbl>
    <w:p>
      <w:pPr>
        <w:pStyle w:val="2"/>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报宋">
    <w:altName w:val="宋体"/>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bUN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1tQ3jICAABl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850F3D"/>
    <w:multiLevelType w:val="singleLevel"/>
    <w:tmpl w:val="CA850F3D"/>
    <w:lvl w:ilvl="0" w:tentative="0">
      <w:start w:val="1"/>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1N2U3YjNjOGM0NTRmMWZjM2RhMjA4YzdjMWYxOWQifQ=="/>
  </w:docVars>
  <w:rsids>
    <w:rsidRoot w:val="00000000"/>
    <w:rsid w:val="02011047"/>
    <w:rsid w:val="022B5929"/>
    <w:rsid w:val="02B43A3F"/>
    <w:rsid w:val="02F456F2"/>
    <w:rsid w:val="05835CF9"/>
    <w:rsid w:val="067B1F1D"/>
    <w:rsid w:val="071756D0"/>
    <w:rsid w:val="07260534"/>
    <w:rsid w:val="07977A6F"/>
    <w:rsid w:val="08356637"/>
    <w:rsid w:val="09DE67B4"/>
    <w:rsid w:val="0AD74E5E"/>
    <w:rsid w:val="0B3616E3"/>
    <w:rsid w:val="0B430362"/>
    <w:rsid w:val="0B93265A"/>
    <w:rsid w:val="0B957346"/>
    <w:rsid w:val="0D5F69E1"/>
    <w:rsid w:val="0E011539"/>
    <w:rsid w:val="0EC17A70"/>
    <w:rsid w:val="0EFF3085"/>
    <w:rsid w:val="0F570340"/>
    <w:rsid w:val="105E4BB0"/>
    <w:rsid w:val="10A62CC2"/>
    <w:rsid w:val="10C500F9"/>
    <w:rsid w:val="114257BF"/>
    <w:rsid w:val="12C55158"/>
    <w:rsid w:val="15C419C9"/>
    <w:rsid w:val="17312274"/>
    <w:rsid w:val="17B43822"/>
    <w:rsid w:val="18643F78"/>
    <w:rsid w:val="1960699F"/>
    <w:rsid w:val="198E2E15"/>
    <w:rsid w:val="1ADA6373"/>
    <w:rsid w:val="1BD01D74"/>
    <w:rsid w:val="1D2664DE"/>
    <w:rsid w:val="1D4500E1"/>
    <w:rsid w:val="1DF67FDE"/>
    <w:rsid w:val="1ECA5203"/>
    <w:rsid w:val="1F2D6443"/>
    <w:rsid w:val="20630F2D"/>
    <w:rsid w:val="20744BC3"/>
    <w:rsid w:val="208C34CE"/>
    <w:rsid w:val="215668F6"/>
    <w:rsid w:val="21DC0D1B"/>
    <w:rsid w:val="22096E94"/>
    <w:rsid w:val="22A64466"/>
    <w:rsid w:val="22CC4070"/>
    <w:rsid w:val="22EE7F23"/>
    <w:rsid w:val="235F22BC"/>
    <w:rsid w:val="24AE1911"/>
    <w:rsid w:val="26C070D2"/>
    <w:rsid w:val="27656E25"/>
    <w:rsid w:val="295A45C4"/>
    <w:rsid w:val="2B211492"/>
    <w:rsid w:val="2B75655E"/>
    <w:rsid w:val="2C1F4644"/>
    <w:rsid w:val="2C4F2483"/>
    <w:rsid w:val="2D540FDC"/>
    <w:rsid w:val="2DCC3F5C"/>
    <w:rsid w:val="2E0C3040"/>
    <w:rsid w:val="2F6646A3"/>
    <w:rsid w:val="2FFF10AF"/>
    <w:rsid w:val="30E86F78"/>
    <w:rsid w:val="32220A4E"/>
    <w:rsid w:val="32492126"/>
    <w:rsid w:val="32C8301C"/>
    <w:rsid w:val="34D56A72"/>
    <w:rsid w:val="35305CDE"/>
    <w:rsid w:val="35776430"/>
    <w:rsid w:val="35F5260C"/>
    <w:rsid w:val="36DD1A1E"/>
    <w:rsid w:val="370110C7"/>
    <w:rsid w:val="37CB1054"/>
    <w:rsid w:val="382F79E9"/>
    <w:rsid w:val="388A738A"/>
    <w:rsid w:val="3A031B84"/>
    <w:rsid w:val="3A2D0B97"/>
    <w:rsid w:val="3B1C6EC9"/>
    <w:rsid w:val="3CAB3437"/>
    <w:rsid w:val="3EBD75C8"/>
    <w:rsid w:val="413A231D"/>
    <w:rsid w:val="41CA0AC0"/>
    <w:rsid w:val="42A930FC"/>
    <w:rsid w:val="42A96707"/>
    <w:rsid w:val="42D20BEB"/>
    <w:rsid w:val="47B477A3"/>
    <w:rsid w:val="47CD3247"/>
    <w:rsid w:val="47E349BA"/>
    <w:rsid w:val="47EE50C0"/>
    <w:rsid w:val="4803505C"/>
    <w:rsid w:val="48C01138"/>
    <w:rsid w:val="48D13C84"/>
    <w:rsid w:val="490B41C9"/>
    <w:rsid w:val="49AE1864"/>
    <w:rsid w:val="4B02206D"/>
    <w:rsid w:val="4BBF526A"/>
    <w:rsid w:val="4E9019A4"/>
    <w:rsid w:val="50DC1BB8"/>
    <w:rsid w:val="51F43645"/>
    <w:rsid w:val="52F81F7A"/>
    <w:rsid w:val="578216C6"/>
    <w:rsid w:val="57FA1FD8"/>
    <w:rsid w:val="587173EE"/>
    <w:rsid w:val="59F44805"/>
    <w:rsid w:val="5A5A108A"/>
    <w:rsid w:val="5AC32B55"/>
    <w:rsid w:val="5B3E61C2"/>
    <w:rsid w:val="5B4A5B4F"/>
    <w:rsid w:val="5B793A38"/>
    <w:rsid w:val="5C2E71D5"/>
    <w:rsid w:val="5D075707"/>
    <w:rsid w:val="5D844194"/>
    <w:rsid w:val="5DF63887"/>
    <w:rsid w:val="5E561924"/>
    <w:rsid w:val="5F2150E3"/>
    <w:rsid w:val="60FF065F"/>
    <w:rsid w:val="623460E6"/>
    <w:rsid w:val="637569B7"/>
    <w:rsid w:val="64162A38"/>
    <w:rsid w:val="642457CE"/>
    <w:rsid w:val="657809E0"/>
    <w:rsid w:val="660D77E2"/>
    <w:rsid w:val="6773320D"/>
    <w:rsid w:val="691A2CAD"/>
    <w:rsid w:val="694247E5"/>
    <w:rsid w:val="6968649E"/>
    <w:rsid w:val="6BD02CCA"/>
    <w:rsid w:val="6BD83F86"/>
    <w:rsid w:val="6BE40007"/>
    <w:rsid w:val="6C7F5126"/>
    <w:rsid w:val="6C813DE1"/>
    <w:rsid w:val="6C9C1311"/>
    <w:rsid w:val="6DE74955"/>
    <w:rsid w:val="6E7B2580"/>
    <w:rsid w:val="6F395A2B"/>
    <w:rsid w:val="700A66D9"/>
    <w:rsid w:val="70A97C63"/>
    <w:rsid w:val="71321F86"/>
    <w:rsid w:val="72FC49FE"/>
    <w:rsid w:val="73491EB3"/>
    <w:rsid w:val="739F7B39"/>
    <w:rsid w:val="74084EAC"/>
    <w:rsid w:val="76B6559C"/>
    <w:rsid w:val="781B5927"/>
    <w:rsid w:val="7858214B"/>
    <w:rsid w:val="7A03359B"/>
    <w:rsid w:val="7BA7234E"/>
    <w:rsid w:val="7BB5469A"/>
    <w:rsid w:val="7C48018D"/>
    <w:rsid w:val="7C9B5288"/>
    <w:rsid w:val="7D2302BB"/>
    <w:rsid w:val="7D964C09"/>
    <w:rsid w:val="7DC75C1E"/>
    <w:rsid w:val="7E7377B9"/>
    <w:rsid w:val="7EE472BB"/>
    <w:rsid w:val="7F1107D4"/>
    <w:rsid w:val="7F29028D"/>
    <w:rsid w:val="7FB35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semiHidden/>
    <w:unhideWhenUsed/>
    <w:qFormat/>
    <w:uiPriority w:val="9"/>
    <w:pPr>
      <w:keepNext/>
      <w:keepLines/>
      <w:spacing w:before="240" w:after="240" w:line="360" w:lineRule="auto"/>
      <w:jc w:val="left"/>
      <w:outlineLvl w:val="1"/>
    </w:pPr>
    <w:rPr>
      <w:rFonts w:asciiTheme="majorHAnsi" w:hAnsiTheme="majorHAnsi" w:cstheme="majorBidi"/>
      <w:b/>
      <w:bCs/>
      <w:sz w:val="28"/>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semiHidden/>
    <w:unhideWhenUsed/>
    <w:qFormat/>
    <w:uiPriority w:val="99"/>
    <w:pPr>
      <w:ind w:firstLine="420"/>
    </w:pPr>
  </w:style>
  <w:style w:type="paragraph" w:styleId="5">
    <w:name w:val="Body Text"/>
    <w:basedOn w:val="1"/>
    <w:next w:val="1"/>
    <w:semiHidden/>
    <w:unhideWhenUsed/>
    <w:qFormat/>
    <w:uiPriority w:val="99"/>
    <w:pPr>
      <w:ind w:right="214"/>
    </w:pPr>
    <w:rPr>
      <w:rFonts w:ascii="仿宋_GB2312" w:eastAsia="仿宋_GB2312"/>
      <w:sz w:val="32"/>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semiHidden/>
    <w:unhideWhenUsed/>
    <w:qFormat/>
    <w:uiPriority w:val="39"/>
  </w:style>
  <w:style w:type="paragraph" w:styleId="9">
    <w:name w:val="toc 2"/>
    <w:basedOn w:val="1"/>
    <w:next w:val="1"/>
    <w:semiHidden/>
    <w:unhideWhenUsed/>
    <w:qFormat/>
    <w:uiPriority w:val="39"/>
    <w:pPr>
      <w:ind w:left="420" w:leftChars="200"/>
    </w:pPr>
  </w:style>
  <w:style w:type="paragraph" w:styleId="10">
    <w:name w:val="Title"/>
    <w:basedOn w:val="1"/>
    <w:next w:val="1"/>
    <w:qFormat/>
    <w:uiPriority w:val="10"/>
    <w:pPr>
      <w:spacing w:before="240" w:after="60"/>
      <w:jc w:val="center"/>
      <w:outlineLvl w:val="0"/>
    </w:pPr>
    <w:rPr>
      <w:rFonts w:ascii="Times New Roman" w:hAnsi="Times New Roman" w:eastAsia="黑体" w:cs="Times New Roman"/>
      <w:b/>
      <w:bCs/>
      <w:sz w:val="44"/>
      <w:szCs w:val="32"/>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4">
    <w:name w:val="List Paragraph"/>
    <w:basedOn w:val="1"/>
    <w:qFormat/>
    <w:uiPriority w:val="34"/>
    <w:pPr>
      <w:ind w:firstLine="420" w:firstLineChars="200"/>
    </w:pPr>
  </w:style>
  <w:style w:type="character" w:customStyle="1" w:styleId="15">
    <w:name w:val="font11"/>
    <w:basedOn w:val="13"/>
    <w:qFormat/>
    <w:uiPriority w:val="0"/>
    <w:rPr>
      <w:rFonts w:hint="eastAsia" w:ascii="宋体" w:hAnsi="宋体" w:eastAsia="宋体" w:cs="宋体"/>
      <w:color w:val="000000"/>
      <w:sz w:val="20"/>
      <w:szCs w:val="20"/>
      <w:u w:val="none"/>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paragraph" w:customStyle="1" w:styleId="18">
    <w:name w:val="分类号"/>
    <w:basedOn w:val="1"/>
    <w:qFormat/>
    <w:uiPriority w:val="0"/>
    <w:rPr>
      <w:rFonts w:ascii="仿宋_GB2312" w:hAnsi="Times New Roman" w:eastAsia="仿宋_GB2312" w:cs="Times New Roman"/>
      <w:sz w:val="28"/>
      <w:szCs w:val="28"/>
    </w:rPr>
  </w:style>
  <w:style w:type="paragraph" w:customStyle="1" w:styleId="19">
    <w:name w:val="封面日期"/>
    <w:basedOn w:val="1"/>
    <w:qFormat/>
    <w:uiPriority w:val="0"/>
    <w:pPr>
      <w:jc w:val="center"/>
    </w:pPr>
    <w:rPr>
      <w:rFonts w:ascii="黑体" w:hAnsi="Times New Roman" w:eastAsia="黑体" w:cs="Times New Roman"/>
      <w:sz w:val="32"/>
      <w:szCs w:val="32"/>
    </w:rPr>
  </w:style>
  <w:style w:type="paragraph" w:customStyle="1" w:styleId="20">
    <w:name w:val="论文标题"/>
    <w:basedOn w:val="1"/>
    <w:qFormat/>
    <w:uiPriority w:val="0"/>
    <w:pPr>
      <w:jc w:val="center"/>
    </w:pPr>
    <w:rPr>
      <w:rFonts w:ascii="Times New Roman" w:hAnsi="Times New Roman" w:eastAsia="楷体_GB2312" w:cs="Times New Roman"/>
      <w:b/>
      <w:kern w:val="36"/>
      <w:sz w:val="52"/>
      <w:szCs w:val="52"/>
    </w:rPr>
  </w:style>
  <w:style w:type="paragraph" w:customStyle="1" w:styleId="21">
    <w:name w:val="硕士学位论文"/>
    <w:basedOn w:val="1"/>
    <w:qFormat/>
    <w:uiPriority w:val="0"/>
    <w:pPr>
      <w:spacing w:before="240"/>
      <w:jc w:val="center"/>
    </w:pPr>
    <w:rPr>
      <w:rFonts w:ascii="Times New Roman" w:hAnsi="Times New Roman" w:eastAsia="宋体" w:cs="Times New Roman"/>
      <w:sz w:val="44"/>
      <w:szCs w:val="44"/>
    </w:rPr>
  </w:style>
  <w:style w:type="paragraph" w:customStyle="1" w:styleId="22">
    <w:name w:val="研究生姓名"/>
    <w:basedOn w:val="1"/>
    <w:qFormat/>
    <w:uiPriority w:val="0"/>
    <w:pPr>
      <w:ind w:firstLine="700" w:firstLineChars="700"/>
    </w:pPr>
    <w:rPr>
      <w:rFonts w:ascii="Times New Roman" w:hAnsi="Times New Roman" w:eastAsia="宋体" w:cs="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footer" Target="footer2.xml"/><Relationship Id="rId39" Type="http://schemas.openxmlformats.org/officeDocument/2006/relationships/image" Target="media/image32.png"/><Relationship Id="rId38" Type="http://schemas.openxmlformats.org/officeDocument/2006/relationships/image" Target="media/image31.png"/><Relationship Id="rId37" Type="http://schemas.openxmlformats.org/officeDocument/2006/relationships/image" Target="media/image30.png"/><Relationship Id="rId36" Type="http://schemas.openxmlformats.org/officeDocument/2006/relationships/image" Target="media/image29.png"/><Relationship Id="rId35" Type="http://schemas.openxmlformats.org/officeDocument/2006/relationships/image" Target="media/image28.png"/><Relationship Id="rId34" Type="http://schemas.openxmlformats.org/officeDocument/2006/relationships/image" Target="media/image27.png"/><Relationship Id="rId33" Type="http://schemas.openxmlformats.org/officeDocument/2006/relationships/image" Target="media/image26.png"/><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footer" Target="footer1.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sectNamePr val="lengthwise1"/>
      <sectRole val="1"/>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19101</Words>
  <Characters>20544</Characters>
  <Lines>1</Lines>
  <Paragraphs>1</Paragraphs>
  <TotalTime>2</TotalTime>
  <ScaleCrop>false</ScaleCrop>
  <LinksUpToDate>false</LinksUpToDate>
  <CharactersWithSpaces>21247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清风挽心</cp:lastModifiedBy>
  <dcterms:modified xsi:type="dcterms:W3CDTF">2023-07-21T07:47:31Z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F7A73F98AD5F41FF829C70803CAC4566_13</vt:lpwstr>
  </property>
</Properties>
</file>