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bCs/>
          <w:sz w:val="72"/>
          <w:szCs w:val="72"/>
        </w:rPr>
      </w:pPr>
    </w:p>
    <w:p>
      <w:pPr>
        <w:spacing w:line="360" w:lineRule="auto"/>
        <w:jc w:val="center"/>
        <w:rPr>
          <w:rFonts w:ascii="宋体" w:hAnsi="宋体" w:cs="宋体"/>
          <w:sz w:val="72"/>
          <w:szCs w:val="72"/>
        </w:rPr>
      </w:pPr>
      <w:r>
        <w:rPr>
          <w:rFonts w:hint="eastAsia" w:ascii="宋体" w:hAnsi="宋体" w:cs="宋体"/>
          <w:sz w:val="72"/>
          <w:szCs w:val="72"/>
        </w:rPr>
        <w:t>2024年度</w:t>
      </w:r>
    </w:p>
    <w:p>
      <w:pPr>
        <w:spacing w:line="360" w:lineRule="auto"/>
        <w:jc w:val="center"/>
        <w:rPr>
          <w:rFonts w:ascii="宋体" w:hAnsi="宋体" w:cs="宋体"/>
          <w:sz w:val="72"/>
          <w:szCs w:val="72"/>
        </w:rPr>
      </w:pPr>
      <w:r>
        <w:rPr>
          <w:rFonts w:hint="eastAsia" w:ascii="宋体" w:hAnsi="宋体" w:cs="宋体"/>
          <w:sz w:val="72"/>
          <w:szCs w:val="72"/>
        </w:rPr>
        <w:t>部门预算公开</w:t>
      </w:r>
    </w:p>
    <w:p>
      <w:pPr>
        <w:spacing w:line="360" w:lineRule="auto"/>
        <w:jc w:val="center"/>
        <w:rPr>
          <w:rFonts w:ascii="宋体" w:hAnsi="宋体" w:cs="宋体"/>
          <w:b/>
          <w:bCs/>
          <w:sz w:val="72"/>
          <w:szCs w:val="72"/>
        </w:rPr>
      </w:pPr>
    </w:p>
    <w:p>
      <w:pPr>
        <w:spacing w:line="580" w:lineRule="atLeast"/>
        <w:jc w:val="center"/>
        <w:rPr>
          <w:rFonts w:ascii="仿宋_GB2312" w:hAnsi="宋体" w:eastAsia="仿宋_GB2312"/>
          <w:b/>
          <w:bCs/>
          <w:sz w:val="32"/>
          <w:szCs w:val="32"/>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ascii="仿宋" w:hAnsi="仿宋" w:eastAsia="仿宋" w:cs="仿宋"/>
          <w:sz w:val="36"/>
          <w:szCs w:val="36"/>
        </w:rPr>
      </w:pPr>
      <w:r>
        <w:rPr>
          <w:rFonts w:hint="eastAsia" w:ascii="仿宋" w:hAnsi="仿宋" w:eastAsia="仿宋" w:cs="仿宋"/>
          <w:sz w:val="36"/>
          <w:szCs w:val="36"/>
        </w:rPr>
        <w:t>漯河市召陵区邓襄镇第一中心小学</w:t>
      </w:r>
    </w:p>
    <w:p>
      <w:pPr>
        <w:spacing w:line="720" w:lineRule="exact"/>
        <w:jc w:val="center"/>
        <w:rPr>
          <w:rFonts w:ascii="仿宋" w:hAnsi="仿宋" w:eastAsia="仿宋" w:cs="仿宋"/>
          <w:sz w:val="36"/>
          <w:szCs w:val="36"/>
        </w:rPr>
      </w:pPr>
      <w:r>
        <w:rPr>
          <w:rFonts w:hint="eastAsia" w:ascii="仿宋" w:hAnsi="仿宋" w:eastAsia="仿宋" w:cs="仿宋"/>
          <w:sz w:val="36"/>
          <w:szCs w:val="36"/>
        </w:rPr>
        <w:t>2024年3月4日</w:t>
      </w:r>
    </w:p>
    <w:p>
      <w:pPr>
        <w:spacing w:line="720" w:lineRule="exact"/>
        <w:rPr>
          <w:rFonts w:eastAsia="长城小标宋体"/>
          <w:b/>
          <w:bCs/>
          <w:sz w:val="36"/>
          <w:szCs w:val="36"/>
        </w:rPr>
      </w:pPr>
    </w:p>
    <w:p>
      <w:pPr>
        <w:spacing w:line="720" w:lineRule="exact"/>
        <w:rPr>
          <w:rFonts w:eastAsia="长城小标宋体"/>
          <w:b/>
          <w:bCs/>
          <w:sz w:val="36"/>
          <w:szCs w:val="36"/>
        </w:rPr>
      </w:pPr>
    </w:p>
    <w:p>
      <w:pPr>
        <w:spacing w:line="720" w:lineRule="exact"/>
        <w:rPr>
          <w:rFonts w:eastAsia="长城小标宋体"/>
          <w:b/>
          <w:bCs/>
          <w:sz w:val="36"/>
          <w:szCs w:val="36"/>
        </w:rPr>
      </w:pPr>
    </w:p>
    <w:p>
      <w:pPr>
        <w:spacing w:line="720" w:lineRule="exact"/>
        <w:jc w:val="center"/>
        <w:rPr>
          <w:rFonts w:ascii="宋体" w:hAnsi="宋体" w:cs="宋体"/>
          <w:sz w:val="44"/>
          <w:szCs w:val="44"/>
        </w:rPr>
      </w:pPr>
      <w:r>
        <w:rPr>
          <w:rFonts w:hint="eastAsia" w:ascii="宋体" w:hAnsi="宋体" w:cs="宋体"/>
          <w:sz w:val="44"/>
          <w:szCs w:val="44"/>
        </w:rPr>
        <w:t>漯河市召陵区邓襄镇第一中心小学</w:t>
      </w:r>
    </w:p>
    <w:p>
      <w:pPr>
        <w:spacing w:line="720" w:lineRule="exact"/>
        <w:jc w:val="center"/>
        <w:rPr>
          <w:rFonts w:ascii="宋体" w:hAnsi="宋体" w:cs="宋体"/>
          <w:b/>
          <w:bCs/>
          <w:sz w:val="44"/>
          <w:szCs w:val="44"/>
        </w:rPr>
      </w:pPr>
      <w:r>
        <w:rPr>
          <w:rFonts w:hint="eastAsia" w:ascii="宋体" w:hAnsi="宋体" w:cs="宋体"/>
          <w:sz w:val="44"/>
          <w:szCs w:val="44"/>
        </w:rPr>
        <w:t>2024年度部门预算公开目录</w:t>
      </w:r>
    </w:p>
    <w:p>
      <w:pPr>
        <w:spacing w:line="360" w:lineRule="auto"/>
        <w:jc w:val="center"/>
        <w:rPr>
          <w:rFonts w:ascii="仿宋" w:hAnsi="仿宋" w:eastAsia="仿宋" w:cs="仿宋"/>
          <w:b/>
          <w:sz w:val="44"/>
          <w:szCs w:val="44"/>
        </w:rPr>
      </w:pPr>
    </w:p>
    <w:p>
      <w:pPr>
        <w:spacing w:line="360" w:lineRule="auto"/>
        <w:rPr>
          <w:rFonts w:ascii="仿宋" w:hAnsi="仿宋" w:eastAsia="仿宋" w:cs="仿宋"/>
          <w:b/>
          <w:bCs/>
          <w:sz w:val="32"/>
          <w:szCs w:val="32"/>
        </w:rPr>
      </w:pPr>
      <w:r>
        <w:rPr>
          <w:rFonts w:hint="eastAsia" w:ascii="楷体" w:hAnsi="楷体" w:eastAsia="楷体" w:cs="楷体"/>
          <w:sz w:val="32"/>
          <w:szCs w:val="32"/>
        </w:rPr>
        <w:t>一 、部门基本情况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p>
    <w:p>
      <w:pPr>
        <w:widowControl/>
        <w:kinsoku w:val="0"/>
        <w:overflowPunct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（三）部门人员构成情况</w:t>
      </w:r>
    </w:p>
    <w:p>
      <w:pPr>
        <w:spacing w:line="360" w:lineRule="auto"/>
        <w:rPr>
          <w:rFonts w:ascii="楷体" w:hAnsi="楷体" w:eastAsia="楷体" w:cs="楷体"/>
          <w:bCs/>
          <w:sz w:val="32"/>
          <w:szCs w:val="32"/>
        </w:rPr>
      </w:pPr>
      <w:r>
        <w:rPr>
          <w:rFonts w:hint="eastAsia" w:ascii="楷体" w:hAnsi="楷体" w:eastAsia="楷体" w:cs="楷体"/>
          <w:bCs/>
          <w:sz w:val="32"/>
          <w:szCs w:val="32"/>
        </w:rPr>
        <w:t>二、部门预算情况说明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pacing w:line="360" w:lineRule="auto"/>
        <w:rPr>
          <w:rFonts w:ascii="仿宋" w:hAnsi="仿宋" w:eastAsia="仿宋" w:cs="仿宋"/>
          <w:b/>
          <w:bCs/>
          <w:sz w:val="32"/>
          <w:szCs w:val="32"/>
        </w:rPr>
      </w:pPr>
      <w:r>
        <w:rPr>
          <w:rFonts w:hint="eastAsia" w:ascii="楷体" w:hAnsi="楷体" w:eastAsia="楷体" w:cs="楷体"/>
          <w:sz w:val="32"/>
          <w:szCs w:val="32"/>
        </w:rPr>
        <w:t>三、 名词解释</w:t>
      </w:r>
    </w:p>
    <w:p>
      <w:pPr>
        <w:spacing w:line="360" w:lineRule="auto"/>
        <w:ind w:firstLine="643" w:firstLineChars="200"/>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附件：2024年度部门预算公开表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1、2024年部门收支总体情况表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2、2024年部门收入总体情况表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7、2024年支出经济分类汇总表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8、2024年一般公共预算“三公”经费支出情况表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9、2024年政府性基金预算支出情况表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10、2024年项目支出表</w:t>
      </w:r>
    </w:p>
    <w:p>
      <w:pPr>
        <w:tabs>
          <w:tab w:val="left" w:pos="1844"/>
        </w:tabs>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11、部门（单位）整体绩效目标表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12、2024年部门预算项目绩效目标汇总表</w:t>
      </w:r>
    </w:p>
    <w:p>
      <w:pPr>
        <w:spacing w:line="580" w:lineRule="atLeast"/>
        <w:ind w:firstLine="1440" w:firstLineChars="450"/>
        <w:rPr>
          <w:rFonts w:ascii="仿宋_GB2312" w:hAnsi="楷体_GB2312" w:eastAsia="仿宋_GB2312"/>
          <w:bCs/>
          <w:sz w:val="32"/>
          <w:szCs w:val="32"/>
        </w:rPr>
      </w:pPr>
    </w:p>
    <w:p>
      <w:pPr>
        <w:spacing w:line="580" w:lineRule="atLeast"/>
        <w:ind w:firstLine="640" w:firstLineChars="200"/>
        <w:rPr>
          <w:rFonts w:ascii="仿宋_GB2312" w:hAnsi="楷体_GB2312" w:eastAsia="仿宋_GB2312"/>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360" w:lineRule="auto"/>
        <w:rPr>
          <w:rFonts w:ascii="仿宋" w:hAnsi="仿宋" w:eastAsia="仿宋" w:cs="仿宋"/>
          <w:b/>
          <w:bCs/>
          <w:color w:val="666666"/>
          <w:kern w:val="0"/>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一、部门基本情况</w:t>
      </w:r>
    </w:p>
    <w:p>
      <w:pPr>
        <w:spacing w:line="600" w:lineRule="exact"/>
        <w:ind w:firstLine="640" w:firstLineChars="200"/>
        <w:rPr>
          <w:rFonts w:ascii="仿宋_GB2312" w:hAnsi="宋体" w:eastAsia="仿宋_GB2312" w:cs="宋体"/>
          <w:color w:val="000000"/>
          <w:kern w:val="0"/>
          <w:sz w:val="32"/>
          <w:szCs w:val="32"/>
        </w:rPr>
      </w:pPr>
      <w:r>
        <w:rPr>
          <w:rFonts w:hint="eastAsia" w:ascii="楷体" w:hAnsi="楷体" w:eastAsia="楷体" w:cs="仿宋_GB2312"/>
          <w:bCs/>
          <w:color w:val="000000"/>
          <w:sz w:val="32"/>
          <w:szCs w:val="32"/>
        </w:rPr>
        <w:t>（一）部门主要职责：</w:t>
      </w:r>
      <w:r>
        <w:rPr>
          <w:rFonts w:hint="eastAsia" w:ascii="仿宋_GB2312" w:hAnsi="仿宋_GB2312" w:eastAsia="仿宋_GB2312" w:cs="仿宋_GB2312"/>
          <w:color w:val="000000"/>
          <w:sz w:val="32"/>
          <w:szCs w:val="32"/>
        </w:rPr>
        <w:t>漯河市召陵区邓襄镇第一中心小学属于漯河市教育局直属分局举办的公办小学。</w:t>
      </w:r>
      <w:r>
        <w:rPr>
          <w:rFonts w:hint="eastAsia" w:ascii="仿宋_GB2312" w:hAnsi="宋体" w:eastAsia="仿宋_GB2312" w:cs="宋体"/>
          <w:color w:val="000000"/>
          <w:kern w:val="0"/>
          <w:sz w:val="32"/>
          <w:szCs w:val="32"/>
        </w:rPr>
        <w:t>主要职责是实施辖区内小学义务教育，促进基础教育发展。</w:t>
      </w:r>
    </w:p>
    <w:p>
      <w:pPr>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（二）部门机构设置</w:t>
      </w:r>
      <w:r>
        <w:rPr>
          <w:rFonts w:ascii="楷体" w:hAnsi="楷体" w:eastAsia="楷体" w:cs="仿宋_GB2312"/>
          <w:bCs/>
          <w:color w:val="000000"/>
          <w:sz w:val="32"/>
          <w:szCs w:val="32"/>
        </w:rPr>
        <w:t>情况</w:t>
      </w:r>
      <w:r>
        <w:rPr>
          <w:rFonts w:hint="eastAsia" w:ascii="楷体" w:hAnsi="楷体" w:eastAsia="楷体" w:cs="仿宋_GB2312"/>
          <w:bCs/>
          <w:color w:val="000000"/>
          <w:sz w:val="32"/>
          <w:szCs w:val="32"/>
        </w:rPr>
        <w:t>：</w:t>
      </w:r>
      <w:r>
        <w:rPr>
          <w:rFonts w:hint="eastAsia" w:ascii="仿宋_GB2312" w:hAnsi="仿宋_GB2312" w:eastAsia="仿宋_GB2312" w:cs="仿宋_GB2312"/>
          <w:color w:val="000000"/>
          <w:sz w:val="32"/>
          <w:szCs w:val="32"/>
        </w:rPr>
        <w:t>漯河市召陵区邓襄镇第一中心小学属于一级预算单位，下设0个内设部门。</w:t>
      </w:r>
    </w:p>
    <w:p>
      <w:pPr>
        <w:widowControl/>
        <w:kinsoku w:val="0"/>
        <w:overflowPunct w:val="0"/>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（三）部门人员构成情况：</w:t>
      </w:r>
      <w:r>
        <w:rPr>
          <w:rFonts w:hint="eastAsia" w:ascii="仿宋_GB2312" w:hAnsi="仿宋_GB2312" w:eastAsia="仿宋_GB2312" w:cs="仿宋_GB2312"/>
          <w:color w:val="000000"/>
          <w:sz w:val="32"/>
          <w:szCs w:val="32"/>
        </w:rPr>
        <w:t>截至2023年12月，漯河市召陵区邓襄镇第一中心小学实有63人。其中：在职人员34人，退休人员22人,遗属7人。</w:t>
      </w:r>
    </w:p>
    <w:p>
      <w:pPr>
        <w:widowControl/>
        <w:kinsoku w:val="0"/>
        <w:overflowPunct w:val="0"/>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二、部门预算情况说明</w:t>
      </w:r>
    </w:p>
    <w:p>
      <w:pPr>
        <w:widowControl/>
        <w:spacing w:line="360" w:lineRule="auto"/>
        <w:ind w:firstLine="643" w:firstLineChars="200"/>
        <w:rPr>
          <w:rFonts w:ascii="仿宋_GB2312" w:hAnsi="仿宋_GB2312" w:eastAsia="仿宋_GB2312" w:cs="仿宋_GB2312"/>
          <w:b/>
          <w:bCs/>
          <w:sz w:val="32"/>
          <w:szCs w:val="32"/>
        </w:rPr>
      </w:pPr>
      <w:r>
        <w:rPr>
          <w:rFonts w:hint="eastAsia" w:ascii="楷体" w:hAnsi="楷体" w:eastAsia="楷体" w:cs="楷体"/>
          <w:b/>
          <w:bCs/>
          <w:sz w:val="32"/>
          <w:szCs w:val="32"/>
        </w:rPr>
        <w:t>（一）部门收支预算总体情况说明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2024年收入总计693.5万元，支出总计693.5万元，与去年相比，收、支总计各增加16.5万元，增长2.43%。主要原因：</w:t>
      </w:r>
      <w:r>
        <w:rPr>
          <w:rFonts w:hint="eastAsia" w:ascii="仿宋_GB2312" w:hAnsi="仿宋_GB2312" w:eastAsia="仿宋_GB2312" w:cs="仿宋_GB2312"/>
          <w:color w:val="000000"/>
          <w:sz w:val="32"/>
          <w:szCs w:val="32"/>
        </w:rPr>
        <w:t>学校合点布局教师分流人员增加，教职工工资增长8.5</w:t>
      </w:r>
      <w:r>
        <w:rPr>
          <w:rFonts w:hint="eastAsia" w:ascii="Calibri" w:hAnsi="Calibri" w:eastAsia="仿宋_GB2312" w:cs="仿宋_GB2312"/>
          <w:color w:val="000000"/>
          <w:sz w:val="32"/>
          <w:szCs w:val="32"/>
        </w:rPr>
        <w:t>万元，</w:t>
      </w:r>
      <w:r>
        <w:rPr>
          <w:rFonts w:hint="eastAsia" w:ascii="仿宋" w:hAnsi="仿宋" w:eastAsia="仿宋" w:cs="仿宋"/>
          <w:color w:val="000000"/>
          <w:sz w:val="32"/>
          <w:szCs w:val="32"/>
        </w:rPr>
        <w:t>与去年相比收、支增长1.6%；本年退休增加2名教师，离退费增加6万元，社保配套类增加2万元</w:t>
      </w:r>
      <w:r>
        <w:rPr>
          <w:rFonts w:hint="eastAsia" w:ascii="仿宋" w:hAnsi="仿宋" w:eastAsia="仿宋" w:cs="仿宋"/>
          <w:sz w:val="32"/>
          <w:szCs w:val="32"/>
        </w:rPr>
        <w:t xml:space="preserve">。 </w:t>
      </w:r>
    </w:p>
    <w:p>
      <w:pPr>
        <w:widowControl/>
        <w:spacing w:line="360" w:lineRule="auto"/>
        <w:ind w:firstLine="643" w:firstLineChars="200"/>
        <w:rPr>
          <w:rFonts w:ascii="仿宋_GB2312" w:hAnsi="仿宋_GB2312" w:eastAsia="仿宋_GB2312" w:cs="仿宋_GB2312"/>
          <w:b/>
          <w:bCs/>
          <w:color w:val="FF0000"/>
          <w:sz w:val="32"/>
          <w:szCs w:val="32"/>
        </w:rPr>
      </w:pPr>
      <w:r>
        <w:rPr>
          <w:rFonts w:hint="eastAsia" w:ascii="楷体" w:hAnsi="楷体" w:eastAsia="楷体" w:cs="楷体"/>
          <w:b/>
          <w:bCs/>
          <w:sz w:val="32"/>
          <w:szCs w:val="32"/>
        </w:rPr>
        <w:t>（二）部门收入预算总体情况说明</w:t>
      </w:r>
    </w:p>
    <w:p>
      <w:pPr>
        <w:widowControl/>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2024年收入</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sz w:val="32"/>
          <w:szCs w:val="32"/>
        </w:rPr>
        <w:t>693.5万元，其中：一般公共预算收入693.5万元（财政拨款收入693.5万元，提前告知转移支付0万元，结转结余0万元，非税收入0万元）；政府性基金预算收入0万元（政府性基金收入0万元，提前告知转移支付0万元，结转结余0万元）；国有资本经营预算收入0万元（国有资本经营收入0万元，提前告知转移支付0万元，结转结余0万元）。</w:t>
      </w:r>
    </w:p>
    <w:p>
      <w:pPr>
        <w:widowControl/>
        <w:spacing w:line="360" w:lineRule="auto"/>
        <w:ind w:firstLine="643" w:firstLineChars="200"/>
        <w:rPr>
          <w:rFonts w:ascii="仿宋" w:hAnsi="仿宋" w:eastAsia="仿宋" w:cs="仿宋"/>
          <w:b/>
          <w:color w:val="2D2D2D"/>
          <w:kern w:val="0"/>
          <w:sz w:val="32"/>
          <w:szCs w:val="32"/>
        </w:rPr>
      </w:pPr>
      <w:r>
        <w:rPr>
          <w:rFonts w:hint="eastAsia" w:ascii="楷体" w:hAnsi="楷体" w:eastAsia="楷体" w:cs="楷体"/>
          <w:b/>
          <w:bCs/>
          <w:sz w:val="32"/>
          <w:szCs w:val="32"/>
        </w:rPr>
        <w:t>（三）部门支出预算总体情况说明</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2024年支出预算</w:t>
      </w:r>
      <w:r>
        <w:rPr>
          <w:rFonts w:hint="eastAsia" w:ascii="仿宋_GB2312" w:hAnsi="仿宋_GB2312" w:eastAsia="仿宋_GB2312" w:cs="仿宋_GB2312"/>
          <w:sz w:val="32"/>
          <w:szCs w:val="32"/>
        </w:rPr>
        <w:t>693.5</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rPr>
        <w:t>出669.2万元，</w:t>
      </w:r>
      <w:r>
        <w:rPr>
          <w:rFonts w:hint="eastAsia" w:ascii="仿宋" w:hAnsi="仿宋" w:eastAsia="仿宋" w:cs="仿宋"/>
          <w:sz w:val="32"/>
          <w:szCs w:val="32"/>
        </w:rPr>
        <w:t>占96.5%；项目支出</w:t>
      </w:r>
      <w:r>
        <w:rPr>
          <w:rFonts w:hint="eastAsia" w:ascii="仿宋_GB2312" w:hAnsi="仿宋_GB2312" w:eastAsia="仿宋_GB2312" w:cs="仿宋_GB2312"/>
          <w:sz w:val="32"/>
          <w:szCs w:val="32"/>
        </w:rPr>
        <w:t>24.3万元，</w:t>
      </w:r>
      <w:r>
        <w:rPr>
          <w:rFonts w:hint="eastAsia" w:ascii="仿宋" w:hAnsi="仿宋" w:eastAsia="仿宋" w:cs="仿宋"/>
          <w:sz w:val="32"/>
          <w:szCs w:val="32"/>
        </w:rPr>
        <w:t>占3.5%。</w:t>
      </w:r>
      <w:bookmarkStart w:id="0" w:name="_GoBack"/>
      <w:bookmarkEnd w:id="0"/>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（四）财政拨款收支预算总体情况说明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2024年一般公共预算收支预算693.5万元，政府性基金收支预算0万元，国有资本经营收支预算0万元。与去年相比，一般公共预算收支预算增加16.5万元，增长2.43%，主要原因：</w:t>
      </w:r>
      <w:r>
        <w:rPr>
          <w:rFonts w:hint="eastAsia" w:ascii="仿宋_GB2312" w:hAnsi="仿宋_GB2312" w:eastAsia="仿宋_GB2312" w:cs="仿宋_GB2312"/>
          <w:color w:val="000000"/>
          <w:sz w:val="32"/>
          <w:szCs w:val="32"/>
        </w:rPr>
        <w:t>学校合点布局教师分流人员增加，教职工工资增长8.5</w:t>
      </w:r>
      <w:r>
        <w:rPr>
          <w:rFonts w:hint="eastAsia" w:ascii="Calibri" w:hAnsi="Calibri" w:eastAsia="仿宋_GB2312" w:cs="仿宋_GB2312"/>
          <w:color w:val="000000"/>
          <w:sz w:val="32"/>
          <w:szCs w:val="32"/>
        </w:rPr>
        <w:t>万元，</w:t>
      </w:r>
      <w:r>
        <w:rPr>
          <w:rFonts w:hint="eastAsia" w:ascii="仿宋_GB2312" w:hAnsi="仿宋_GB2312" w:eastAsia="仿宋_GB2312" w:cs="仿宋_GB2312"/>
          <w:color w:val="000000"/>
          <w:sz w:val="32"/>
          <w:szCs w:val="32"/>
        </w:rPr>
        <w:t>与去年相</w:t>
      </w:r>
      <w:r>
        <w:rPr>
          <w:rFonts w:hint="eastAsia" w:ascii="仿宋" w:hAnsi="仿宋" w:eastAsia="仿宋" w:cs="仿宋"/>
          <w:color w:val="000000"/>
          <w:sz w:val="32"/>
          <w:szCs w:val="32"/>
        </w:rPr>
        <w:t>比收、支增长1.6%；本年退休增加2名教师，离退费增加6万元，社保配套类增加2万元</w:t>
      </w:r>
      <w:r>
        <w:rPr>
          <w:rFonts w:hint="eastAsia" w:ascii="仿宋" w:hAnsi="仿宋" w:eastAsia="仿宋" w:cs="仿宋"/>
          <w:sz w:val="32"/>
          <w:szCs w:val="32"/>
        </w:rPr>
        <w:t xml:space="preserve">。 </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（五）一般公共预算支出情况说明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支出年初预算为693.5万元。主要用于以下方面:教育支出537.5万元，占年初预算的77%；社会保障和就业支出90万元，占年初预算的12.9%；卫生健康支出17万元，占年初预算的3.1%；住房保障支出49万元，占年初预算的7%。</w:t>
      </w:r>
    </w:p>
    <w:p>
      <w:pPr>
        <w:widowControl/>
        <w:spacing w:line="360" w:lineRule="auto"/>
        <w:ind w:firstLine="643" w:firstLineChars="200"/>
        <w:rPr>
          <w:rFonts w:ascii="仿宋" w:hAnsi="仿宋" w:eastAsia="仿宋" w:cs="仿宋"/>
          <w:b/>
          <w:bCs/>
          <w:kern w:val="0"/>
          <w:sz w:val="32"/>
          <w:szCs w:val="32"/>
        </w:rPr>
      </w:pPr>
      <w:r>
        <w:rPr>
          <w:rFonts w:hint="eastAsia" w:ascii="楷体" w:hAnsi="楷体" w:eastAsia="楷体" w:cs="楷体"/>
          <w:b/>
          <w:bCs/>
          <w:sz w:val="32"/>
          <w:szCs w:val="32"/>
        </w:rPr>
        <w:t>（六）一般公共预算基本支出情况说明</w:t>
      </w:r>
    </w:p>
    <w:p>
      <w:pPr>
        <w:widowControl/>
        <w:spacing w:line="360" w:lineRule="auto"/>
        <w:ind w:firstLine="640" w:firstLineChars="200"/>
        <w:rPr>
          <w:rFonts w:ascii="仿宋_GB2312" w:hAnsi="宋体" w:eastAsia="仿宋_GB2312"/>
          <w:kern w:val="0"/>
          <w:sz w:val="32"/>
        </w:rPr>
      </w:pPr>
      <w:r>
        <w:rPr>
          <w:rFonts w:hint="eastAsia" w:ascii="仿宋_GB2312" w:hAnsi="仿宋_GB2312" w:eastAsia="仿宋_GB2312" w:cs="仿宋_GB2312"/>
          <w:sz w:val="32"/>
          <w:szCs w:val="32"/>
        </w:rPr>
        <w:t>2024年一般公共预算基本支出</w:t>
      </w:r>
      <w:r>
        <w:rPr>
          <w:rFonts w:hint="eastAsia" w:ascii="仿宋_GB2312" w:hAnsi="仿宋_GB2312" w:eastAsia="仿宋_GB2312" w:cs="仿宋_GB2312"/>
          <w:sz w:val="32"/>
          <w:szCs w:val="32"/>
          <w:lang w:val="en-US" w:eastAsia="zh-CN"/>
        </w:rPr>
        <w:t>669.2</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655.2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等支出；公用经费</w:t>
      </w:r>
      <w:r>
        <w:rPr>
          <w:rFonts w:hint="eastAsia" w:ascii="仿宋_GB2312" w:hAnsi="宋体" w:eastAsia="仿宋_GB2312"/>
          <w:kern w:val="0"/>
          <w:sz w:val="32"/>
          <w:lang w:val="en-US" w:eastAsia="zh-CN"/>
        </w:rPr>
        <w:t>14</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等支出。</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（七）一般公共预算“三公”经费支出情况说明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2024年“三公”经费预算为0万元，与去年持平。原因为：按照上级有关文件要求，我区严控三公经费支出，故未安排三公经费预算。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具体支出情况如下：</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（1）因公出国（境）费</w:t>
      </w:r>
      <w:r>
        <w:rPr>
          <w:rFonts w:hint="eastAsia" w:ascii="仿宋" w:hAnsi="仿宋" w:eastAsia="仿宋" w:cs="仿宋"/>
          <w:sz w:val="32"/>
          <w:szCs w:val="32"/>
        </w:rPr>
        <w:t>0万元，与去年持平。原因为：我单位不存在因公出国出境事务，故未安排此项预算。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（2）公务用车购置及运行费</w:t>
      </w:r>
      <w:r>
        <w:rPr>
          <w:rFonts w:hint="eastAsia" w:ascii="仿宋" w:hAnsi="仿宋" w:eastAsia="仿宋" w:cs="仿宋"/>
          <w:sz w:val="32"/>
          <w:szCs w:val="32"/>
        </w:rPr>
        <w:t>0万元，其中，公务用车购置费0万元，与去年持平；公务用车运行维护费0万元，与去年持平。原因为：按照上级有关文件要求，我区严控公务用车购置及运行费支出，故未安排此项预算。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（3）公务接待费</w:t>
      </w:r>
      <w:r>
        <w:rPr>
          <w:rFonts w:hint="eastAsia" w:ascii="仿宋" w:hAnsi="仿宋" w:eastAsia="仿宋" w:cs="仿宋"/>
          <w:sz w:val="32"/>
          <w:szCs w:val="32"/>
        </w:rPr>
        <w:t>0万元，与去年持平。原因为：我单位不存在公务接待事务，故未安排此项预算。</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（八）政府性基金预算情况说明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我部门没有政府性基金预算收支，故未编列</w:t>
      </w:r>
    </w:p>
    <w:p>
      <w:pPr>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（九）国有资本经营预算情况说明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我部门没有国有资本经营预算收支，故未编列。</w:t>
      </w:r>
    </w:p>
    <w:p>
      <w:pPr>
        <w:widowControl/>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（十）社会保险基金预算情况说明</w:t>
      </w:r>
    </w:p>
    <w:p>
      <w:pPr>
        <w:spacing w:line="360" w:lineRule="auto"/>
        <w:ind w:firstLine="640" w:firstLineChars="200"/>
        <w:rPr>
          <w:rFonts w:ascii="仿宋" w:hAnsi="仿宋" w:eastAsia="仿宋" w:cs="仿宋"/>
          <w:b/>
          <w:bCs/>
          <w:kern w:val="0"/>
          <w:sz w:val="32"/>
          <w:szCs w:val="32"/>
        </w:rPr>
      </w:pPr>
      <w:r>
        <w:rPr>
          <w:rFonts w:hint="eastAsia" w:ascii="仿宋" w:hAnsi="仿宋" w:eastAsia="仿宋" w:cs="仿宋"/>
          <w:sz w:val="32"/>
          <w:szCs w:val="32"/>
        </w:rPr>
        <w:t>我部门没有社会保险基金预算收支，故未编列。</w:t>
      </w:r>
    </w:p>
    <w:p>
      <w:pPr>
        <w:spacing w:line="360" w:lineRule="auto"/>
        <w:ind w:firstLine="643" w:firstLineChars="200"/>
        <w:rPr>
          <w:rFonts w:ascii="楷体" w:hAnsi="楷体" w:eastAsia="楷体" w:cs="楷体"/>
          <w:sz w:val="32"/>
          <w:szCs w:val="32"/>
        </w:rPr>
      </w:pPr>
      <w:r>
        <w:rPr>
          <w:rFonts w:hint="eastAsia" w:ascii="楷体" w:hAnsi="楷体" w:eastAsia="楷体" w:cs="楷体"/>
          <w:b/>
          <w:bCs/>
          <w:sz w:val="32"/>
          <w:szCs w:val="32"/>
        </w:rPr>
        <w:t>（十一）其他重要事项的情况说明</w:t>
      </w:r>
    </w:p>
    <w:p>
      <w:pPr>
        <w:spacing w:line="360" w:lineRule="auto"/>
        <w:ind w:firstLine="640" w:firstLineChars="200"/>
        <w:rPr>
          <w:rFonts w:ascii="仿宋" w:hAnsi="仿宋" w:eastAsia="仿宋" w:cs="仿宋"/>
          <w:color w:val="2D2D2D"/>
          <w:kern w:val="0"/>
          <w:sz w:val="32"/>
          <w:szCs w:val="32"/>
          <w:highlight w:val="yellow"/>
        </w:rPr>
      </w:pPr>
      <w:r>
        <w:rPr>
          <w:rFonts w:hint="eastAsia" w:ascii="楷体" w:hAnsi="楷体" w:eastAsia="楷体" w:cs="楷体"/>
          <w:sz w:val="32"/>
          <w:szCs w:val="32"/>
        </w:rPr>
        <w:t>（1）运转类经费支出预算情况</w:t>
      </w:r>
    </w:p>
    <w:p>
      <w:pPr>
        <w:spacing w:line="360" w:lineRule="auto"/>
        <w:rPr>
          <w:rFonts w:hint="eastAsia" w:ascii="仿宋" w:hAnsi="仿宋" w:eastAsia="仿宋" w:cs="仿宋_GB2312"/>
          <w:color w:val="000000"/>
          <w:sz w:val="32"/>
          <w:szCs w:val="32"/>
          <w:lang w:eastAsia="zh-CN"/>
        </w:rPr>
      </w:pPr>
      <w:r>
        <w:rPr>
          <w:rFonts w:hint="eastAsia" w:ascii="仿宋" w:hAnsi="仿宋" w:eastAsia="仿宋" w:cs="仿宋"/>
          <w:sz w:val="32"/>
          <w:szCs w:val="32"/>
        </w:rPr>
        <w:t xml:space="preserve">   </w:t>
      </w:r>
      <w:r>
        <w:rPr>
          <w:rFonts w:hint="eastAsia" w:ascii="仿宋" w:hAnsi="仿宋" w:eastAsia="仿宋" w:cs="仿宋"/>
          <w:color w:val="000000"/>
          <w:sz w:val="32"/>
          <w:szCs w:val="32"/>
        </w:rPr>
        <w:t>我部门2024年机关运行经费支出预算为</w:t>
      </w:r>
      <w:r>
        <w:rPr>
          <w:rFonts w:hint="eastAsia" w:ascii="仿宋" w:hAnsi="仿宋" w:eastAsia="仿宋" w:cs="仿宋"/>
          <w:color w:val="000000"/>
          <w:sz w:val="32"/>
          <w:szCs w:val="32"/>
          <w:lang w:val="en-US" w:eastAsia="zh-CN"/>
        </w:rPr>
        <w:t>38.3</w:t>
      </w:r>
      <w:r>
        <w:rPr>
          <w:rFonts w:hint="eastAsia" w:ascii="仿宋" w:hAnsi="仿宋" w:eastAsia="仿宋" w:cs="仿宋_GB2312"/>
          <w:color w:val="000000"/>
          <w:sz w:val="32"/>
          <w:szCs w:val="32"/>
        </w:rPr>
        <w:t>万</w:t>
      </w:r>
      <w:r>
        <w:rPr>
          <w:rFonts w:hint="eastAsia" w:ascii="仿宋" w:hAnsi="仿宋" w:eastAsia="仿宋" w:cs="仿宋"/>
          <w:color w:val="000000"/>
          <w:sz w:val="32"/>
          <w:szCs w:val="32"/>
        </w:rPr>
        <w:t>元，</w:t>
      </w:r>
      <w:r>
        <w:rPr>
          <w:rFonts w:hint="eastAsia" w:ascii="仿宋" w:hAnsi="仿宋" w:eastAsia="仿宋" w:cs="仿宋_GB2312"/>
          <w:color w:val="000000"/>
          <w:sz w:val="32"/>
          <w:szCs w:val="32"/>
        </w:rPr>
        <w:t>包括:办公及印刷费、邮电费、差旅费、会议费、培训费、维修费、水电费、劳务费、租赁费及其他费用等。</w:t>
      </w:r>
    </w:p>
    <w:p>
      <w:pPr>
        <w:spacing w:line="360" w:lineRule="auto"/>
        <w:ind w:firstLine="640" w:firstLineChars="200"/>
        <w:rPr>
          <w:rFonts w:ascii="仿宋" w:hAnsi="仿宋" w:eastAsia="仿宋" w:cs="仿宋"/>
          <w:color w:val="FF0000"/>
          <w:sz w:val="32"/>
          <w:szCs w:val="32"/>
        </w:rPr>
      </w:pPr>
      <w:r>
        <w:rPr>
          <w:rFonts w:hint="eastAsia" w:ascii="楷体" w:hAnsi="楷体" w:eastAsia="楷体" w:cs="楷体"/>
          <w:sz w:val="32"/>
          <w:szCs w:val="32"/>
        </w:rPr>
        <w:t>（2）政府采购支出预算情况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我部门2024年政府采购预算共安排0万元，其中：政府采购货物预算0万元（办公设备购置预算0万元、信息网络及软件购置0万元）、政府采购工程预算0万元、政府采购服务预算0万元。</w:t>
      </w:r>
    </w:p>
    <w:p>
      <w:pPr>
        <w:spacing w:line="360" w:lineRule="auto"/>
        <w:ind w:firstLine="640" w:firstLineChars="200"/>
        <w:rPr>
          <w:rFonts w:ascii="仿宋" w:hAnsi="仿宋" w:eastAsia="仿宋" w:cs="仿宋"/>
          <w:b/>
          <w:bCs/>
          <w:sz w:val="32"/>
          <w:szCs w:val="32"/>
          <w:shd w:val="clear" w:color="auto" w:fill="FFFF00"/>
        </w:rPr>
      </w:pPr>
      <w:r>
        <w:rPr>
          <w:rFonts w:hint="eastAsia" w:ascii="楷体" w:hAnsi="楷体" w:eastAsia="楷体" w:cs="楷体"/>
          <w:sz w:val="32"/>
          <w:szCs w:val="32"/>
        </w:rPr>
        <w:t>（3）重点项目预算的绩效目标等情况说明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拨款24.3万元（含中央省提前告知转移支付资金0万元）。</w:t>
      </w:r>
    </w:p>
    <w:p>
      <w:pPr>
        <w:spacing w:line="360" w:lineRule="auto"/>
        <w:ind w:firstLine="640"/>
        <w:rPr>
          <w:rFonts w:ascii="仿宋_GB2312" w:hAnsi="仿宋_GB2312" w:eastAsia="仿宋_GB2312" w:cs="仿宋_GB2312"/>
          <w:b/>
          <w:bCs/>
          <w:color w:val="FF0000"/>
          <w:sz w:val="32"/>
          <w:szCs w:val="32"/>
        </w:rPr>
      </w:pPr>
      <w:r>
        <w:rPr>
          <w:rFonts w:hint="eastAsia" w:ascii="楷体" w:hAnsi="楷体" w:eastAsia="楷体" w:cs="楷体"/>
          <w:sz w:val="32"/>
          <w:szCs w:val="32"/>
        </w:rPr>
        <w:t>（4）国有资产占用情况说明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2023年末，我部门共有车辆0辆，其中：一般公务用车0辆、一般执法执勤用车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kinsoku w:val="0"/>
        <w:overflowPunct w:val="0"/>
        <w:adjustRightInd w:val="0"/>
        <w:snapToGrid w:val="0"/>
        <w:spacing w:line="360" w:lineRule="auto"/>
        <w:ind w:firstLine="640" w:firstLineChars="200"/>
        <w:rPr>
          <w:rFonts w:ascii="仿宋" w:hAnsi="仿宋" w:eastAsia="仿宋" w:cs="仿宋"/>
          <w:b/>
          <w:bCs/>
          <w:sz w:val="32"/>
          <w:szCs w:val="32"/>
        </w:rPr>
      </w:pPr>
      <w:r>
        <w:rPr>
          <w:rFonts w:hint="eastAsia" w:ascii="楷体" w:hAnsi="楷体" w:eastAsia="楷体" w:cs="楷体"/>
          <w:sz w:val="32"/>
          <w:szCs w:val="32"/>
        </w:rPr>
        <w:t>（5）转移支付预算情况说明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我部门负责管理的专项转移支付项目共有0项，主要是：</w:t>
      </w:r>
      <w:r>
        <w:rPr>
          <w:rFonts w:hint="eastAsia" w:ascii="仿宋" w:hAnsi="仿宋" w:eastAsia="仿宋" w:cs="仿宋"/>
          <w:sz w:val="32"/>
          <w:szCs w:val="32"/>
        </w:rPr>
        <w:t>国有企业退休人员社会化管理补助支出0万元</w:t>
      </w:r>
      <w:r>
        <w:rPr>
          <w:rFonts w:hint="eastAsia" w:ascii="仿宋_GB2312" w:hAnsi="仿宋_GB2312" w:eastAsia="仿宋_GB2312" w:cs="仿宋_GB2312"/>
          <w:sz w:val="32"/>
          <w:szCs w:val="32"/>
        </w:rPr>
        <w:t>；我部门将按照《预算法》等有关规定，积极做好项目分配前期准备工作，在规定的时间内向财政部门提出资金分配意见，根据有关要求做好项目申报、公开、绩效等相关工作。</w:t>
      </w:r>
    </w:p>
    <w:p>
      <w:pPr>
        <w:widowControl/>
        <w:kinsoku w:val="0"/>
        <w:overflowPunct w:val="0"/>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三、名词解释</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kinsoku w:val="0"/>
        <w:overflowPunct w:val="0"/>
        <w:adjustRightInd w:val="0"/>
        <w:snapToGrid w:val="0"/>
        <w:spacing w:line="580" w:lineRule="exact"/>
        <w:jc w:val="left"/>
        <w:rPr>
          <w:rFonts w:ascii="仿宋_GB2312" w:hAnsi="仿宋_GB2312" w:eastAsia="仿宋_GB2312" w:cs="仿宋_GB2312"/>
          <w:sz w:val="32"/>
          <w:szCs w:val="32"/>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5MzJhMGE3Mzg0NDA1MDA0YzQzMWI4ZGFiNWE0NzkifQ=="/>
  </w:docVars>
  <w:rsids>
    <w:rsidRoot w:val="006F21A4"/>
    <w:rsid w:val="000B3ABD"/>
    <w:rsid w:val="002A37C6"/>
    <w:rsid w:val="002D51BB"/>
    <w:rsid w:val="00380F9C"/>
    <w:rsid w:val="0067523D"/>
    <w:rsid w:val="006C7CD2"/>
    <w:rsid w:val="006F21A4"/>
    <w:rsid w:val="00753FCF"/>
    <w:rsid w:val="00774A63"/>
    <w:rsid w:val="008E5186"/>
    <w:rsid w:val="00A969A8"/>
    <w:rsid w:val="00B90A8B"/>
    <w:rsid w:val="00DA4939"/>
    <w:rsid w:val="00FC3E1B"/>
    <w:rsid w:val="040A03B7"/>
    <w:rsid w:val="05F3123D"/>
    <w:rsid w:val="06EC66E0"/>
    <w:rsid w:val="0E4F7C80"/>
    <w:rsid w:val="104D52E2"/>
    <w:rsid w:val="10A37D41"/>
    <w:rsid w:val="11C20769"/>
    <w:rsid w:val="13426597"/>
    <w:rsid w:val="15787ABD"/>
    <w:rsid w:val="18575207"/>
    <w:rsid w:val="1934019F"/>
    <w:rsid w:val="1BAF7FB0"/>
    <w:rsid w:val="1C426BC5"/>
    <w:rsid w:val="1DEF2253"/>
    <w:rsid w:val="221E39D0"/>
    <w:rsid w:val="22B814DB"/>
    <w:rsid w:val="22F6534C"/>
    <w:rsid w:val="23673F12"/>
    <w:rsid w:val="24B94F4B"/>
    <w:rsid w:val="2967011C"/>
    <w:rsid w:val="2C6C38DF"/>
    <w:rsid w:val="35B8313B"/>
    <w:rsid w:val="37E8117F"/>
    <w:rsid w:val="3806390B"/>
    <w:rsid w:val="38C6627D"/>
    <w:rsid w:val="3D347D63"/>
    <w:rsid w:val="3F6525B0"/>
    <w:rsid w:val="450E5498"/>
    <w:rsid w:val="48534C9D"/>
    <w:rsid w:val="486A38BD"/>
    <w:rsid w:val="4D924EB8"/>
    <w:rsid w:val="4E465DE4"/>
    <w:rsid w:val="4E9F2F14"/>
    <w:rsid w:val="4FDB0C4A"/>
    <w:rsid w:val="531D3476"/>
    <w:rsid w:val="54CF69F2"/>
    <w:rsid w:val="56DA0230"/>
    <w:rsid w:val="592D1F39"/>
    <w:rsid w:val="60271A4C"/>
    <w:rsid w:val="62CB71DD"/>
    <w:rsid w:val="62CF6169"/>
    <w:rsid w:val="651421FF"/>
    <w:rsid w:val="6579578E"/>
    <w:rsid w:val="68595EE4"/>
    <w:rsid w:val="691C6622"/>
    <w:rsid w:val="693410C2"/>
    <w:rsid w:val="6A90072A"/>
    <w:rsid w:val="6FA741D1"/>
    <w:rsid w:val="73010738"/>
    <w:rsid w:val="75AB2CB8"/>
    <w:rsid w:val="776B3F01"/>
    <w:rsid w:val="79933E56"/>
    <w:rsid w:val="7E1C4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529</Words>
  <Characters>3020</Characters>
  <Lines>25</Lines>
  <Paragraphs>7</Paragraphs>
  <TotalTime>9</TotalTime>
  <ScaleCrop>false</ScaleCrop>
  <LinksUpToDate>false</LinksUpToDate>
  <CharactersWithSpaces>3542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2024-03-07T02:29:29Z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D7DA31BEE0F145038CD57BABE4288FBB_12</vt:lpwstr>
  </property>
</Properties>
</file>