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仿宋" w:hAnsi="华文仿宋" w:eastAsia="华文仿宋" w:cs="华文仿宋"/>
          <w:b/>
          <w:bCs/>
          <w:sz w:val="72"/>
          <w:szCs w:val="72"/>
        </w:rPr>
      </w:pPr>
    </w:p>
    <w:p>
      <w:pPr>
        <w:spacing w:line="360" w:lineRule="auto"/>
        <w:jc w:val="center"/>
        <w:rPr>
          <w:rFonts w:ascii="宋体" w:hAnsi="宋体" w:cs="宋体"/>
          <w:sz w:val="72"/>
          <w:szCs w:val="72"/>
        </w:rPr>
      </w:pPr>
      <w:r>
        <w:rPr>
          <w:rFonts w:hint="eastAsia" w:ascii="宋体" w:hAnsi="宋体" w:cs="宋体"/>
          <w:sz w:val="72"/>
          <w:szCs w:val="72"/>
        </w:rPr>
        <w:t>2024年度</w:t>
      </w:r>
    </w:p>
    <w:p>
      <w:pPr>
        <w:spacing w:line="360" w:lineRule="auto"/>
        <w:jc w:val="center"/>
        <w:rPr>
          <w:rFonts w:ascii="宋体" w:hAnsi="宋体" w:cs="宋体"/>
          <w:sz w:val="72"/>
          <w:szCs w:val="72"/>
        </w:rPr>
      </w:pPr>
      <w:r>
        <w:rPr>
          <w:rFonts w:hint="eastAsia" w:ascii="宋体" w:hAnsi="宋体" w:cs="宋体"/>
          <w:sz w:val="72"/>
          <w:szCs w:val="72"/>
        </w:rPr>
        <w:t>部门预算公开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72"/>
          <w:szCs w:val="72"/>
        </w:rPr>
      </w:pPr>
    </w:p>
    <w:p>
      <w:pPr>
        <w:spacing w:line="580" w:lineRule="atLeast"/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漯河市召陵区邓襄镇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第一初级中学</w:t>
      </w:r>
    </w:p>
    <w:p>
      <w:pPr>
        <w:spacing w:line="720" w:lineRule="exact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2024年3月4日</w:t>
      </w:r>
    </w:p>
    <w:p>
      <w:pPr>
        <w:spacing w:line="720" w:lineRule="exact"/>
        <w:rPr>
          <w:rFonts w:eastAsia="长城小标宋体"/>
          <w:b/>
          <w:bCs/>
          <w:sz w:val="36"/>
          <w:szCs w:val="36"/>
        </w:rPr>
      </w:pPr>
    </w:p>
    <w:p>
      <w:pPr>
        <w:spacing w:line="720" w:lineRule="exact"/>
        <w:rPr>
          <w:rFonts w:eastAsia="长城小标宋体"/>
          <w:b/>
          <w:bCs/>
          <w:sz w:val="36"/>
          <w:szCs w:val="36"/>
        </w:rPr>
      </w:pPr>
    </w:p>
    <w:p>
      <w:pPr>
        <w:spacing w:line="720" w:lineRule="exact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cs="宋体"/>
          <w:sz w:val="44"/>
          <w:szCs w:val="44"/>
        </w:rPr>
        <w:t>漯河市召陵区邓襄镇</w:t>
      </w:r>
      <w:r>
        <w:rPr>
          <w:rFonts w:hint="eastAsia" w:ascii="宋体" w:hAnsi="宋体" w:cs="宋体"/>
          <w:sz w:val="44"/>
          <w:szCs w:val="44"/>
          <w:lang w:eastAsia="zh-CN"/>
        </w:rPr>
        <w:t>第一初级中学</w:t>
      </w:r>
    </w:p>
    <w:p>
      <w:pPr>
        <w:spacing w:line="72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2024年度部门预算公开目录</w:t>
      </w:r>
    </w:p>
    <w:p>
      <w:pPr>
        <w:spacing w:line="360" w:lineRule="auto"/>
        <w:jc w:val="center"/>
        <w:rPr>
          <w:rFonts w:ascii="仿宋" w:hAnsi="仿宋" w:eastAsia="仿宋" w:cs="仿宋"/>
          <w:b/>
          <w:sz w:val="44"/>
          <w:szCs w:val="44"/>
        </w:rPr>
      </w:pP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一 、部门基本情况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（一）部门主要职责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（二）部门机构设置情况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（三）部门人员构成情况</w:t>
      </w:r>
    </w:p>
    <w:p>
      <w:pPr>
        <w:spacing w:line="360" w:lineRule="auto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二、部门预算情况说明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（一）部门收支预算总体情况说明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（二）部门收入预算总体情况说明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（三）部门支出预算总体情况说明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（四）财政拨款收支预算总体情况说明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（五）一般公共预算支出情况说明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（六）一般公共预算基本支出情况说明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（七）一般公共预算“三公”经费支出预算情况说明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（八）政府性基金预算情况说明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（九）国有资本经营预算情况说明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（十）社会保险基金预算情况说明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（十一）其他重要事项的情况说明</w:t>
      </w:r>
    </w:p>
    <w:p>
      <w:pPr>
        <w:spacing w:line="360" w:lineRule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三、 名词解释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附件：2024年度部门预算公开表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1、2024年部门收支总体情况表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2、2024年部门收入总体情况表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3、2024年部门支出总体情况表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4、2024年财政拨款收支总体情况表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5、2024年一般公共预算支出情况表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6、2024年一般公共预算基本支出表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7、2024年支出经济分类汇总表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8、2024年一般公共预算“三公”经费支出情况表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9、2024年政府性基金预算支出情况表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10、2024年项目支出表</w:t>
      </w:r>
    </w:p>
    <w:p>
      <w:pPr>
        <w:tabs>
          <w:tab w:val="left" w:pos="1844"/>
        </w:tabs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11、部门（单位）整体绩效目标表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12、2024年部门预算项目绩效目标汇总表</w:t>
      </w:r>
    </w:p>
    <w:p>
      <w:pPr>
        <w:spacing w:line="580" w:lineRule="atLeast"/>
        <w:ind w:firstLine="1440" w:firstLineChars="450"/>
        <w:rPr>
          <w:rFonts w:ascii="仿宋_GB2312" w:hAnsi="楷体_GB2312" w:eastAsia="仿宋_GB2312"/>
          <w:bCs/>
          <w:sz w:val="32"/>
          <w:szCs w:val="32"/>
        </w:rPr>
      </w:pPr>
    </w:p>
    <w:p>
      <w:pPr>
        <w:spacing w:line="580" w:lineRule="atLeast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</w:p>
    <w:p>
      <w:pPr>
        <w:spacing w:line="580" w:lineRule="atLeast"/>
        <w:ind w:firstLine="643" w:firstLineChars="200"/>
        <w:rPr>
          <w:rFonts w:ascii="仿宋_GB2312" w:hAnsi="楷体_GB2312" w:eastAsia="仿宋_GB2312"/>
          <w:b/>
          <w:bCs/>
          <w:sz w:val="32"/>
          <w:szCs w:val="32"/>
        </w:rPr>
      </w:pPr>
    </w:p>
    <w:p>
      <w:pPr>
        <w:spacing w:line="580" w:lineRule="atLeast"/>
        <w:ind w:firstLine="643" w:firstLineChars="200"/>
        <w:rPr>
          <w:rFonts w:ascii="仿宋_GB2312" w:hAnsi="楷体_GB2312" w:eastAsia="仿宋_GB2312"/>
          <w:b/>
          <w:bCs/>
          <w:sz w:val="32"/>
          <w:szCs w:val="32"/>
        </w:rPr>
      </w:pPr>
    </w:p>
    <w:p>
      <w:pPr>
        <w:spacing w:line="580" w:lineRule="atLeast"/>
        <w:ind w:firstLine="643" w:firstLineChars="200"/>
        <w:rPr>
          <w:rFonts w:ascii="仿宋_GB2312" w:hAnsi="楷体_GB2312" w:eastAsia="仿宋_GB2312"/>
          <w:b/>
          <w:bCs/>
          <w:sz w:val="32"/>
          <w:szCs w:val="32"/>
        </w:rPr>
      </w:pPr>
    </w:p>
    <w:p>
      <w:pPr>
        <w:spacing w:line="580" w:lineRule="atLeast"/>
        <w:ind w:firstLine="643" w:firstLineChars="200"/>
        <w:rPr>
          <w:rFonts w:ascii="仿宋_GB2312" w:hAnsi="楷体_GB2312" w:eastAsia="仿宋_GB2312"/>
          <w:b/>
          <w:bCs/>
          <w:sz w:val="32"/>
          <w:szCs w:val="32"/>
        </w:rPr>
      </w:pPr>
    </w:p>
    <w:p>
      <w:pPr>
        <w:spacing w:line="580" w:lineRule="atLeast"/>
        <w:ind w:firstLine="643" w:firstLineChars="200"/>
        <w:rPr>
          <w:rFonts w:ascii="仿宋_GB2312" w:hAnsi="楷体_GB2312" w:eastAsia="仿宋_GB2312"/>
          <w:b/>
          <w:bCs/>
          <w:sz w:val="32"/>
          <w:szCs w:val="32"/>
        </w:rPr>
      </w:pPr>
    </w:p>
    <w:p>
      <w:pPr>
        <w:spacing w:line="580" w:lineRule="atLeast"/>
        <w:ind w:firstLine="643" w:firstLineChars="200"/>
        <w:rPr>
          <w:rFonts w:ascii="仿宋_GB2312" w:hAnsi="楷体_GB2312" w:eastAsia="仿宋_GB2312"/>
          <w:b/>
          <w:bCs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一、部门基本情况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Cs/>
          <w:color w:val="000000"/>
          <w:sz w:val="32"/>
          <w:szCs w:val="32"/>
        </w:rPr>
        <w:t>（一）部门主要职责：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漯河市召陵区邓襄镇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第一初级中学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属于漯河市教育局直属分局举办的公办小学。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主要职责是实施辖区内小学义务教育，促进基础教育发展。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仿宋_GB2312"/>
          <w:bCs/>
          <w:color w:val="000000"/>
          <w:sz w:val="32"/>
          <w:szCs w:val="32"/>
        </w:rPr>
        <w:t>（二）部门机构设置</w:t>
      </w:r>
      <w:r>
        <w:rPr>
          <w:rFonts w:ascii="楷体" w:hAnsi="楷体" w:eastAsia="楷体" w:cs="仿宋_GB2312"/>
          <w:bCs/>
          <w:color w:val="000000"/>
          <w:sz w:val="32"/>
          <w:szCs w:val="32"/>
        </w:rPr>
        <w:t>情况</w:t>
      </w:r>
      <w:r>
        <w:rPr>
          <w:rFonts w:hint="eastAsia" w:ascii="楷体" w:hAnsi="楷体" w:eastAsia="楷体" w:cs="仿宋_GB2312"/>
          <w:bCs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漯河市召陵区邓襄镇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第一初级中学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属于一级预算单位，下设0个内设部门。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仿宋_GB2312"/>
          <w:bCs/>
          <w:color w:val="000000"/>
          <w:sz w:val="32"/>
          <w:szCs w:val="32"/>
        </w:rPr>
        <w:t>（三）部门人员构成情况：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截至2023年12月，漯河市召陵区邓襄镇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第一初级中学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人。其中：在职人员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8人，退休人员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人，遗属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二、部门预算情况说明</w:t>
      </w:r>
    </w:p>
    <w:p>
      <w:pPr>
        <w:widowControl/>
        <w:spacing w:line="360" w:lineRule="auto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2024年收入总计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1890.5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1890.5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万元，与去年相比，收、支总计各增加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11.1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新增教职工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6任，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职工工作年限增加，教职工工资；去年拨付公用经费未支付做为项目资金转到2024年增加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>
      <w:pPr>
        <w:widowControl/>
        <w:spacing w:line="360" w:lineRule="auto"/>
        <w:ind w:firstLine="643" w:firstLineChars="200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（二）部门收入预算总体情况说明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1890.5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1890.5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1890.5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提前告知转移支付0万元，结转结余0万元，非税收入0万元）；政府性基金预算收入0万元（政府性基金收入0万元，提前告知转移支付0万元，结转结余0万元）；国有资本经营预算收入0万元（国有资本经营收入0万元，提前告知转移支付0万元，结转结余0万元）。</w:t>
      </w:r>
    </w:p>
    <w:p>
      <w:pPr>
        <w:widowControl/>
        <w:spacing w:line="360" w:lineRule="auto"/>
        <w:ind w:firstLine="643" w:firstLineChars="200"/>
        <w:rPr>
          <w:rFonts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（三）部门支出预算总体情况说明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1890.5</w:t>
      </w:r>
      <w:r>
        <w:rPr>
          <w:rFonts w:hint="eastAsia" w:ascii="仿宋" w:hAnsi="仿宋" w:eastAsia="仿宋" w:cs="仿宋"/>
          <w:sz w:val="32"/>
          <w:szCs w:val="32"/>
        </w:rPr>
        <w:t>万元，其中：基本支</w:t>
      </w:r>
      <w:r>
        <w:rPr>
          <w:rFonts w:hint="eastAsia" w:ascii="仿宋_GB2312" w:hAnsi="仿宋_GB2312" w:eastAsia="仿宋_GB2312" w:cs="仿宋_GB2312"/>
          <w:sz w:val="32"/>
          <w:szCs w:val="32"/>
        </w:rPr>
        <w:t>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1808.5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95.8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4.2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widowControl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1890.5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万元，政府性基金收支预算0万</w:t>
      </w:r>
      <w:r>
        <w:rPr>
          <w:rFonts w:hint="eastAsia" w:ascii="仿宋" w:hAnsi="仿宋" w:eastAsia="仿宋" w:cs="仿宋"/>
          <w:sz w:val="32"/>
          <w:szCs w:val="32"/>
        </w:rPr>
        <w:t>元，国有资本经营收支预算0万元。与去年相比，一般公共预算收支预算增加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189.5</w:t>
      </w:r>
      <w:r>
        <w:rPr>
          <w:rFonts w:hint="eastAsia" w:ascii="仿宋" w:hAnsi="仿宋" w:eastAsia="仿宋" w:cs="仿宋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11.1</w:t>
      </w:r>
      <w:r>
        <w:rPr>
          <w:rFonts w:hint="eastAsia" w:ascii="仿宋" w:hAnsi="仿宋" w:eastAsia="仿宋" w:cs="仿宋"/>
          <w:sz w:val="32"/>
          <w:szCs w:val="32"/>
        </w:rPr>
        <w:t>%。主要原因：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新增教职工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6任，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教职工工作年限增加，教职工工资；去年拨付公用经费未支付做为项目资金转到2024年增加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widowControl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（五）一般公共预算支出情况说明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一般公共预算支出年初预算为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1890.5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。主要用于以下方面：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初中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教育支出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1495.5万元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元，占年初预算的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79.1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%;事业单位离退休支出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72万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元，占年初预算的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%;机关事业单位基本养老保险缴费支出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119万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元，占年初预算的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%;其他社会保障和就业支出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元，占年初预算的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.5%。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事业单位医疗支出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50万元，占年初预算的2.6%。住房公积金支出145万元，占年初预算的7.7%。</w:t>
      </w:r>
    </w:p>
    <w:p>
      <w:pPr>
        <w:widowControl/>
        <w:spacing w:line="360" w:lineRule="auto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（六）一般公共预算基本支出情况说明</w:t>
      </w:r>
    </w:p>
    <w:p>
      <w:pPr>
        <w:widowControl/>
        <w:spacing w:line="360" w:lineRule="auto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一般公共预算基本支出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1890.5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/>
          <w:color w:val="000000"/>
          <w:kern w:val="0"/>
          <w:sz w:val="32"/>
        </w:rPr>
        <w:t>其中：人员经费</w:t>
      </w:r>
      <w:r>
        <w:rPr>
          <w:rFonts w:hint="eastAsia" w:ascii="仿宋_GB2312" w:hAnsi="宋体" w:eastAsia="仿宋_GB2312"/>
          <w:color w:val="000000"/>
          <w:kern w:val="0"/>
          <w:sz w:val="32"/>
          <w:lang w:val="en-US" w:eastAsia="zh-CN"/>
        </w:rPr>
        <w:t>1768万元</w:t>
      </w:r>
      <w:r>
        <w:rPr>
          <w:rFonts w:hint="eastAsia" w:ascii="仿宋_GB2312" w:hAnsi="宋体" w:eastAsia="仿宋_GB2312"/>
          <w:color w:val="000000"/>
          <w:kern w:val="0"/>
          <w:sz w:val="32"/>
        </w:rPr>
        <w:t>，主要包括：基本工资、津贴补贴、奖金、伙食补助费、绩效工资、机关事业单位基本养老保险缴费、职业年金缴费、医疗保险缴费、其他社会保障缴费、住房公积金、医疗费、其他工资福利支出、离休费、退休费、助学金、奖励金、其他对个人和家庭的补助等支出；公用经费</w:t>
      </w:r>
      <w:r>
        <w:rPr>
          <w:rFonts w:hint="eastAsia" w:ascii="仿宋_GB2312" w:hAnsi="宋体" w:eastAsia="仿宋_GB2312"/>
          <w:color w:val="000000"/>
          <w:kern w:val="0"/>
          <w:sz w:val="32"/>
          <w:lang w:val="en-US" w:eastAsia="zh-CN"/>
        </w:rPr>
        <w:t>40.5万</w:t>
      </w:r>
      <w:r>
        <w:rPr>
          <w:rFonts w:hint="eastAsia" w:ascii="仿宋_GB2312" w:hAnsi="宋体" w:eastAsia="仿宋_GB2312"/>
          <w:color w:val="000000"/>
          <w:kern w:val="0"/>
          <w:sz w:val="32"/>
        </w:rPr>
        <w:t>元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工会经费、福利费、公务用车运行维护费、其他交通费用、税金及附加费用、其他商品和服务支出等支出</w:t>
      </w:r>
      <w:r>
        <w:rPr>
          <w:rFonts w:hint="eastAsia" w:ascii="仿宋_GB2312" w:hAnsi="宋体" w:eastAsia="仿宋_GB2312"/>
          <w:kern w:val="0"/>
          <w:sz w:val="32"/>
        </w:rPr>
        <w:t>。</w:t>
      </w:r>
    </w:p>
    <w:p>
      <w:pPr>
        <w:widowControl/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2024年“三公”经费预算为0万元，与去年持平。原因为：按照上级有关文件要求，我区严控三公经费支出，故未安排三公经费预算。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0万元，与去年持平。原因为：我单位不存在因公出国出境事务，故未安排此项预算。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</w:rPr>
        <w:t>0万元，其中，公务用车购置费0万元，与去年持平；公务用车运行维护费0万元，与去年持平。原因为：按照上级有关文件要求，我区严控公务用车购置及运行费支出，故未安排此项预算。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0万元，与去年持平。原因为：我单位不存在公务接待事务，故未安排此项预算。</w:t>
      </w:r>
    </w:p>
    <w:p>
      <w:pPr>
        <w:widowControl/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我部门没有政府性基金预算收支，故未编列。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（九）国有资本经营预算情况说明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我部门没有国有资本经营预算收支，故未编列。</w:t>
      </w:r>
    </w:p>
    <w:p>
      <w:pPr>
        <w:widowControl/>
        <w:spacing w:line="360" w:lineRule="auto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（十）社会保险基金预算情况说明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我部门没有社会保险基金预算收支，故未编列。</w:t>
      </w:r>
    </w:p>
    <w:p>
      <w:pPr>
        <w:spacing w:line="360" w:lineRule="auto"/>
        <w:ind w:firstLine="643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（十一）其他重要事项的情况说明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sz w:val="32"/>
          <w:szCs w:val="32"/>
        </w:rPr>
        <w:t>（1）运转类经费支出预算情况</w:t>
      </w:r>
    </w:p>
    <w:p>
      <w:pPr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我部门2024年机关运行经费支出预算为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122.5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包括:办公及印刷费、邮电费、差旅费、会议费、培训费、维修费、水电费、劳务费、租赁费及其他费用等。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（2）政府采购支出预算情况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我部门2024年政府采购预算共安排0万元，其中：政府采购货物预算0万元（办公设备购置预算0万元、信息网络及软件购置0万元）、政府采购工程预算0万元、政府采购服务预算0万元。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/>
          <w:bCs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sz w:val="32"/>
          <w:szCs w:val="32"/>
        </w:rPr>
        <w:t>（3）重点项目预算的绩效目标等情况说明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我部门实现了单位整体绩效目标和项目绩效目标全覆盖。项目支出均按要求编制了绩效目标，从项目产出、项目效益、满意度等方面设置了绩效指标，综合反映项目预期完成的数量、实效、质量，预期达到的社会经济效益、可持续影响以及服务对象满意度等情况。我部门2024年实行绩效目标管理的项目共1个，涉及财政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万元（含中央省提前告知转移支付资金0万元）。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（4）国有资产占用情况说明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2023年末，我部门共有车辆0辆，其中：一般公务用车0辆、一般执法执勤用车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（5）转移支付预算情况说明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我部门负责管理的专项转移支付项目共有0项，主要是：</w:t>
      </w:r>
      <w:r>
        <w:rPr>
          <w:rFonts w:hint="eastAsia" w:ascii="仿宋" w:hAnsi="仿宋" w:eastAsia="仿宋" w:cs="仿宋"/>
          <w:sz w:val="32"/>
          <w:szCs w:val="32"/>
        </w:rPr>
        <w:t>国有企业退休人员社会化管理补助支出0万元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；我部门将按照《预算法》等有关规定，积极做好项目分配前期准备工作，在规定的时间内向财政部门提出资金分配意见，根据有关要求做好项目申报、公开、绩效等相关工作。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三、名词解释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1、财政拨款收入：是指区级财政当年安排的资金，主要是以税收为主体的财政收入。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widowControl/>
        <w:kinsoku w:val="0"/>
        <w:overflowPunct w:val="0"/>
        <w:adjustRightInd w:val="0"/>
        <w:snapToGrid w:val="0"/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erNUXQAAAAAwEAAA8AAAAAAAAAAQAgAAAAIgAAAGRycy9k&#10;b3ducmV2LnhtbFBLAQIUABQAAAAIAIdO4kB62JEQ0QEAAKQ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zJhMGE3Mzg0NDA1MDA0YzQzMWI4ZGFiNWE0NzkifQ=="/>
  </w:docVars>
  <w:rsids>
    <w:rsidRoot w:val="006F21A4"/>
    <w:rsid w:val="0005453D"/>
    <w:rsid w:val="002D51BB"/>
    <w:rsid w:val="00380F9C"/>
    <w:rsid w:val="003B2DFA"/>
    <w:rsid w:val="006C7CD2"/>
    <w:rsid w:val="006F21A4"/>
    <w:rsid w:val="00774A63"/>
    <w:rsid w:val="00A014A9"/>
    <w:rsid w:val="00B654A3"/>
    <w:rsid w:val="00B90A8B"/>
    <w:rsid w:val="00BD21D1"/>
    <w:rsid w:val="00C2285B"/>
    <w:rsid w:val="00DA4939"/>
    <w:rsid w:val="00E65963"/>
    <w:rsid w:val="00FC3E1B"/>
    <w:rsid w:val="05F3123D"/>
    <w:rsid w:val="06EC66E0"/>
    <w:rsid w:val="0B8B183C"/>
    <w:rsid w:val="0E4F7C80"/>
    <w:rsid w:val="10A37D41"/>
    <w:rsid w:val="11C20769"/>
    <w:rsid w:val="13426597"/>
    <w:rsid w:val="15787ABD"/>
    <w:rsid w:val="18575207"/>
    <w:rsid w:val="1934019F"/>
    <w:rsid w:val="1BAF7FB0"/>
    <w:rsid w:val="1C905109"/>
    <w:rsid w:val="1DEF2253"/>
    <w:rsid w:val="22B814DB"/>
    <w:rsid w:val="22F6534C"/>
    <w:rsid w:val="2337793B"/>
    <w:rsid w:val="23673F12"/>
    <w:rsid w:val="24B94F4B"/>
    <w:rsid w:val="2967011C"/>
    <w:rsid w:val="2C6C38DF"/>
    <w:rsid w:val="300E12F2"/>
    <w:rsid w:val="35B8313B"/>
    <w:rsid w:val="37E8117F"/>
    <w:rsid w:val="38C6627D"/>
    <w:rsid w:val="3D347D63"/>
    <w:rsid w:val="3F6525B0"/>
    <w:rsid w:val="450E5498"/>
    <w:rsid w:val="4D924EB8"/>
    <w:rsid w:val="4E465DE4"/>
    <w:rsid w:val="4E9F2F14"/>
    <w:rsid w:val="531D3476"/>
    <w:rsid w:val="54CF69F2"/>
    <w:rsid w:val="56DA0230"/>
    <w:rsid w:val="592D1F39"/>
    <w:rsid w:val="59F24396"/>
    <w:rsid w:val="5A0F0A70"/>
    <w:rsid w:val="62CB71DD"/>
    <w:rsid w:val="651421FF"/>
    <w:rsid w:val="68595EE4"/>
    <w:rsid w:val="691C6622"/>
    <w:rsid w:val="693410C2"/>
    <w:rsid w:val="6A90072A"/>
    <w:rsid w:val="6FA741D1"/>
    <w:rsid w:val="705F6EBF"/>
    <w:rsid w:val="70F27898"/>
    <w:rsid w:val="71816E6E"/>
    <w:rsid w:val="73010738"/>
    <w:rsid w:val="735A4B17"/>
    <w:rsid w:val="75AB2CB8"/>
    <w:rsid w:val="776B3F01"/>
    <w:rsid w:val="79933E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525</Words>
  <Characters>2998</Characters>
  <Lines>24</Lines>
  <Paragraphs>7</Paragraphs>
  <TotalTime>0</TotalTime>
  <ScaleCrop>false</ScaleCrop>
  <LinksUpToDate>false</LinksUpToDate>
  <CharactersWithSpaces>3516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2024-03-04T09:06:00Z</dcterms:created>
  <dc:creator>HiWin11</dc:creator>
  <cp:lastModifiedBy>Hoze.</cp:lastModifiedBy>
  <dcterms:modified xsi:type="dcterms:W3CDTF">2024-03-07T07:57:28Z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8F90FC723A9F4C3EB325957EF3AD340C_13</vt:lpwstr>
  </property>
</Properties>
</file>