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实验小学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实验小学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漯河经济技术开发区实验小学主要职责是实施小学义务教育，促进基础教育发展，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服务适龄儿童就近入学。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严格按照课程标准开展教学，提高课堂教学质量。减轻学生过重课外负担，培养学生学习兴趣，养成良好学习习惯。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漯河经济技术开发区实验小学属于一级预算单位，下设教务处、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政教</w:t>
      </w:r>
      <w:r>
        <w:rPr>
          <w:rFonts w:hint="eastAsia" w:ascii="仿宋_GB2312" w:hAnsi="仿宋_GB2312" w:eastAsia="仿宋_GB2312" w:cs="仿宋_GB2312"/>
          <w:sz w:val="32"/>
          <w:szCs w:val="32"/>
        </w:rPr>
        <w:t>处、总务处、办公室4个内设部门。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年12月，漯河经济技术开发区实验小学实有7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教师增加，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工资调整，社保费增加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，故导致收支比去年增加。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1012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出964万元，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95.3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教师增加，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工资调整，社保费增加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，故导致收支比去年增加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政府性基金收支预算与去年持平；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与去年持平。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79.25</w:t>
      </w:r>
      <w:r>
        <w:rPr>
          <w:rFonts w:hint="eastAsia" w:ascii="仿宋_GB2312" w:hAnsi="仿宋_GB2312" w:eastAsia="仿宋_GB2312" w:cs="仿宋_GB2312"/>
          <w:sz w:val="32"/>
          <w:szCs w:val="32"/>
        </w:rPr>
        <w:t>%;社会保障和就业支出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10.67</w:t>
      </w:r>
      <w:r>
        <w:rPr>
          <w:rFonts w:hint="eastAsia" w:ascii="仿宋_GB2312" w:hAnsi="仿宋_GB2312" w:eastAsia="仿宋_GB2312" w:cs="仿宋_GB2312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2.67</w:t>
      </w:r>
      <w:r>
        <w:rPr>
          <w:rFonts w:hint="eastAsia" w:ascii="仿宋_GB2312" w:hAnsi="仿宋_GB2312" w:eastAsia="仿宋_GB2312" w:cs="仿宋_GB2312"/>
          <w:sz w:val="32"/>
          <w:szCs w:val="32"/>
        </w:rPr>
        <w:t>%;住房保障支出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942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22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spacing w:line="360" w:lineRule="auto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spacing w:line="58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我部门没有国有资本经营预算收支，故未编列。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拨款48万元（含中央省提前告知转移支付资金0万元）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CE13F54"/>
    <w:rsid w:val="0DDE2BAE"/>
    <w:rsid w:val="0E4F7C80"/>
    <w:rsid w:val="0F2F2029"/>
    <w:rsid w:val="10A37D41"/>
    <w:rsid w:val="11C20769"/>
    <w:rsid w:val="13426597"/>
    <w:rsid w:val="15787ABD"/>
    <w:rsid w:val="18575207"/>
    <w:rsid w:val="1934019F"/>
    <w:rsid w:val="1BAF7FB0"/>
    <w:rsid w:val="1DEF2253"/>
    <w:rsid w:val="22B814DB"/>
    <w:rsid w:val="22F6534C"/>
    <w:rsid w:val="23673F12"/>
    <w:rsid w:val="24B94F4B"/>
    <w:rsid w:val="2967011C"/>
    <w:rsid w:val="2C6C38DF"/>
    <w:rsid w:val="31A871DC"/>
    <w:rsid w:val="35B8313B"/>
    <w:rsid w:val="363406B0"/>
    <w:rsid w:val="37E8117F"/>
    <w:rsid w:val="38C6627D"/>
    <w:rsid w:val="38F45A8F"/>
    <w:rsid w:val="3D347D63"/>
    <w:rsid w:val="3F6525B0"/>
    <w:rsid w:val="450E5498"/>
    <w:rsid w:val="456834D9"/>
    <w:rsid w:val="4D924EB8"/>
    <w:rsid w:val="4E465DE4"/>
    <w:rsid w:val="4E9F2F14"/>
    <w:rsid w:val="531D3476"/>
    <w:rsid w:val="54CF69F2"/>
    <w:rsid w:val="56DA0230"/>
    <w:rsid w:val="592D1F39"/>
    <w:rsid w:val="59A248A6"/>
    <w:rsid w:val="62CB71DD"/>
    <w:rsid w:val="651421FF"/>
    <w:rsid w:val="68595EE4"/>
    <w:rsid w:val="691C6622"/>
    <w:rsid w:val="693410C2"/>
    <w:rsid w:val="6A90072A"/>
    <w:rsid w:val="6E0C6169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