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2024年度</w:t>
      </w: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部门预算公开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spacing w:line="580" w:lineRule="atLeas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漯河经济技术开发区解放路小学</w:t>
      </w: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2024年3月4日</w:t>
      </w: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漯河经济技术开发区解放路小学</w:t>
      </w:r>
    </w:p>
    <w:p>
      <w:pPr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2024年度部门预算公开目录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 、部门基本情况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（三）部门人员构成情况</w:t>
      </w:r>
    </w:p>
    <w:p>
      <w:pPr>
        <w:spacing w:line="360" w:lineRule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二、部门预算情况说明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 名词解释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附件：2024年度部门预算公开表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1、2024年部门收支总体情况表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2、2024年部门收入总体情况表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7、2024年支出经济分类汇总表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8、2024年一般公共预算“三公”经费支出情况表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9、2024年政府性基金预算支出情况表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10、2024年项目支出表</w:t>
      </w:r>
    </w:p>
    <w:p>
      <w:pPr>
        <w:tabs>
          <w:tab w:val="left" w:pos="1844"/>
        </w:tabs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11、部门（单位）整体绩效目标表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12、2024年部门预算项目绩效目标汇总表</w:t>
      </w:r>
    </w:p>
    <w:p>
      <w:pPr>
        <w:spacing w:line="580" w:lineRule="atLeast"/>
        <w:ind w:firstLine="1440" w:firstLineChars="45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pStyle w:val="2"/>
        <w:spacing w:before="0" w:after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漯河经济技术开发区解放路小学属于事业单位，主要职责是实施小学义务教育和小学学历教育，促进基础教育发展。规范办学行为，提升教师的专业素养，家校共育，提升家教水平。</w:t>
      </w:r>
    </w:p>
    <w:p>
      <w:pPr>
        <w:pStyle w:val="2"/>
        <w:spacing w:before="0" w:after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漯河经济技术开发区解放路小学属于一级预算单位，下设教导处、德育处，总务处三个内设科室，无二级预算单位。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截至2023年12月，漯河经济技术开发区解放路小学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实有68人。其中：在职人员46人，退休人员22人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二、部门预算情况说明</w:t>
      </w:r>
    </w:p>
    <w:p>
      <w:pPr>
        <w:widowControl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2024年收入总计871.2万元，支出总计871.2万元，与去年相比，收、支总计各增加79.7万元，增长10.1 %。主要原因：因2024年在职人员薪级增加，社保类增加，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又新进 4 位教师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，固导致收支比去年增加。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预算871.2万元，其中：一般公共预算收入871.2万元（财政拨款收入871.2万元，提前告知转移支付0万元，结转结余0万元，非税收入0万元）；政府性基金预算收入0万元（政府性基金收入0万元，提前告知转移支付0万元，结转结余0万元）；国有资本经营预算收入0万元（国有资本经营收入0万元，提前告知转移支付0万元，结转结余0万元）。</w:t>
      </w:r>
    </w:p>
    <w:p>
      <w:pPr>
        <w:widowControl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部门支出预算总体情况说明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2024年支出预算871.2万元，其中：基本支</w:t>
      </w:r>
      <w:r>
        <w:rPr>
          <w:rFonts w:hint="eastAsia" w:ascii="仿宋_GB2312" w:hAnsi="仿宋_GB2312" w:eastAsia="仿宋_GB2312" w:cs="仿宋_GB2312"/>
          <w:sz w:val="32"/>
          <w:szCs w:val="32"/>
        </w:rPr>
        <w:t>出841万元，</w:t>
      </w:r>
      <w:r>
        <w:rPr>
          <w:rFonts w:hint="eastAsia" w:ascii="仿宋" w:hAnsi="仿宋" w:eastAsia="仿宋" w:cs="仿宋"/>
          <w:sz w:val="32"/>
          <w:szCs w:val="32"/>
        </w:rPr>
        <w:t>占96.5%；项目支出30.2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占3.5%。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2024年一般公共预算收支预算871.2万元，政府性基金收支预算0万元，国有资本经营收支预算0万元。与去年相比，一般公共预算收支预算增加79.7万元，增加10.1%，主要原因：因2024年在职人员薪级增加，社保类增加，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又新进 4 位教师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，固导致收支比去年增加。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支出年初预算为871.2万元。主要用于以下方面：教育支出661.2万元，占年初预算的75.8%;社会保障和就业支出120万元，占年初预算的13.8%;卫生健康支出24万元，占年初预算的2.8%;住房保障支出66万元，占年初预算的7.6%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2024年一般公共预算基本支出841万元，</w:t>
      </w:r>
      <w:r>
        <w:rPr>
          <w:rFonts w:hint="eastAsia" w:ascii="仿宋_GB2312" w:hAnsi="宋体" w:eastAsia="仿宋_GB2312"/>
          <w:kern w:val="0"/>
          <w:sz w:val="32"/>
        </w:rPr>
        <w:t>其中：人员经费828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13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2024年“三公”经费预算为0万元，与去年持平。原因为：按照上级有关文件要求，我区严控三公经费支出，故未安排三公经费预算。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0万元，与去年持平。原因为：我单位不存在因公出国出境事务，故未安排此项预算。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0万元，其中，公务用车购置费0万元，与去年持平；公务用车运行维护费0万元，与去年持平。原因为：按照上级有关文件要求，我区严控公务用车购置及运行费支出，故未安排此项预算。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0万元，与去年持平。原因为：我单位不存在公务接待事务，故未安排此项预算。</w:t>
      </w:r>
    </w:p>
    <w:p>
      <w:pPr>
        <w:widowControl/>
        <w:spacing w:line="360" w:lineRule="auto"/>
        <w:ind w:firstLine="630" w:firstLineChars="196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widowControl/>
        <w:spacing w:line="360" w:lineRule="auto"/>
        <w:ind w:firstLine="627" w:firstLineChars="196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我部门没有政府性基金收支预算，故未编列。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numPr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我部门没有国有资本经营预算收支，故未编列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（十）社会保险基金预算情况说明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spacing w:line="360" w:lineRule="auto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（十一）其他重要事项的情况说明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（1）运转类经费支出预算情况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我部门2024年机关运行经费支出预算为43.2万元，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（2）政府采购支出预算情况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我部门2024年政府采购预算共安排0万元，其中：政府采购货物预算0万元（办公设备购置预算0万元、信息网络及软件购置0万元）、政府采购工程预算0万元、政府采购服务预算0万元。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sz w:val="32"/>
          <w:szCs w:val="32"/>
        </w:rPr>
        <w:t>（3）重点项目预算的绩效目标等情况说明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拨款30.2万元（含中央省提前告知转移支付资金0万元）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（4）国有资产占用情况说明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2023年末，我部门共有车辆0辆，其中：一般公务用车0辆、一般执法执勤用车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（5）转移支付预算情况说明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我部门2024年无提前下</w:t>
      </w:r>
      <w:r>
        <w:rPr>
          <w:rFonts w:hint="eastAsia" w:ascii="仿宋" w:hAnsi="仿宋" w:eastAsia="仿宋"/>
          <w:sz w:val="32"/>
        </w:rPr>
        <w:t>达的转移支付项目。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三、名词解释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19DD2"/>
    <w:multiLevelType w:val="singleLevel"/>
    <w:tmpl w:val="7C019DD2"/>
    <w:lvl w:ilvl="0" w:tentative="0">
      <w:start w:val="9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5MzJhMGE3Mzg0NDA1MDA0YzQzMWI4ZGFiNWE0NzkifQ=="/>
  </w:docVars>
  <w:rsids>
    <w:rsidRoot w:val="007136BD"/>
    <w:rsid w:val="001B1A3D"/>
    <w:rsid w:val="005452EA"/>
    <w:rsid w:val="00567B42"/>
    <w:rsid w:val="005B438C"/>
    <w:rsid w:val="00672389"/>
    <w:rsid w:val="007136BD"/>
    <w:rsid w:val="00AE21C0"/>
    <w:rsid w:val="00CB16F4"/>
    <w:rsid w:val="00EC41E8"/>
    <w:rsid w:val="00FC3E1B"/>
    <w:rsid w:val="05F3123D"/>
    <w:rsid w:val="06EC66E0"/>
    <w:rsid w:val="0B967220"/>
    <w:rsid w:val="0E4F7C80"/>
    <w:rsid w:val="0FBF7375"/>
    <w:rsid w:val="10A37D41"/>
    <w:rsid w:val="11C20769"/>
    <w:rsid w:val="13426597"/>
    <w:rsid w:val="15787ABD"/>
    <w:rsid w:val="17F74CEF"/>
    <w:rsid w:val="18575207"/>
    <w:rsid w:val="18BC2150"/>
    <w:rsid w:val="1934019F"/>
    <w:rsid w:val="1A7016AA"/>
    <w:rsid w:val="1BAF7FB0"/>
    <w:rsid w:val="1DEF2253"/>
    <w:rsid w:val="22B814DB"/>
    <w:rsid w:val="22F6534C"/>
    <w:rsid w:val="23673F12"/>
    <w:rsid w:val="24B94F4B"/>
    <w:rsid w:val="2967011C"/>
    <w:rsid w:val="2C6C38DF"/>
    <w:rsid w:val="320358CC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4FEE5732"/>
    <w:rsid w:val="531D3476"/>
    <w:rsid w:val="54CF69F2"/>
    <w:rsid w:val="56DA0230"/>
    <w:rsid w:val="592D1F39"/>
    <w:rsid w:val="62CB71DD"/>
    <w:rsid w:val="651421FF"/>
    <w:rsid w:val="68595EE4"/>
    <w:rsid w:val="688A2F04"/>
    <w:rsid w:val="691C6622"/>
    <w:rsid w:val="693410C2"/>
    <w:rsid w:val="6A605D12"/>
    <w:rsid w:val="6A90072A"/>
    <w:rsid w:val="6FA741D1"/>
    <w:rsid w:val="73010738"/>
    <w:rsid w:val="741A00E4"/>
    <w:rsid w:val="75AB2CB8"/>
    <w:rsid w:val="776B3F01"/>
    <w:rsid w:val="79933E56"/>
    <w:rsid w:val="7A074B46"/>
    <w:rsid w:val="7A924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80" w:after="18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498</Words>
  <Characters>2845</Characters>
  <Lines>23</Lines>
  <Paragraphs>6</Paragraphs>
  <TotalTime>31</TotalTime>
  <ScaleCrop>false</ScaleCrop>
  <LinksUpToDate>false</LinksUpToDate>
  <CharactersWithSpaces>3337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2024-03-07T05:04:00Z</dcterms:created>
  <dc:creator>HiWin11</dc:creator>
  <cp:lastModifiedBy>Hoze.</cp:lastModifiedBy>
  <dcterms:modified xsi:type="dcterms:W3CDTF">2024-03-07T07:41:28Z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B1FC26DFD367488FB9C45CFA275C00C8_13</vt:lpwstr>
  </property>
</Properties>
</file>