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ascii="宋体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t>2024</w:t>
      </w:r>
      <w:r>
        <w:rPr>
          <w:rFonts w:hint="eastAsia" w:ascii="宋体" w:hAnsi="宋体" w:cs="宋体"/>
          <w:sz w:val="72"/>
          <w:szCs w:val="72"/>
        </w:rPr>
        <w:t>年度</w:t>
      </w:r>
    </w:p>
    <w:p>
      <w:pPr>
        <w:spacing w:line="360" w:lineRule="auto"/>
        <w:jc w:val="center"/>
        <w:rPr>
          <w:rFonts w:asci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部门预算公开</w:t>
      </w:r>
    </w:p>
    <w:p>
      <w:pPr>
        <w:spacing w:line="360" w:lineRule="auto"/>
        <w:jc w:val="center"/>
        <w:rPr>
          <w:rFonts w:ascii="宋体" w:cs="宋体"/>
          <w:b/>
          <w:bCs/>
          <w:sz w:val="72"/>
          <w:szCs w:val="72"/>
        </w:rPr>
      </w:pPr>
    </w:p>
    <w:p>
      <w:pPr>
        <w:spacing w:line="580" w:lineRule="atLeast"/>
        <w:jc w:val="center"/>
        <w:rPr>
          <w:rFonts w:ascii="??_GB2312" w:hAnsi="宋体" w:eastAsia="Times New Roman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漯河经济技术开发区金山路小学</w:t>
      </w: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>2024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ascii="仿宋" w:hAnsi="仿宋" w:eastAsia="仿宋" w:cs="仿宋"/>
          <w:sz w:val="36"/>
          <w:szCs w:val="36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ascii="仿宋" w:hAnsi="仿宋" w:eastAsia="仿宋" w:cs="仿宋"/>
          <w:sz w:val="36"/>
          <w:szCs w:val="36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漯河经济技术开发区金山路小学</w:t>
      </w:r>
    </w:p>
    <w:p>
      <w:pPr>
        <w:spacing w:line="72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2024</w:t>
      </w:r>
      <w:r>
        <w:rPr>
          <w:rFonts w:hint="eastAsia" w:ascii="宋体" w:hAnsi="宋体" w:cs="宋体"/>
          <w:sz w:val="44"/>
          <w:szCs w:val="44"/>
        </w:rPr>
        <w:t>年度部门预算公开目录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、部门基本情况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（一）部门主要职责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（二）部门机构设置情况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（三）部门人员构成情况</w:t>
      </w:r>
    </w:p>
    <w:p>
      <w:pPr>
        <w:spacing w:line="360" w:lineRule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二、部门预算情况说明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（一）部门收支预算总体情况说明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（二）部门收入预算总体情况说明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（三）部门支出预算总体情况说明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（四）财政拨款收支预算总体情况说明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（五）一般公共预算支出情况说明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（六）一般公共预算基本支出情况说明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（七）一般公共预算“三公”经费支出预算情况说明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（十一）其他重要事项的情况说明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名词解释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  <w:r>
        <w:rPr>
          <w:rFonts w:ascii="楷体" w:hAnsi="楷体" w:eastAsia="楷体" w:cs="楷体"/>
          <w:sz w:val="32"/>
          <w:szCs w:val="32"/>
        </w:rPr>
        <w:t>2024</w:t>
      </w:r>
      <w:r>
        <w:rPr>
          <w:rFonts w:hint="eastAsia" w:ascii="楷体" w:hAnsi="楷体" w:eastAsia="楷体" w:cs="楷体"/>
          <w:sz w:val="32"/>
          <w:szCs w:val="32"/>
        </w:rPr>
        <w:t>年度部门预算公开表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1、2024年部门收支总体情况表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2、2024年部门收入总体情况表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3、2024年部门支出总体情况表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4、2024年财政拨款收支总体情况表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5、2024年一般公共预算支出情况表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6、2024年一般公共预算基本支出表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7、2024年支出经济分类汇总表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8、2024年一般公共预算“三公”经费支出情况表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9、2024年政府性基金预算支出情况表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10、2024年项目支出表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11、部门（单位）整体绩效目标表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12、2024年部门预算项目绩效目标汇总表</w:t>
      </w:r>
    </w:p>
    <w:p>
      <w:pPr>
        <w:spacing w:line="580" w:lineRule="atLeast"/>
        <w:ind w:firstLine="1440" w:firstLineChars="450"/>
        <w:rPr>
          <w:rFonts w:ascii="??_GB2312" w:hAnsi="楷体_GB2312" w:eastAsia="Times New Roman"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??_GB2312" w:hAnsi="楷体_GB2312" w:eastAsia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（一）部门主要职责：</w:t>
      </w:r>
      <w:r>
        <w:rPr>
          <w:rFonts w:hint="eastAsia" w:ascii="仿宋" w:hAnsi="仿宋" w:eastAsia="仿宋" w:cs="仿宋"/>
          <w:bCs/>
          <w:sz w:val="32"/>
          <w:szCs w:val="32"/>
        </w:rPr>
        <w:t>漯河经济技术开发区金山路小学属于事业单位，主要负责实施小学义务教育和小学学历教育，促进基础教育发展。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（二）部门机构设置情况：</w:t>
      </w:r>
      <w:r>
        <w:rPr>
          <w:rFonts w:hint="eastAsia" w:ascii="仿宋" w:hAnsi="仿宋" w:eastAsia="仿宋" w:cs="仿宋"/>
          <w:bCs/>
          <w:sz w:val="32"/>
          <w:szCs w:val="32"/>
        </w:rPr>
        <w:t>漯河经济技术开发区金山路小学属于一级预算单位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下设0个内设部门。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（三）部门人员构成情况：</w:t>
      </w:r>
      <w:r>
        <w:rPr>
          <w:rFonts w:hint="eastAsia" w:ascii="仿宋" w:hAnsi="仿宋" w:eastAsia="仿宋" w:cs="仿宋"/>
          <w:bCs/>
          <w:sz w:val="32"/>
          <w:szCs w:val="32"/>
        </w:rPr>
        <w:t>截至2023年12月，漯河经济技术开发区金山路小学实有32人。其中：在职人员20人，退休人员12人。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二、部门预算情况说明</w:t>
      </w:r>
    </w:p>
    <w:p>
      <w:pPr>
        <w:widowControl/>
        <w:spacing w:line="360" w:lineRule="auto"/>
        <w:ind w:firstLine="643" w:firstLineChars="200"/>
        <w:rPr>
          <w:rFonts w:ascii="??_GB2312" w:hAnsi="??_GB2312" w:eastAsia="Times New Roman" w:cs="??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2024年收入总计392.3万元，支出总计392.3万元，与去年相比，收、支总计各增加45.3万元，增长13.05%。主要原因：在职人员薪级增加；人员变动，社保、公积金等费用增加。</w:t>
      </w: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widowControl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widowControl/>
        <w:spacing w:line="360" w:lineRule="auto"/>
        <w:rPr>
          <w:rFonts w:ascii="??_GB2312" w:hAnsi="??_GB2312" w:eastAsia="Times New Roman" w:cs="??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2024年收入预算392.3万元，其中：一般公共预算收入392.3万元（财政拨款收入392.3万元，提前告知转移支付0万元，结转结余0万元，非税收入0万元）；政府性基金预算收入0万元（政府性基金收入0万元，提前告知转移支付0万元，结转结余0万元）；国有资本经营预算收入0万元（国有资本经营收入0万元，提前告知转移支付0万元，结转结余0万元）。</w:t>
      </w:r>
    </w:p>
    <w:p>
      <w:pPr>
        <w:widowControl/>
        <w:spacing w:line="360" w:lineRule="auto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ascii="仿宋" w:hAnsi="仿宋" w:eastAsia="仿宋" w:cs="仿宋"/>
          <w:color w:val="2D2D2D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2024年支出预算392.3万元，其中：基本支出383万元，占97.63%；项目支出9.3万元，占2.37%。</w:t>
      </w:r>
    </w:p>
    <w:p>
      <w:pPr>
        <w:widowControl/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2024年一般公共预算收支预算392.3万元，政府性基金收支预算0万元，国有资本经营收支预算0万元。与去年相比，一般公共预算收支预算增加45.3万元，增长13.05%，主要原因：在职人员薪级增加；人员变动，社保、公积金等费用增加；政府性基金收支预算0万元，与去年持平；国有资本经营收支预算0万元，与去年持平。</w:t>
      </w:r>
      <w:r>
        <w:rPr>
          <w:rFonts w:ascii="仿宋" w:hAnsi="仿宋" w:eastAsia="仿宋" w:cs="仿宋"/>
          <w:b/>
          <w:sz w:val="32"/>
          <w:szCs w:val="32"/>
        </w:rPr>
        <w:t xml:space="preserve">   </w:t>
      </w:r>
    </w:p>
    <w:p>
      <w:pPr>
        <w:widowControl/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widowControl/>
        <w:spacing w:line="360" w:lineRule="auto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2024年一般公共预算支出年初预算为392.3万元。主要用于以下方面：教育支出294.3万元，占年初预算的75.02%；社会保障和就业支出56万元，占年初预算的14.27%；卫生健康支出12万元，占年初预算的3.06%；住房保障支出30万元，占年初预算的7.65%。</w:t>
      </w:r>
    </w:p>
    <w:p>
      <w:pPr>
        <w:widowControl/>
        <w:spacing w:line="360" w:lineRule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2024年一般公共预算基本支出383万元，其中：人员经费374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公用经费9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等支出。</w:t>
      </w: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2024年“三公”经费预算为0万元，与去年持平。原因为：按照上级有关文件要求，我区严控三公经费支出，故未安排三公经费预算。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具体支出情况如下：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（1）因公出国（境）费0万元，与去年持平。原因为：我单位不存在因公出国出境事务，故未安排此项预算。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公务用车购置及运行费0万元，其中，公务用车购置费0万元，与去年持平；公务用车运行维护费0万元，与去年持平。原因为：按照上级有关文件要求，我区严控公务用车购置及运行费支出，故未安排此项预算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（3）公务接待费0万元，与去年持平。原因为：我单位不存在公务接待事务，故未安排此项预算。</w:t>
      </w: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spacing w:line="360" w:lineRule="auto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我部门没有政府性基金预算收支，故未编列。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（九）国有资本经营预算情况说明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我部门没有国有资本经营预算收支，故未编列。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</w:p>
    <w:p>
      <w:pPr>
        <w:widowControl/>
        <w:spacing w:line="360" w:lineRule="auto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（十）社会保险基金预算情况说明</w:t>
      </w:r>
    </w:p>
    <w:p>
      <w:pPr>
        <w:spacing w:line="360" w:lineRule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我部门没有社会保险基金预算收支，故未编列。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（十一）其他重要事项的情况说明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）运转类经费支出预算情况</w:t>
      </w:r>
    </w:p>
    <w:p>
      <w:pPr>
        <w:spacing w:line="360" w:lineRule="auto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我部门2024</w:t>
      </w:r>
      <w:r>
        <w:rPr>
          <w:rFonts w:hint="eastAsia" w:ascii="仿宋" w:hAnsi="仿宋" w:eastAsia="仿宋" w:cs="仿宋"/>
          <w:sz w:val="32"/>
          <w:szCs w:val="32"/>
        </w:rPr>
        <w:t>年机关运行经费支出预算为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18.3</w:t>
      </w:r>
      <w:r>
        <w:rPr>
          <w:rFonts w:hint="eastAsia" w:ascii="仿宋" w:hAnsi="仿宋" w:eastAsia="仿宋" w:cs="仿宋"/>
          <w:sz w:val="32"/>
          <w:szCs w:val="32"/>
        </w:rPr>
        <w:t>万元，包括:办公及印刷费、邮电费、差旅费、会议费、培训费、维修费、水电费、劳务费、租赁费及其他费用等。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）政府采购支出预算情况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我部门2024年政府采购预算共安排0万元，其中：政府采购货物预算0万元（办公设备购置预算0万元、信息网络及软件购置0万元）、政府采购工程预算0万元、政府采购服务预算0万元。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）重点项目预算的绩效目标等情况说明</w:t>
      </w:r>
    </w:p>
    <w:p>
      <w:pPr>
        <w:spacing w:line="360" w:lineRule="auto"/>
        <w:ind w:firstLine="64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拨款9.3万元（含中央省提前告知转移支付资金0万元）。</w:t>
      </w:r>
    </w:p>
    <w:p>
      <w:pPr>
        <w:spacing w:line="360" w:lineRule="auto"/>
        <w:ind w:firstLine="640"/>
        <w:rPr>
          <w:rFonts w:ascii="??_GB2312" w:hAnsi="??_GB2312" w:eastAsia="Times New Roman" w:cs="??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）国有资产占用情况说明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末，我部门共有车辆0辆，其中：一般公务用车0辆、一般执法执勤用车0辆、特种专业技术用车0辆，其他用车0辆。其他用车主要是用于后勤服务。单价50万元以上通用设备0台（套），单位价值100万元以上专用设备0台（套）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）转移支付预算情况说明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我部门负责管理的专项转移支付项目共有0项。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三、名词解释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1、财政拨款收入：是指区级财政当年安排的资金，主要是以税收为主体的财政收入。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5、项目支出：是指在基本支出之外，为完成特定的行政工作任务或事业发展目标所发生的支出。</w:t>
      </w:r>
      <w:bookmarkStart w:id="0" w:name="_GoBack"/>
      <w:bookmarkEnd w:id="0"/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jc w:val="left"/>
        <w:rPr>
          <w:rFonts w:ascii="??_GB2312" w:hAnsi="??_GB2312" w:eastAsia="Times New Roman" w:cs="??_GB2312"/>
          <w:sz w:val="32"/>
          <w:szCs w:val="32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5MzJhMGE3Mzg0NDA1MDA0YzQzMWI4ZGFiNWE0NzkifQ=="/>
  </w:docVars>
  <w:rsids>
    <w:rsidRoot w:val="00B325DB"/>
    <w:rsid w:val="0088039C"/>
    <w:rsid w:val="00950BAC"/>
    <w:rsid w:val="00B325DB"/>
    <w:rsid w:val="00B820CA"/>
    <w:rsid w:val="00E27700"/>
    <w:rsid w:val="00F123A9"/>
    <w:rsid w:val="00FC3E1B"/>
    <w:rsid w:val="05F3123D"/>
    <w:rsid w:val="06EC66E0"/>
    <w:rsid w:val="09DA01AF"/>
    <w:rsid w:val="0E4F7C80"/>
    <w:rsid w:val="10A37D41"/>
    <w:rsid w:val="11C20769"/>
    <w:rsid w:val="13426597"/>
    <w:rsid w:val="15787ABD"/>
    <w:rsid w:val="16BE49AE"/>
    <w:rsid w:val="18575207"/>
    <w:rsid w:val="1934019F"/>
    <w:rsid w:val="1BAF7FB0"/>
    <w:rsid w:val="1DEF2253"/>
    <w:rsid w:val="22B814DB"/>
    <w:rsid w:val="22F6534C"/>
    <w:rsid w:val="23673F12"/>
    <w:rsid w:val="24B94F4B"/>
    <w:rsid w:val="278F3CB5"/>
    <w:rsid w:val="2967011C"/>
    <w:rsid w:val="2C6C38DF"/>
    <w:rsid w:val="32C01760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51574A96"/>
    <w:rsid w:val="531D3476"/>
    <w:rsid w:val="53CD147E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oter Char"/>
    <w:basedOn w:val="4"/>
    <w:link w:val="2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508</Words>
  <Characters>2900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2024-03-07T02:01:59Z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26F3571CF6614AA0A5C4965902EBFF7C_13</vt:lpwstr>
  </property>
</Properties>
</file>