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小学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小学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漯河经济技术开发区小学属于事业单位，主要职责是实施小学义务教育和小学学历教育，促进基础教育发展。规范办学行为，提升教师的专业素养，深入推进课堂教学改革，严格按照课程标准开展教学，提高课堂教学质量。减轻学生过重课外负担，培养学生学习兴趣、学习习惯。坚持立德树人的办学思想，创造适合学生的教育，培养“健康快乐、阳光自信、习惯良好、兴趣广泛、人格健全”全面发展的学生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下设教导处、德育处，总务处、办公室、教科室五个科室。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年12月，漯河经济开发区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Times New Roman"/>
          <w:b w:val="0"/>
          <w:w w:val="100"/>
          <w:sz w:val="32"/>
          <w:lang w:eastAsia="zh-CN"/>
        </w:rPr>
        <w:t>1</w:t>
      </w:r>
      <w:r>
        <w:rPr>
          <w:rFonts w:hint="eastAsia" w:ascii="仿宋_GB2312" w:hAnsi="仿宋_GB2312" w:eastAsia="仿宋_GB2312" w:cs="Times New Roman"/>
          <w:b w:val="0"/>
          <w:w w:val="100"/>
          <w:sz w:val="32"/>
          <w:lang w:val="en-US" w:eastAsia="zh-CN"/>
        </w:rPr>
        <w:t>890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Times New Roman"/>
          <w:b w:val="0"/>
          <w:w w:val="100"/>
          <w:sz w:val="32"/>
          <w:lang w:val="en-US" w:eastAsia="zh-CN"/>
        </w:rPr>
        <w:t>1890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Times New Roman"/>
          <w:b w:val="0"/>
          <w:w w:val="100"/>
          <w:sz w:val="32"/>
          <w:lang w:val="en-US" w:eastAsia="zh-CN"/>
        </w:rPr>
        <w:t>207.5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Times New Roman"/>
          <w:b w:val="0"/>
          <w:w w:val="100"/>
          <w:sz w:val="32"/>
          <w:lang w:val="en-US" w:eastAsia="zh-CN"/>
        </w:rPr>
        <w:t>12.33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>因在职人员薪级增加，</w:t>
      </w:r>
      <w:r>
        <w:rPr>
          <w:rFonts w:hint="eastAsia" w:ascii="仿宋_GB2312" w:hAnsi="仿宋_GB2312" w:eastAsia="仿宋_GB2312"/>
          <w:b w:val="0"/>
          <w:w w:val="100"/>
          <w:sz w:val="32"/>
          <w:lang w:val="en-US" w:eastAsia="zh-CN"/>
        </w:rPr>
        <w:t>教职工人数增加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b w:val="0"/>
          <w:w w:val="100"/>
          <w:sz w:val="32"/>
          <w:lang w:val="en-US" w:eastAsia="zh-CN"/>
        </w:rPr>
        <w:t>社保费用增加，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>故导致收支比去年增加。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1890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1890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出1785万元，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94.44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5.56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年相比，一般公共预算收支预算增加</w:t>
      </w:r>
      <w:r>
        <w:rPr>
          <w:rFonts w:hint="eastAsia" w:ascii="仿宋_GB2312" w:hAnsi="仿宋_GB2312" w:eastAsia="仿宋_GB2312" w:cs="Times New Roman"/>
          <w:b w:val="0"/>
          <w:w w:val="100"/>
          <w:sz w:val="32"/>
          <w:lang w:val="en-US" w:eastAsia="zh-CN"/>
        </w:rPr>
        <w:t>207.5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Times New Roman"/>
          <w:b w:val="0"/>
          <w:w w:val="100"/>
          <w:sz w:val="32"/>
          <w:lang w:val="en-US" w:eastAsia="zh-CN"/>
        </w:rPr>
        <w:t>12.33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>因在职人员薪级增加，</w:t>
      </w:r>
      <w:r>
        <w:rPr>
          <w:rFonts w:hint="eastAsia" w:ascii="仿宋_GB2312" w:hAnsi="仿宋_GB2312" w:eastAsia="仿宋_GB2312"/>
          <w:b w:val="0"/>
          <w:w w:val="100"/>
          <w:sz w:val="32"/>
          <w:lang w:val="en-US" w:eastAsia="zh-CN"/>
        </w:rPr>
        <w:t>教职工人数增加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b w:val="0"/>
          <w:w w:val="100"/>
          <w:sz w:val="32"/>
          <w:lang w:val="en-US" w:eastAsia="zh-CN"/>
        </w:rPr>
        <w:t>社保费用增加，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>故导致收支比去年增加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政府性基金收支预算与去年持平；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与去年持平。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81.59</w:t>
      </w:r>
      <w:r>
        <w:rPr>
          <w:rFonts w:hint="eastAsia" w:ascii="仿宋_GB2312" w:hAnsi="仿宋_GB2312" w:eastAsia="仿宋_GB2312" w:cs="仿宋_GB2312"/>
          <w:sz w:val="32"/>
          <w:szCs w:val="32"/>
        </w:rPr>
        <w:t>%;社会保障和就业支出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7.94</w:t>
      </w:r>
      <w:r>
        <w:rPr>
          <w:rFonts w:hint="eastAsia" w:ascii="仿宋_GB2312" w:hAnsi="仿宋_GB2312" w:eastAsia="仿宋_GB2312" w:cs="仿宋_GB2312"/>
          <w:sz w:val="32"/>
          <w:szCs w:val="32"/>
        </w:rPr>
        <w:t>%;卫生健康支出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2.80</w:t>
      </w:r>
      <w:r>
        <w:rPr>
          <w:rFonts w:hint="eastAsia" w:ascii="仿宋_GB2312" w:hAnsi="仿宋_GB2312" w:eastAsia="仿宋_GB2312" w:cs="仿宋_GB2312"/>
          <w:sz w:val="32"/>
          <w:szCs w:val="32"/>
        </w:rPr>
        <w:t>%;住房保障支出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7.67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1745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40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2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我部门没有政府性基金收支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"/>
          <w:sz w:val="32"/>
          <w:szCs w:val="32"/>
        </w:rPr>
        <w:t>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我部门没有国有资本经营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预算，故未编列。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1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拨款105万元（含中央省提前告知转移支付资金0万元）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E4F7C80"/>
    <w:rsid w:val="0E7E3CC8"/>
    <w:rsid w:val="10A37D41"/>
    <w:rsid w:val="10C40D90"/>
    <w:rsid w:val="11C20769"/>
    <w:rsid w:val="13426597"/>
    <w:rsid w:val="15787ABD"/>
    <w:rsid w:val="18575207"/>
    <w:rsid w:val="19117367"/>
    <w:rsid w:val="1934019F"/>
    <w:rsid w:val="1BAF7FB0"/>
    <w:rsid w:val="1DEF2253"/>
    <w:rsid w:val="2083524C"/>
    <w:rsid w:val="22B814DB"/>
    <w:rsid w:val="22F6534C"/>
    <w:rsid w:val="23673F12"/>
    <w:rsid w:val="24B94F4B"/>
    <w:rsid w:val="26110753"/>
    <w:rsid w:val="2967011C"/>
    <w:rsid w:val="2C6C38DF"/>
    <w:rsid w:val="35B8313B"/>
    <w:rsid w:val="37E8117F"/>
    <w:rsid w:val="38C6627D"/>
    <w:rsid w:val="3D347D63"/>
    <w:rsid w:val="3F6525B0"/>
    <w:rsid w:val="450E5498"/>
    <w:rsid w:val="464755A5"/>
    <w:rsid w:val="4D924EB8"/>
    <w:rsid w:val="4E465DE4"/>
    <w:rsid w:val="4E9F2F14"/>
    <w:rsid w:val="531D3476"/>
    <w:rsid w:val="54CF69F2"/>
    <w:rsid w:val="56DA0230"/>
    <w:rsid w:val="592D1F39"/>
    <w:rsid w:val="62CB71DD"/>
    <w:rsid w:val="651421FF"/>
    <w:rsid w:val="68595EE4"/>
    <w:rsid w:val="691C6622"/>
    <w:rsid w:val="693410C2"/>
    <w:rsid w:val="6A90072A"/>
    <w:rsid w:val="6CB1600F"/>
    <w:rsid w:val="6FA741D1"/>
    <w:rsid w:val="73010738"/>
    <w:rsid w:val="75AB2CB8"/>
    <w:rsid w:val="776B3F01"/>
    <w:rsid w:val="79933E56"/>
    <w:rsid w:val="7F9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2024-03-05T08:03:50Z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89CFD529B80A400687FF1170C6180916</vt:lpwstr>
  </property>
</Properties>
</file>