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华文仿宋" w:hAnsi="华文仿宋" w:eastAsia="华文仿宋" w:cs="华文仿宋"/>
          <w:b/>
          <w:bCs/>
          <w:sz w:val="72"/>
          <w:szCs w:val="72"/>
        </w:rPr>
      </w:pP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2024年度</w:t>
      </w:r>
    </w:p>
    <w:p>
      <w:pPr>
        <w:spacing w:line="360" w:lineRule="auto"/>
        <w:jc w:val="center"/>
        <w:rPr>
          <w:rFonts w:ascii="宋体" w:hAnsi="宋体" w:cs="宋体"/>
          <w:sz w:val="72"/>
          <w:szCs w:val="72"/>
        </w:rPr>
      </w:pPr>
      <w:r>
        <w:rPr>
          <w:rFonts w:hint="eastAsia" w:ascii="宋体" w:hAnsi="宋体" w:cs="宋体"/>
          <w:sz w:val="72"/>
          <w:szCs w:val="72"/>
        </w:rPr>
        <w:t>部门预算公开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72"/>
          <w:szCs w:val="72"/>
        </w:rPr>
      </w:pPr>
    </w:p>
    <w:p>
      <w:pPr>
        <w:spacing w:line="580" w:lineRule="atLeast"/>
        <w:jc w:val="center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eastAsia="长城小标宋体"/>
          <w:b/>
          <w:bCs/>
          <w:sz w:val="44"/>
          <w:szCs w:val="44"/>
        </w:rPr>
      </w:pPr>
    </w:p>
    <w:p>
      <w:pPr>
        <w:spacing w:line="720" w:lineRule="exact"/>
        <w:jc w:val="center"/>
        <w:rPr>
          <w:rFonts w:hint="eastAsia"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漯河市召陵区后谢镇谢庄小学</w:t>
      </w:r>
    </w:p>
    <w:p>
      <w:pPr>
        <w:spacing w:line="720" w:lineRule="exact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sz w:val="36"/>
          <w:szCs w:val="36"/>
        </w:rPr>
        <w:t>2024年3月4日</w:t>
      </w: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rPr>
          <w:rFonts w:eastAsia="长城小标宋体"/>
          <w:b/>
          <w:bCs/>
          <w:sz w:val="36"/>
          <w:szCs w:val="36"/>
        </w:rPr>
      </w:pPr>
    </w:p>
    <w:p>
      <w:pPr>
        <w:spacing w:line="720" w:lineRule="exact"/>
        <w:jc w:val="center"/>
        <w:rPr>
          <w:rFonts w:hint="eastAsia"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漯河市召陵区后谢镇谢庄小学</w:t>
      </w:r>
    </w:p>
    <w:p>
      <w:pPr>
        <w:spacing w:line="72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2024年度部门预算公开目录</w:t>
      </w:r>
    </w:p>
    <w:p>
      <w:pPr>
        <w:spacing w:line="360" w:lineRule="auto"/>
        <w:jc w:val="center"/>
        <w:rPr>
          <w:rFonts w:ascii="仿宋" w:hAnsi="仿宋" w:eastAsia="仿宋" w:cs="仿宋"/>
          <w:b/>
          <w:sz w:val="44"/>
          <w:szCs w:val="44"/>
        </w:rPr>
      </w:pP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一 、部门基本情况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（一）部门主要职责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（二）部门机构设置情况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（三）部门人员构成情况</w:t>
      </w:r>
    </w:p>
    <w:p>
      <w:pPr>
        <w:spacing w:line="360" w:lineRule="auto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>二、部门预算情况说明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（一）部门收支预算总体情况说明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（二）部门收入预算总体情况说明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（三）部门支出预算总体情况说明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（四）财政拨款收支预算总体情况说明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（五）一般公共预算支出情况说明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（六）一般公共预算基本支出情况说明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（七）一般公共预算“三公”经费支出预算情况说明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（十一）其他重要事项的情况说明</w:t>
      </w:r>
    </w:p>
    <w:p>
      <w:pPr>
        <w:spacing w:line="360" w:lineRule="auto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三、 名词解释</w:t>
      </w:r>
    </w:p>
    <w:p>
      <w:pPr>
        <w:spacing w:line="360" w:lineRule="auto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附件：2024年度部门预算公开表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1、2024年部门收支总体情况表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2、2024年部门收入总体情况表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3、2024年部门支出总体情况表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4、2024年财政拨款收支总体情况表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5、2024年一般公共预算支出情况表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6、2024年一般公共预算基本支出表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7、2024年支出经济分类汇总表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8、2024年一般公共预算“三公”经费支出情况表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9、2024年政府性基金预算支出情况表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10、2024年项目支出表</w:t>
      </w:r>
    </w:p>
    <w:p>
      <w:pPr>
        <w:tabs>
          <w:tab w:val="left" w:pos="1844"/>
        </w:tabs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11、部门（单位）整体绩效目标表</w:t>
      </w:r>
    </w:p>
    <w:p>
      <w:pPr>
        <w:spacing w:line="580" w:lineRule="atLeast"/>
        <w:ind w:firstLine="1280" w:firstLineChars="400"/>
        <w:jc w:val="left"/>
        <w:rPr>
          <w:rFonts w:ascii="仿宋_GB2312" w:hAnsi="楷体_GB2312" w:eastAsia="仿宋_GB2312"/>
          <w:bCs/>
          <w:sz w:val="32"/>
          <w:szCs w:val="32"/>
        </w:rPr>
      </w:pPr>
      <w:r>
        <w:rPr>
          <w:rFonts w:hint="eastAsia" w:ascii="仿宋_GB2312" w:hAnsi="楷体_GB2312" w:eastAsia="仿宋_GB2312"/>
          <w:bCs/>
          <w:sz w:val="32"/>
          <w:szCs w:val="32"/>
        </w:rPr>
        <w:t>12、2024年部门预算项目绩效目标汇总表</w:t>
      </w:r>
    </w:p>
    <w:p>
      <w:pPr>
        <w:spacing w:line="580" w:lineRule="atLeast"/>
        <w:ind w:firstLine="1440" w:firstLineChars="45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0" w:firstLineChars="200"/>
        <w:rPr>
          <w:rFonts w:ascii="仿宋_GB2312" w:hAnsi="楷体_GB2312" w:eastAsia="仿宋_GB2312"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580" w:lineRule="atLeast"/>
        <w:ind w:firstLine="643" w:firstLineChars="200"/>
        <w:rPr>
          <w:rFonts w:ascii="仿宋_GB2312" w:hAnsi="楷体_GB2312" w:eastAsia="仿宋_GB2312"/>
          <w:b/>
          <w:bCs/>
          <w:sz w:val="32"/>
          <w:szCs w:val="32"/>
        </w:rPr>
      </w:pPr>
    </w:p>
    <w:p>
      <w:pPr>
        <w:spacing w:line="360" w:lineRule="auto"/>
        <w:rPr>
          <w:rFonts w:ascii="仿宋" w:hAnsi="仿宋" w:eastAsia="仿宋" w:cs="仿宋"/>
          <w:b/>
          <w:bCs/>
          <w:color w:val="666666"/>
          <w:kern w:val="0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一、部门基本情况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（一）部门主要职责：</w:t>
      </w:r>
      <w:r>
        <w:rPr>
          <w:rFonts w:hint="eastAsia" w:ascii="仿宋_GB2312" w:hAnsi="仿宋_GB2312" w:eastAsia="仿宋_GB2312" w:cs="仿宋_GB2312"/>
          <w:sz w:val="32"/>
          <w:szCs w:val="32"/>
        </w:rPr>
        <w:t>漯河市召陵区后谢镇谢庄小学属于漯河市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教育局直属分属举办的公办小学。主要职责是实施辖区内小学义务教育，促进基础教育发展。</w:t>
      </w:r>
    </w:p>
    <w:p>
      <w:pPr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（二）部门机构设置情况：漯河市召陵区后谢镇谢庄小学属于一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级预算单位，下设 0 个内设部门。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（三）部门人员构成情况：</w:t>
      </w:r>
      <w:r>
        <w:rPr>
          <w:rFonts w:hint="eastAsia" w:ascii="仿宋_GB2312" w:hAnsi="仿宋_GB2312" w:eastAsia="仿宋_GB2312" w:cs="仿宋_GB2312"/>
          <w:sz w:val="32"/>
          <w:szCs w:val="32"/>
        </w:rPr>
        <w:t>截至2023年12月，漯河市召陵区后谢镇谢庄小学实有27人。其中：在职人员12人，退休人员15人。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二、部门预算情况说明</w:t>
      </w:r>
    </w:p>
    <w:p>
      <w:pPr>
        <w:widowControl/>
        <w:spacing w:line="360" w:lineRule="auto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（一）部门收支预算总体情况说明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2024年收入总计273万元，支出总计273万元，与去年相比，收、支总计各增加21.1万元，增长8.4%。主要原因：因2024年在职及退休人员调资支出较去年增加。 </w:t>
      </w:r>
    </w:p>
    <w:p>
      <w:pPr>
        <w:widowControl/>
        <w:spacing w:line="360" w:lineRule="auto"/>
        <w:ind w:firstLine="643" w:firstLineChars="200"/>
        <w:rPr>
          <w:rFonts w:hint="eastAsia"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（二）部门收入预算总体情况说明</w:t>
      </w:r>
    </w:p>
    <w:p>
      <w:pPr>
        <w:widowControl/>
        <w:spacing w:line="360" w:lineRule="auto"/>
        <w:ind w:firstLine="627" w:firstLineChars="19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2024年收入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预算273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一般公共预算收入273万元（财政拨款收入273万元，提前告知转移支付0万元，结转结余0万元，非税收入0万元）；政府性基金预算收入0万元（政府性基金收入0万元，提前告知转移支付0万元，结转结余0万元）；国有资本经营预算收入0万元（国有资本经营收入0万元，提前告知转移支付0万元，结转结余0万元）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color w:val="2D2D2D"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（三）部门支出预算总体情况说明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2024年支出预算</w:t>
      </w:r>
      <w:r>
        <w:rPr>
          <w:rFonts w:hint="eastAsia" w:ascii="仿宋_GB2312" w:hAnsi="仿宋_GB2312" w:eastAsia="仿宋_GB2312" w:cs="仿宋_GB2312"/>
          <w:sz w:val="32"/>
          <w:szCs w:val="32"/>
        </w:rPr>
        <w:t>273</w:t>
      </w:r>
      <w:r>
        <w:rPr>
          <w:rFonts w:hint="eastAsia" w:ascii="仿宋" w:hAnsi="仿宋" w:eastAsia="仿宋" w:cs="仿宋"/>
          <w:sz w:val="32"/>
          <w:szCs w:val="32"/>
        </w:rPr>
        <w:t>万元，其中：基本支</w:t>
      </w:r>
      <w:r>
        <w:rPr>
          <w:rFonts w:hint="eastAsia" w:ascii="仿宋_GB2312" w:hAnsi="仿宋_GB2312" w:eastAsia="仿宋_GB2312" w:cs="仿宋_GB2312"/>
          <w:sz w:val="32"/>
          <w:szCs w:val="32"/>
        </w:rPr>
        <w:t>出273万元，</w:t>
      </w:r>
      <w:r>
        <w:rPr>
          <w:rFonts w:hint="eastAsia" w:ascii="仿宋" w:hAnsi="仿宋" w:eastAsia="仿宋" w:cs="仿宋"/>
          <w:sz w:val="32"/>
          <w:szCs w:val="32"/>
        </w:rPr>
        <w:t>占100%；项目支出</w:t>
      </w:r>
      <w:r>
        <w:rPr>
          <w:rFonts w:hint="eastAsia" w:ascii="仿宋_GB2312" w:hAnsi="仿宋_GB2312" w:eastAsia="仿宋_GB2312" w:cs="仿宋_GB2312"/>
          <w:sz w:val="32"/>
          <w:szCs w:val="32"/>
        </w:rPr>
        <w:t>0万元，</w:t>
      </w:r>
      <w:r>
        <w:rPr>
          <w:rFonts w:hint="eastAsia" w:ascii="仿宋" w:hAnsi="仿宋" w:eastAsia="仿宋" w:cs="仿宋"/>
          <w:sz w:val="32"/>
          <w:szCs w:val="32"/>
        </w:rPr>
        <w:t>占0%。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（四）财政拨款收支预算总体情况说明</w:t>
      </w:r>
    </w:p>
    <w:p>
      <w:pPr>
        <w:widowControl/>
        <w:spacing w:line="360" w:lineRule="auto"/>
        <w:ind w:firstLine="640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收支预算273万元，政府性基金收支预算0万元，国有资本经营收支预算0万元。与去年相比，一般公共预算收支预算增加21.1万元，增加8.4%，主要原因：因2024年在职及退休人员调资支出较去年增加；政府性基金收支预算较去年增加0万元，</w:t>
      </w:r>
      <w:r>
        <w:rPr>
          <w:rFonts w:hint="eastAsia" w:ascii="仿宋" w:hAnsi="仿宋" w:eastAsia="仿宋" w:cs="仿宋"/>
          <w:sz w:val="32"/>
          <w:szCs w:val="32"/>
        </w:rPr>
        <w:t>增长0%；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国有资本经营收支预算较去年增加0万元，增长0%。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（五）一般公共预算支出情况说明</w:t>
      </w:r>
    </w:p>
    <w:p>
      <w:pPr>
        <w:widowControl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支出年初预算为273万元。主要用于以下方面：小学教育支出182万元，占年初预算的66.7%；事业单位离退休支出44万元，占年初预算的16.1%；机关事业单位基本养老保险缴费支出17万元，占年初预算的6.3%；其他社会保障和就业支出2万元，占年初预算的0.7%；事业单位医疗支出7万元，占年初预算的2.5%；住房保障支出21万元，占年初预算的7.7%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（六）一般公共预算基本支出情况说明</w:t>
      </w:r>
    </w:p>
    <w:p>
      <w:pPr>
        <w:widowControl/>
        <w:spacing w:line="360" w:lineRule="auto"/>
        <w:ind w:firstLine="640" w:firstLineChars="200"/>
        <w:rPr>
          <w:rFonts w:ascii="仿宋_GB2312" w:hAnsi="宋体" w:eastAsia="仿宋_GB2312"/>
          <w:kern w:val="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2024年一般公共预算基本支出</w:t>
      </w:r>
      <w:r>
        <w:rPr>
          <w:rFonts w:hint="eastAsia" w:ascii="仿宋" w:hAnsi="仿宋" w:eastAsia="仿宋" w:cs="仿宋"/>
          <w:sz w:val="32"/>
          <w:szCs w:val="32"/>
        </w:rPr>
        <w:t>273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宋体" w:eastAsia="仿宋_GB2312"/>
          <w:kern w:val="0"/>
          <w:sz w:val="32"/>
        </w:rPr>
        <w:t>其中：人员经费273万元，主要包括：基本工资、津贴补贴、奖金、伙食补助费、绩效工资、机关事业单位基本养老保险缴费、职业年金缴费、医疗保险缴费、其他社会保障缴费、住房公积金、医疗费、其他工资福利支出、离休费、退休费、助学金、奖励金、其他对个人和家庭的补助等支出；公用经费0万元，主要包括：办公费、印刷费、咨询费、手续费、水费、电费、邮电费、取暖费、物业管理费、差旅费、因公出国（境）费、维修（护）费、租赁费、会议费、培训费、公务接待费、专用材料费、专用燃料费、劳务费、委托业务费、工会经费、福利费、公务用车运行维护费、其他交通费用、税金及附加费用、其他商品和服务支出等支出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（七）一般公共预算“三公”经费支出情况说明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2024年“三公”经费预算为0万元，与去年持平。原因为：按照上级有关文件要求，我校严控三公经费支出，故未安排三公经费预算。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具体支出情况如下：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（1）因公出国（境）费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0万元，与去年持平。原因为：我校不存在因公出国出境事务，故未安排此项预算。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（2）公务用车购置及运行费</w:t>
      </w:r>
      <w:r>
        <w:rPr>
          <w:rFonts w:hint="eastAsia" w:ascii="仿宋" w:hAnsi="仿宋" w:eastAsia="仿宋" w:cs="仿宋"/>
          <w:sz w:val="32"/>
          <w:szCs w:val="32"/>
        </w:rPr>
        <w:t>0万元，其中，公务用车购置费0万元，与去年持平；公务用车运行维护费0万元，与去年持平。原因为：按照上级有关文件要求，我区严控公务用车购置及运行费支出，故未安排此项预算。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（3）公务接待费</w:t>
      </w:r>
      <w:r>
        <w:rPr>
          <w:rFonts w:hint="eastAsia" w:ascii="仿宋" w:hAnsi="仿宋" w:eastAsia="仿宋" w:cs="仿宋"/>
          <w:sz w:val="32"/>
          <w:szCs w:val="32"/>
        </w:rPr>
        <w:t>0万元，与去年持平。原因为：我单位不存在公务接待事务，故未安排此项预算。</w:t>
      </w:r>
    </w:p>
    <w:p>
      <w:pPr>
        <w:widowControl/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（八）政府性基金预算情况说明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我部门没有政府性基金预算收支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60" w:lineRule="auto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（九）国有资本经营预算情况说明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666666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我部门没有国有资本预算收支</w:t>
      </w:r>
      <w:r>
        <w:rPr>
          <w:rFonts w:hint="eastAsia" w:ascii="仿宋_GB2312" w:hAnsi="仿宋_GB2312" w:eastAsia="仿宋_GB2312" w:cs="仿宋_GB2312"/>
          <w:sz w:val="32"/>
          <w:szCs w:val="32"/>
        </w:rPr>
        <w:t>，故未编列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spacing w:line="360" w:lineRule="auto"/>
        <w:ind w:firstLine="643" w:firstLineChars="200"/>
        <w:rPr>
          <w:rFonts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（十）社会保险基金预算情况说明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我部门没有社会保险基金预算收支，故未编列。</w:t>
      </w:r>
    </w:p>
    <w:p>
      <w:pPr>
        <w:spacing w:line="360" w:lineRule="auto"/>
        <w:ind w:firstLine="643" w:firstLineChars="200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（十一）其他重要事项的情况说明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2D2D2D"/>
          <w:kern w:val="0"/>
          <w:sz w:val="32"/>
          <w:szCs w:val="32"/>
          <w:highlight w:val="yellow"/>
        </w:rPr>
      </w:pPr>
      <w:r>
        <w:rPr>
          <w:rFonts w:hint="eastAsia" w:ascii="楷体" w:hAnsi="楷体" w:eastAsia="楷体" w:cs="楷体"/>
          <w:sz w:val="32"/>
          <w:szCs w:val="32"/>
        </w:rPr>
        <w:t>（1）运转类经费支出预算情况</w:t>
      </w:r>
    </w:p>
    <w:p>
      <w:pPr>
        <w:spacing w:line="360" w:lineRule="auto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我部门2024年机关运行经费支出预算为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万元，我单位无运转类经费。</w:t>
      </w:r>
      <w:r>
        <w:rPr>
          <w:rFonts w:hint="eastAsia" w:ascii="仿宋_GB2312" w:hAnsi="仿宋_GB2312" w:eastAsia="仿宋_GB2312" w:cs="仿宋_GB2312"/>
          <w:sz w:val="32"/>
          <w:szCs w:val="32"/>
        </w:rPr>
        <w:t>包括:办公及印刷费、邮电费、差旅费、会议费、培训费、维修费、水电费、劳务费、租赁费及其他费用等。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（2）政府采购支出预算情况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我部门2024年政府采购预算共安排0万元，其中：政府采购货物预算0万元（办公设备购置预算0万元、信息网络及软件购置0万元）、政府采购工程预算0万元、政府采购服务预算0万元。</w:t>
      </w:r>
    </w:p>
    <w:p>
      <w:pPr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  <w:shd w:val="clear" w:color="auto" w:fill="FFFF00"/>
        </w:rPr>
      </w:pPr>
      <w:r>
        <w:rPr>
          <w:rFonts w:hint="eastAsia" w:ascii="楷体" w:hAnsi="楷体" w:eastAsia="楷体" w:cs="楷体"/>
          <w:sz w:val="32"/>
          <w:szCs w:val="32"/>
        </w:rPr>
        <w:t>（3）重点项目预算的绩效目标等情况说明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2024年，我部门实现了单位整体绩效目标和项目绩效目标全覆盖。项目支出均按要求编制了绩效目标，从项目产出、项目效益、满意度等方面设置了绩效指标，综合反映项目预期完成的数量、实效、质量，预期达到的社会经济效益、可持续影响以及服务对象满意度等情况。我部门2024年实行绩效目标管理的项目共0个，涉及财政拨款0万元。</w:t>
      </w:r>
    </w:p>
    <w:p>
      <w:pPr>
        <w:spacing w:line="360" w:lineRule="auto"/>
        <w:ind w:firstLine="640"/>
        <w:rPr>
          <w:rFonts w:ascii="仿宋_GB2312" w:hAnsi="仿宋_GB2312" w:eastAsia="仿宋_GB2312" w:cs="仿宋_GB2312"/>
          <w:b/>
          <w:bCs/>
          <w:color w:val="FF0000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（4）国有资产占用情况说明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2023年末，我部门共有车辆0辆，其中：一般公务用车0辆、一般执法执勤用车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辆、特种专业技术用车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辆，其他用车0辆。其他用车主要是用于后勤服务。单价50万元以上通用设备0台（套），单位价值100万元以上专用设备</w:t>
      </w:r>
      <w:r>
        <w:rPr>
          <w:rFonts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台（套）。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（5）转移支付预算情况说明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我部门2024年无提前下达的转移支付项目。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三、名词解释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1、财政拨款收入：是指区级财政当年安排的资金，主要是以税收为主体的财政收入。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2、非税收入：是指各级政府及其所属部门和单位依法利用行政权力、政府信誉、国家资源、国有资产等除税收和政府债务收入以外的财政收入。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3、政府性基金收入：是指各级政府及其所属部门根据法律、行政法规规定向特定对象征收、收取或以其他方式筹集的、具有特定用途的资金。 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4、基本支出：是指为保障机构正常运转、完成日常工作任务所必需的开支，其内容包括人员经费和日常公用经费两部分。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5、项目支出：是指在基本支出之外，为完成特定的行政工作任务或事业发展目标所发生的支出。</w:t>
      </w:r>
    </w:p>
    <w:p>
      <w:pPr>
        <w:widowControl/>
        <w:kinsoku w:val="0"/>
        <w:overflowPunct w:val="0"/>
        <w:adjustRightInd w:val="0"/>
        <w:snapToGrid w:val="0"/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、“三公”经费：是指纳入区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等支出；公务接待费反映单位按规定开支的各类公务接待（含外宾接待）支出。</w:t>
      </w:r>
    </w:p>
    <w:p>
      <w:pPr>
        <w:spacing w:line="360" w:lineRule="auto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7、机关运行经费：是指为保障行政事业单位运行用于购买货物和服务的各项资金，主要包括：办公及印刷费、邮电费、差旅费、会议费、培训费、维修费、水电费、劳务费、租赁费及其他费用等。</w:t>
      </w:r>
    </w:p>
    <w:p>
      <w:pPr>
        <w:widowControl/>
        <w:kinsoku w:val="0"/>
        <w:overflowPunct w:val="0"/>
        <w:adjustRightInd w:val="0"/>
        <w:snapToGrid w:val="0"/>
        <w:spacing w:line="58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b/>
          <w:bCs/>
        </w:rPr>
      </w:pPr>
    </w:p>
    <w:sectPr>
      <w:footerReference r:id="rId3" w:type="default"/>
      <w:pgSz w:w="11906" w:h="16838"/>
      <w:pgMar w:top="1191" w:right="964" w:bottom="1191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2.05pt;width:5.3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erNUXQAAAAAwEAAA8AAAAAAAAAAQAgAAAAIgAAAGRycy9kb3ducmV2&#10;LnhtbFBLAQIUABQAAAAIAIdO4kClKt1CywEAAJYDAAAOAAAAAAAAAAEAIAAAAB8BAABkcnMvZTJv&#10;RG9jLnhtbFBLBQYAAAAABgAGAFkBAABc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5MzJhMGE3Mzg0NDA1MDA0YzQzMWI4ZGFiNWE0NzkifQ=="/>
  </w:docVars>
  <w:rsids>
    <w:rsidRoot w:val="0074774C"/>
    <w:rsid w:val="00370779"/>
    <w:rsid w:val="003E4C20"/>
    <w:rsid w:val="0074774C"/>
    <w:rsid w:val="00784AF9"/>
    <w:rsid w:val="008A071A"/>
    <w:rsid w:val="00A1449F"/>
    <w:rsid w:val="00A75CE0"/>
    <w:rsid w:val="00B307D4"/>
    <w:rsid w:val="00CE39EF"/>
    <w:rsid w:val="00DD5805"/>
    <w:rsid w:val="00E156AB"/>
    <w:rsid w:val="00F150D9"/>
    <w:rsid w:val="00FC3E1B"/>
    <w:rsid w:val="03D1333D"/>
    <w:rsid w:val="05F3123D"/>
    <w:rsid w:val="06EC66E0"/>
    <w:rsid w:val="0C0F0EA7"/>
    <w:rsid w:val="0E4F7C80"/>
    <w:rsid w:val="10A37D41"/>
    <w:rsid w:val="11C20769"/>
    <w:rsid w:val="13426597"/>
    <w:rsid w:val="15787ABD"/>
    <w:rsid w:val="18575207"/>
    <w:rsid w:val="1934019F"/>
    <w:rsid w:val="1BAF7FB0"/>
    <w:rsid w:val="1DEF2253"/>
    <w:rsid w:val="22B814DB"/>
    <w:rsid w:val="22F6534C"/>
    <w:rsid w:val="23673F12"/>
    <w:rsid w:val="23C71C0F"/>
    <w:rsid w:val="24612064"/>
    <w:rsid w:val="24B94F4B"/>
    <w:rsid w:val="2967011C"/>
    <w:rsid w:val="2C6C38DF"/>
    <w:rsid w:val="2CD60444"/>
    <w:rsid w:val="2EE0760C"/>
    <w:rsid w:val="340A1DD0"/>
    <w:rsid w:val="349F3EF8"/>
    <w:rsid w:val="35B8313B"/>
    <w:rsid w:val="37E8117F"/>
    <w:rsid w:val="38C6627D"/>
    <w:rsid w:val="3D347D63"/>
    <w:rsid w:val="3F6525B0"/>
    <w:rsid w:val="450E5498"/>
    <w:rsid w:val="49BE748D"/>
    <w:rsid w:val="4D924EB8"/>
    <w:rsid w:val="4E465DE4"/>
    <w:rsid w:val="4E9F2F14"/>
    <w:rsid w:val="531D3476"/>
    <w:rsid w:val="54CF69F2"/>
    <w:rsid w:val="56DA0230"/>
    <w:rsid w:val="592D1F39"/>
    <w:rsid w:val="59B2704B"/>
    <w:rsid w:val="5BD42B40"/>
    <w:rsid w:val="62CB71DD"/>
    <w:rsid w:val="651421FF"/>
    <w:rsid w:val="68595EE4"/>
    <w:rsid w:val="691C6622"/>
    <w:rsid w:val="693410C2"/>
    <w:rsid w:val="6A90072A"/>
    <w:rsid w:val="6FA741D1"/>
    <w:rsid w:val="70C51232"/>
    <w:rsid w:val="73010738"/>
    <w:rsid w:val="75AB2CB8"/>
    <w:rsid w:val="776B3F01"/>
    <w:rsid w:val="79933E5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497</Words>
  <Characters>2837</Characters>
  <Lines>23</Lines>
  <Paragraphs>6</Paragraphs>
  <TotalTime>2</TotalTime>
  <ScaleCrop>false</ScaleCrop>
  <LinksUpToDate>false</LinksUpToDate>
  <CharactersWithSpaces>3328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2024-03-07T19:08:00Z</dcterms:created>
  <dc:creator>HiWin11</dc:creator>
  <cp:lastModifiedBy>Hoze.</cp:lastModifiedBy>
  <dcterms:modified xsi:type="dcterms:W3CDTF">2024-03-08T01:00:37Z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D7DA31BEE0F145038CD57BABE4288FBB_12</vt:lpwstr>
  </property>
</Properties>
</file>