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漯河</w:t>
      </w:r>
      <w:r>
        <w:rPr>
          <w:rFonts w:hint="eastAsia" w:ascii="仿宋" w:hAnsi="仿宋" w:eastAsia="仿宋" w:cs="仿宋"/>
          <w:b w:val="0"/>
          <w:bCs w:val="0"/>
          <w:sz w:val="36"/>
          <w:szCs w:val="36"/>
        </w:rPr>
        <w:t>经济</w:t>
      </w:r>
      <w:r>
        <w:rPr>
          <w:rFonts w:hint="eastAsia" w:ascii="仿宋" w:hAnsi="仿宋" w:eastAsia="仿宋" w:cs="仿宋"/>
          <w:b w:val="0"/>
          <w:bCs w:val="0"/>
          <w:sz w:val="36"/>
          <w:szCs w:val="36"/>
          <w:lang w:eastAsia="zh-CN"/>
        </w:rPr>
        <w:t>技术</w:t>
      </w:r>
      <w:r>
        <w:rPr>
          <w:rFonts w:hint="eastAsia" w:ascii="仿宋" w:hAnsi="仿宋" w:eastAsia="仿宋" w:cs="仿宋"/>
          <w:b w:val="0"/>
          <w:bCs w:val="0"/>
          <w:sz w:val="36"/>
          <w:szCs w:val="36"/>
        </w:rPr>
        <w:t>开发区</w:t>
      </w:r>
      <w:r>
        <w:rPr>
          <w:rFonts w:hint="eastAsia" w:ascii="仿宋" w:hAnsi="仿宋" w:eastAsia="仿宋" w:cs="仿宋"/>
          <w:b w:val="0"/>
          <w:bCs w:val="0"/>
          <w:sz w:val="36"/>
          <w:szCs w:val="36"/>
          <w:lang w:val="en-US" w:eastAsia="zh-CN"/>
        </w:rPr>
        <w:t>审计和投资评审中心</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rPr>
      </w:pPr>
    </w:p>
    <w:p>
      <w:pPr>
        <w:shd w:val="clear" w:color="auto" w:fill="auto"/>
        <w:spacing w:line="720" w:lineRule="exact"/>
        <w:jc w:val="center"/>
        <w:rPr>
          <w:rFonts w:hint="default" w:ascii="宋体" w:hAnsi="宋体" w:eastAsia="宋体" w:cs="宋体"/>
          <w:b w:val="0"/>
          <w:bCs w:val="0"/>
          <w:sz w:val="44"/>
          <w:szCs w:val="44"/>
          <w:lang w:val="en-US" w:eastAsia="zh-CN"/>
        </w:rPr>
      </w:pPr>
      <w:r>
        <w:rPr>
          <w:rFonts w:hint="eastAsia" w:ascii="宋体" w:hAnsi="宋体" w:eastAsia="宋体" w:cs="宋体"/>
          <w:b w:val="0"/>
          <w:bCs w:val="0"/>
          <w:sz w:val="44"/>
          <w:szCs w:val="44"/>
        </w:rPr>
        <w:t>漯河经济</w:t>
      </w:r>
      <w:r>
        <w:rPr>
          <w:rFonts w:hint="eastAsia" w:ascii="宋体" w:hAnsi="宋体" w:eastAsia="宋体" w:cs="宋体"/>
          <w:b w:val="0"/>
          <w:bCs w:val="0"/>
          <w:sz w:val="44"/>
          <w:szCs w:val="44"/>
          <w:lang w:eastAsia="zh-CN"/>
        </w:rPr>
        <w:t>技术</w:t>
      </w:r>
      <w:r>
        <w:rPr>
          <w:rFonts w:hint="eastAsia" w:ascii="宋体" w:hAnsi="宋体" w:eastAsia="宋体" w:cs="宋体"/>
          <w:b w:val="0"/>
          <w:bCs w:val="0"/>
          <w:sz w:val="44"/>
          <w:szCs w:val="44"/>
        </w:rPr>
        <w:t>开发区</w:t>
      </w:r>
      <w:r>
        <w:rPr>
          <w:rFonts w:hint="eastAsia" w:ascii="宋体" w:hAnsi="宋体" w:cs="宋体"/>
          <w:b w:val="0"/>
          <w:bCs w:val="0"/>
          <w:sz w:val="44"/>
          <w:szCs w:val="44"/>
          <w:lang w:val="en-US" w:eastAsia="zh-CN"/>
        </w:rPr>
        <w:t>审计和投资评审中心</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漯河经济技术开发区</w:t>
      </w:r>
      <w:r>
        <w:rPr>
          <w:rFonts w:hint="eastAsia" w:ascii="仿宋_GB2312" w:hAnsi="仿宋_GB2312" w:eastAsia="仿宋_GB2312" w:cs="仿宋_GB2312"/>
          <w:sz w:val="32"/>
          <w:szCs w:val="32"/>
          <w:lang w:val="en-US" w:eastAsia="zh-CN"/>
        </w:rPr>
        <w:t>审计和投资评审中心</w:t>
      </w:r>
      <w:r>
        <w:rPr>
          <w:rFonts w:hint="eastAsia" w:ascii="仿宋_GB2312" w:hAnsi="仿宋_GB2312" w:eastAsia="仿宋_GB2312" w:cs="仿宋_GB2312"/>
          <w:sz w:val="32"/>
          <w:szCs w:val="32"/>
        </w:rPr>
        <w:t>主要负责</w:t>
      </w:r>
      <w:r>
        <w:rPr>
          <w:rFonts w:hint="eastAsia" w:ascii="仿宋_GB2312" w:hAnsi="仿宋_GB2312" w:eastAsia="仿宋_GB2312" w:cs="仿宋_GB2312"/>
          <w:sz w:val="32"/>
          <w:szCs w:val="32"/>
          <w:lang w:val="en-US" w:eastAsia="zh-CN"/>
        </w:rPr>
        <w:t>承担全区审计相关业务工作；承担经济责任审计相关工作，重点对区管领导干部及依法属于审计监督对象的其他单位主要负责人实施任前、任中及离任审计，对审计事项进行审计评价，提出审计建议；协助依法检查审计决定执行情况，协助督促纠正和处理审计发现的问题；协助对财经法律、法规、规章、政策和宏观调控措施执行情况、财政预算管理或国有资产管理使用等与区级财政收支有关的特定事项进行专项审计；承担财政投资项目预算、决算审核评估相关业务工作；承办党工委和管委会交办的其他事项。</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漯河经济技术开发区</w:t>
      </w:r>
      <w:r>
        <w:rPr>
          <w:rFonts w:hint="eastAsia" w:ascii="仿宋_GB2312" w:hAnsi="仿宋_GB2312" w:eastAsia="仿宋_GB2312" w:cs="仿宋_GB2312"/>
          <w:sz w:val="32"/>
          <w:szCs w:val="32"/>
          <w:lang w:val="en-US" w:eastAsia="zh-CN"/>
        </w:rPr>
        <w:t>审计和投资评审中心为漯河经济技术开发区党工委和管委会所属公益一类事业单位，</w:t>
      </w:r>
      <w:r>
        <w:rPr>
          <w:rFonts w:ascii="仿宋" w:hAnsi="仿宋" w:eastAsia="仿宋" w:cs="仿宋"/>
          <w:color w:val="000000"/>
          <w:kern w:val="0"/>
          <w:sz w:val="31"/>
          <w:szCs w:val="31"/>
          <w:lang w:val="en-US" w:eastAsia="zh-CN" w:bidi="ar"/>
        </w:rPr>
        <w:t>下设0个内设部门</w:t>
      </w:r>
      <w:r>
        <w:rPr>
          <w:rFonts w:hint="eastAsia" w:ascii="仿宋" w:hAnsi="仿宋" w:eastAsia="仿宋" w:cs="仿宋"/>
          <w:color w:val="000000"/>
          <w:kern w:val="0"/>
          <w:sz w:val="31"/>
          <w:szCs w:val="31"/>
          <w:lang w:val="en-US" w:eastAsia="zh-CN" w:bidi="ar"/>
        </w:rPr>
        <w:t>。</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漯</w:t>
      </w:r>
      <w:r>
        <w:rPr>
          <w:rFonts w:hint="eastAsia" w:ascii="仿宋_GB2312" w:hAnsi="仿宋_GB2312" w:eastAsia="仿宋_GB2312" w:cs="仿宋_GB2312"/>
          <w:sz w:val="32"/>
          <w:szCs w:val="32"/>
          <w:lang w:eastAsia="zh-CN"/>
        </w:rPr>
        <w:t>河经济技术开发区</w:t>
      </w:r>
      <w:r>
        <w:rPr>
          <w:rFonts w:hint="eastAsia" w:ascii="仿宋_GB2312" w:hAnsi="仿宋_GB2312" w:eastAsia="仿宋_GB2312" w:cs="仿宋_GB2312"/>
          <w:sz w:val="32"/>
          <w:szCs w:val="32"/>
          <w:lang w:val="en-US" w:eastAsia="zh-CN"/>
        </w:rPr>
        <w:t>审计和投资评审中心</w:t>
      </w:r>
      <w:r>
        <w:rPr>
          <w:rFonts w:hint="eastAsia" w:ascii="仿宋_GB2312" w:hAnsi="仿宋_GB2312" w:eastAsia="仿宋_GB2312" w:cs="仿宋_GB2312"/>
          <w:sz w:val="32"/>
          <w:szCs w:val="32"/>
        </w:rPr>
        <w:t>实有</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人，退休人员0人。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auto"/>
          <w:sz w:val="32"/>
          <w:szCs w:val="32"/>
          <w:lang w:val="en-US" w:eastAsia="zh-CN"/>
        </w:rPr>
        <w:t>399</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color w:val="auto"/>
          <w:sz w:val="32"/>
          <w:szCs w:val="32"/>
          <w:lang w:val="en-US" w:eastAsia="zh-CN"/>
        </w:rPr>
        <w:t>399</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color w:val="auto"/>
          <w:sz w:val="32"/>
          <w:szCs w:val="32"/>
          <w:lang w:val="en-US" w:eastAsia="zh-CN"/>
        </w:rPr>
        <w:t>37.9</w:t>
      </w:r>
      <w:r>
        <w:rPr>
          <w:rFonts w:hint="eastAsia" w:ascii="仿宋_GB2312" w:hAnsi="仿宋_GB2312" w:eastAsia="仿宋_GB2312" w:cs="仿宋_GB2312"/>
          <w:sz w:val="32"/>
          <w:szCs w:val="32"/>
        </w:rPr>
        <w:t>万元，增长</w:t>
      </w:r>
      <w:r>
        <w:rPr>
          <w:rFonts w:hint="eastAsia" w:ascii="仿宋_GB2312" w:hAnsi="仿宋_GB2312" w:eastAsia="仿宋_GB2312" w:cs="仿宋_GB2312"/>
          <w:color w:val="auto"/>
          <w:sz w:val="32"/>
          <w:szCs w:val="32"/>
          <w:lang w:val="en-US" w:eastAsia="zh-CN"/>
        </w:rPr>
        <w:t>10.5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社保类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较去年增加，</w:t>
      </w:r>
      <w:r>
        <w:rPr>
          <w:rFonts w:hint="eastAsia" w:ascii="仿宋_GB2312" w:hAnsi="仿宋_GB2312" w:eastAsia="仿宋_GB2312" w:cs="仿宋_GB2312"/>
          <w:sz w:val="32"/>
          <w:szCs w:val="32"/>
          <w:lang w:val="en-US" w:eastAsia="zh-CN"/>
        </w:rPr>
        <w:t>二是增加委托业务费预算。</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r>
        <w:rPr>
          <w:rFonts w:hint="eastAsia" w:ascii="仿宋" w:hAnsi="仿宋" w:eastAsia="仿宋" w:cs="仿宋"/>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000000"/>
          <w:sz w:val="32"/>
          <w:szCs w:val="32"/>
          <w:shd w:val="clear" w:color="auto" w:fill="auto"/>
          <w:lang w:val="en-US" w:eastAsia="zh-CN"/>
        </w:rPr>
        <w:t>399</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sz w:val="32"/>
          <w:szCs w:val="32"/>
          <w:lang w:val="en-US" w:eastAsia="zh-CN"/>
        </w:rPr>
        <w:t>399</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出389万元，</w:t>
      </w:r>
      <w:r>
        <w:rPr>
          <w:rFonts w:hint="eastAsia" w:ascii="仿宋" w:hAnsi="仿宋" w:eastAsia="仿宋" w:cs="仿宋"/>
          <w:sz w:val="32"/>
          <w:szCs w:val="32"/>
        </w:rPr>
        <w:t>占</w:t>
      </w:r>
      <w:r>
        <w:rPr>
          <w:rFonts w:hint="eastAsia" w:ascii="仿宋" w:hAnsi="仿宋" w:eastAsia="仿宋" w:cs="仿宋"/>
          <w:sz w:val="32"/>
          <w:szCs w:val="32"/>
          <w:lang w:val="en-US" w:eastAsia="zh-CN"/>
        </w:rPr>
        <w:t>97.5</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2.5</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增加37.9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上升10.5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社保类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较去年增加，</w:t>
      </w:r>
      <w:r>
        <w:rPr>
          <w:rFonts w:hint="eastAsia" w:ascii="仿宋_GB2312" w:hAnsi="仿宋_GB2312" w:eastAsia="仿宋_GB2312" w:cs="仿宋_GB2312"/>
          <w:sz w:val="32"/>
          <w:szCs w:val="32"/>
          <w:lang w:val="en-US" w:eastAsia="zh-CN"/>
        </w:rPr>
        <w:t>二是增加委托业务费预算。</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val="en-US" w:eastAsia="zh-CN"/>
        </w:rPr>
        <w:t>335.5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84.1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 w:hAnsi="仿宋" w:eastAsia="仿宋" w:cs="仿宋"/>
          <w:sz w:val="32"/>
          <w:szCs w:val="32"/>
          <w:lang w:val="en-US" w:eastAsia="zh-CN"/>
        </w:rPr>
        <w:t>389</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366</w:t>
      </w:r>
      <w:r>
        <w:rPr>
          <w:rFonts w:hint="eastAsia" w:ascii="仿宋_GB2312" w:hAnsi="宋体" w:eastAsia="仿宋_GB2312"/>
          <w:kern w:val="0"/>
          <w:sz w:val="32"/>
        </w:rPr>
        <w:t>万元，主要包括：基本工资、津贴补贴、其他工资福利支出、</w:t>
      </w:r>
      <w:r>
        <w:rPr>
          <w:rFonts w:hint="eastAsia" w:ascii="仿宋_GB2312" w:hAnsi="宋体" w:eastAsia="仿宋_GB2312"/>
          <w:kern w:val="0"/>
          <w:sz w:val="32"/>
          <w:lang w:val="en-US" w:eastAsia="zh-CN"/>
        </w:rPr>
        <w:t>奖励金、</w:t>
      </w:r>
      <w:r>
        <w:rPr>
          <w:rFonts w:hint="eastAsia" w:ascii="仿宋_GB2312" w:hAnsi="宋体" w:eastAsia="仿宋_GB2312"/>
          <w:kern w:val="0"/>
          <w:sz w:val="32"/>
        </w:rPr>
        <w:t>绩效工资、机关事业单位基本养老保险缴费、其他社会保障缴费、</w:t>
      </w:r>
      <w:r>
        <w:rPr>
          <w:rFonts w:hint="eastAsia" w:ascii="仿宋_GB2312" w:hAnsi="宋体" w:eastAsia="仿宋_GB2312"/>
          <w:kern w:val="0"/>
          <w:sz w:val="32"/>
          <w:lang w:val="en-US" w:eastAsia="zh-CN"/>
        </w:rPr>
        <w:t>职工基本医疗保险缴费、公务员医疗补助缴费、</w:t>
      </w:r>
      <w:r>
        <w:rPr>
          <w:rFonts w:hint="eastAsia" w:ascii="仿宋_GB2312" w:hAnsi="宋体" w:eastAsia="仿宋_GB2312"/>
          <w:kern w:val="0"/>
          <w:sz w:val="32"/>
        </w:rPr>
        <w:t>住房公积金；公用经费</w:t>
      </w:r>
      <w:r>
        <w:rPr>
          <w:rFonts w:hint="eastAsia" w:ascii="仿宋_GB2312" w:hAnsi="宋体" w:eastAsia="仿宋_GB2312"/>
          <w:kern w:val="0"/>
          <w:sz w:val="32"/>
          <w:lang w:val="en-US" w:eastAsia="zh-CN"/>
        </w:rPr>
        <w:t>23</w:t>
      </w:r>
      <w:r>
        <w:rPr>
          <w:rFonts w:hint="eastAsia" w:ascii="仿宋_GB2312" w:hAnsi="宋体" w:eastAsia="仿宋_GB2312"/>
          <w:kern w:val="0"/>
          <w:sz w:val="32"/>
        </w:rPr>
        <w:t>万元，主要包括：办公费、印刷费、邮电费、差旅费、维修（护）费、劳务费、工会经费、福利费、其他交通费用、其他商品和服务支出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w:t>
      </w:r>
      <w:r>
        <w:rPr>
          <w:rFonts w:ascii="仿宋" w:hAnsi="仿宋" w:eastAsia="仿宋" w:cs="仿宋"/>
          <w:color w:val="000000"/>
          <w:kern w:val="0"/>
          <w:sz w:val="31"/>
          <w:szCs w:val="31"/>
          <w:lang w:val="en-US" w:eastAsia="zh-CN" w:bidi="ar"/>
        </w:rPr>
        <w:t>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w:t>
      </w:r>
      <w:r>
        <w:rPr>
          <w:rFonts w:hint="eastAsia" w:ascii="仿宋" w:hAnsi="仿宋" w:eastAsia="仿宋" w:cs="仿宋"/>
          <w:sz w:val="32"/>
          <w:szCs w:val="32"/>
          <w:lang w:val="en-US" w:eastAsia="zh-CN"/>
        </w:rPr>
        <w:t>国有资本经营</w:t>
      </w:r>
      <w:r>
        <w:rPr>
          <w:rFonts w:hint="eastAsia" w:ascii="仿宋" w:hAnsi="仿宋" w:eastAsia="仿宋" w:cs="仿宋"/>
          <w:sz w:val="32"/>
          <w:szCs w:val="32"/>
        </w:rPr>
        <w:t>预算收支</w:t>
      </w:r>
      <w:r>
        <w:rPr>
          <w:rFonts w:hint="eastAsia" w:ascii="仿宋" w:hAnsi="仿宋" w:eastAsia="仿宋" w:cs="仿宋"/>
          <w:sz w:val="32"/>
          <w:szCs w:val="32"/>
          <w:lang w:eastAsia="zh-CN"/>
        </w:rPr>
        <w:t>，</w:t>
      </w:r>
      <w:r>
        <w:rPr>
          <w:rFonts w:hint="eastAsia" w:ascii="仿宋" w:hAnsi="仿宋" w:eastAsia="仿宋" w:cs="仿宋"/>
          <w:sz w:val="32"/>
          <w:szCs w:val="32"/>
        </w:rPr>
        <w:t>故未编列。</w:t>
      </w:r>
      <w:r>
        <w:rPr>
          <w:rFonts w:hint="eastAsia" w:ascii="仿宋" w:hAnsi="仿宋" w:eastAsia="仿宋" w:cs="仿宋"/>
          <w:b/>
          <w:sz w:val="32"/>
          <w:szCs w:val="32"/>
        </w:rPr>
        <w:t xml:space="preserve"> </w:t>
      </w:r>
    </w:p>
    <w:p>
      <w:pPr>
        <w:keepNext w:val="0"/>
        <w:keepLines w:val="0"/>
        <w:pageBreakBefore w:val="0"/>
        <w:widowControl/>
        <w:numPr>
          <w:ilvl w:val="0"/>
          <w:numId w:val="1"/>
        </w:numPr>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社会保险基金预算情况说明</w:t>
      </w:r>
    </w:p>
    <w:p>
      <w:pPr>
        <w:keepNext w:val="0"/>
        <w:keepLines w:val="0"/>
        <w:pageBreakBefore w:val="0"/>
        <w:widowControl/>
        <w:numPr>
          <w:ilvl w:val="0"/>
          <w:numId w:val="0"/>
        </w:numPr>
        <w:shd w:val="clear" w:color="auto" w:fill="auto"/>
        <w:wordWrap/>
        <w:topLinePunct w:val="0"/>
        <w:autoSpaceDE/>
        <w:autoSpaceDN/>
        <w:bidi w:val="0"/>
        <w:spacing w:before="0" w:beforeLines="0" w:after="0" w:afterLines="0" w:line="360" w:lineRule="auto"/>
        <w:ind w:right="0" w:rightChars="0" w:firstLine="640"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default" w:ascii="仿宋_GB2312" w:hAnsi="仿宋_GB2312" w:eastAsia="仿宋_GB2312" w:cs="仿宋_GB2312"/>
          <w:b w:val="0"/>
          <w:bCs/>
          <w:sz w:val="32"/>
          <w:szCs w:val="32"/>
          <w:shd w:val="clear" w:color="auto" w:fill="auto"/>
          <w:lang w:val="en-US" w:eastAsia="zh-CN"/>
        </w:rPr>
      </w:pP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33</w:t>
      </w:r>
      <w:r>
        <w:rPr>
          <w:rFonts w:hint="eastAsia" w:ascii="仿宋" w:hAnsi="仿宋" w:eastAsia="仿宋" w:cs="仿宋"/>
          <w:sz w:val="32"/>
          <w:szCs w:val="32"/>
        </w:rPr>
        <w:t>万元，</w:t>
      </w:r>
      <w:r>
        <w:rPr>
          <w:rFonts w:hint="eastAsia" w:ascii="仿宋_GB2312" w:hAnsi="仿宋_GB2312" w:eastAsia="仿宋_GB2312" w:cs="仿宋_GB2312"/>
          <w:sz w:val="32"/>
          <w:szCs w:val="32"/>
        </w:rPr>
        <w:t>包括:</w:t>
      </w:r>
      <w:r>
        <w:rPr>
          <w:rFonts w:hint="eastAsia" w:ascii="仿宋_GB2312" w:hAnsi="宋体" w:eastAsia="仿宋_GB2312"/>
          <w:kern w:val="0"/>
          <w:sz w:val="32"/>
        </w:rPr>
        <w:t>办公费、印刷费、邮电费、差旅费、维修（护）费、劳务费、工会经费、福利费、其他交通费用、其他商品和服务支出</w:t>
      </w:r>
      <w:r>
        <w:rPr>
          <w:rFonts w:hint="eastAsia" w:ascii="仿宋_GB2312" w:hAnsi="宋体" w:eastAsia="仿宋_GB2312"/>
          <w:kern w:val="0"/>
          <w:sz w:val="32"/>
          <w:lang w:eastAsia="zh-CN"/>
        </w:rPr>
        <w:t>、</w:t>
      </w:r>
      <w:r>
        <w:rPr>
          <w:rFonts w:hint="eastAsia" w:ascii="仿宋_GB2312" w:hAnsi="宋体" w:eastAsia="仿宋_GB2312"/>
          <w:kern w:val="0"/>
          <w:sz w:val="32"/>
          <w:lang w:val="en-US" w:eastAsia="zh-CN"/>
        </w:rPr>
        <w:t>委托业务费</w:t>
      </w:r>
      <w:r>
        <w:rPr>
          <w:rFonts w:hint="eastAsia" w:ascii="仿宋_GB2312" w:hAnsi="仿宋_GB2312" w:eastAsia="仿宋_GB2312" w:cs="仿宋_GB2312"/>
          <w:sz w:val="32"/>
          <w:szCs w:val="32"/>
        </w:rPr>
        <w:t>。</w:t>
      </w:r>
      <w:r>
        <w:rPr>
          <w:rFonts w:hint="eastAsia" w:ascii="仿宋" w:hAnsi="仿宋" w:eastAsia="仿宋" w:cs="仿宋"/>
          <w:sz w:val="32"/>
          <w:szCs w:val="32"/>
        </w:rPr>
        <w:t>比</w:t>
      </w:r>
      <w:r>
        <w:rPr>
          <w:rFonts w:hint="eastAsia" w:ascii="仿宋" w:hAnsi="仿宋" w:eastAsia="仿宋" w:cs="仿宋"/>
          <w:sz w:val="32"/>
          <w:szCs w:val="32"/>
          <w:lang w:eastAsia="zh-CN"/>
        </w:rPr>
        <w:t>去</w:t>
      </w:r>
      <w:r>
        <w:rPr>
          <w:rFonts w:hint="eastAsia" w:ascii="仿宋" w:hAnsi="仿宋" w:eastAsia="仿宋" w:cs="仿宋"/>
          <w:sz w:val="32"/>
          <w:szCs w:val="32"/>
        </w:rPr>
        <w:t>年</w:t>
      </w:r>
      <w:r>
        <w:rPr>
          <w:rFonts w:hint="eastAsia" w:ascii="仿宋" w:hAnsi="仿宋" w:eastAsia="仿宋" w:cs="仿宋"/>
          <w:sz w:val="32"/>
          <w:szCs w:val="32"/>
          <w:lang w:val="en-US" w:eastAsia="zh-CN"/>
        </w:rPr>
        <w:t>增加9.1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增长38.08</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2024年较2023年增加委托业务费。</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w:t>
      </w:r>
      <w:r>
        <w:rPr>
          <w:rFonts w:hint="eastAsia" w:ascii="仿宋_GB2312" w:hAnsi="仿宋_GB2312" w:eastAsia="仿宋_GB2312" w:cs="仿宋_GB2312"/>
          <w:sz w:val="32"/>
          <w:szCs w:val="32"/>
          <w:highlight w:val="none"/>
          <w:lang w:val="en-US" w:eastAsia="zh-CN"/>
        </w:rPr>
        <w:t>拨款10万元（含中央省提前告知转移支付资金0万元）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负责管理的专项转移支付项目共有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项，主要是：</w:t>
      </w:r>
      <w:r>
        <w:rPr>
          <w:rFonts w:hint="eastAsia" w:ascii="仿宋" w:hAnsi="仿宋" w:eastAsia="仿宋" w:cs="仿宋"/>
          <w:sz w:val="32"/>
          <w:szCs w:val="32"/>
          <w:lang w:eastAsia="zh-CN"/>
        </w:rPr>
        <w:t>国有企业退休人员社会化管理补助支出</w:t>
      </w:r>
      <w:r>
        <w:rPr>
          <w:rFonts w:hint="eastAsia" w:ascii="仿宋" w:hAnsi="仿宋" w:eastAsia="仿宋" w:cs="仿宋"/>
          <w:sz w:val="32"/>
          <w:szCs w:val="32"/>
          <w:lang w:val="en-US" w:eastAsia="zh-CN"/>
        </w:rPr>
        <w:t>0万元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2F6D4"/>
    <w:multiLevelType w:val="singleLevel"/>
    <w:tmpl w:val="6472F6D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WM4NDVhMzg3YWIzMDBlZWY5NDg5ZjY4MDQ5Y2UifQ=="/>
  </w:docVars>
  <w:rsids>
    <w:rsidRoot w:val="00000000"/>
    <w:rsid w:val="00FC3E1B"/>
    <w:rsid w:val="05F3123D"/>
    <w:rsid w:val="06EC66E0"/>
    <w:rsid w:val="0E4F7C80"/>
    <w:rsid w:val="10A37D41"/>
    <w:rsid w:val="11C20769"/>
    <w:rsid w:val="13426597"/>
    <w:rsid w:val="14B8495D"/>
    <w:rsid w:val="15787ABD"/>
    <w:rsid w:val="18575207"/>
    <w:rsid w:val="186C662D"/>
    <w:rsid w:val="1934019F"/>
    <w:rsid w:val="1BAF7FB0"/>
    <w:rsid w:val="1DEF2253"/>
    <w:rsid w:val="22B814DB"/>
    <w:rsid w:val="22F6534C"/>
    <w:rsid w:val="23673F12"/>
    <w:rsid w:val="24B94F4B"/>
    <w:rsid w:val="252C52B6"/>
    <w:rsid w:val="2967011C"/>
    <w:rsid w:val="2C6C38DF"/>
    <w:rsid w:val="35B8313B"/>
    <w:rsid w:val="37E8117F"/>
    <w:rsid w:val="38C6627D"/>
    <w:rsid w:val="3D347D63"/>
    <w:rsid w:val="3F6525B0"/>
    <w:rsid w:val="450E5498"/>
    <w:rsid w:val="4D924EB8"/>
    <w:rsid w:val="4E465DE4"/>
    <w:rsid w:val="4E9F2F14"/>
    <w:rsid w:val="531D3476"/>
    <w:rsid w:val="54CF69F2"/>
    <w:rsid w:val="56DA0230"/>
    <w:rsid w:val="58DD3CC6"/>
    <w:rsid w:val="592D1F39"/>
    <w:rsid w:val="62CB71DD"/>
    <w:rsid w:val="648B325F"/>
    <w:rsid w:val="651421FF"/>
    <w:rsid w:val="67C0251D"/>
    <w:rsid w:val="68595EE4"/>
    <w:rsid w:val="691C6622"/>
    <w:rsid w:val="693410C2"/>
    <w:rsid w:val="6A90072A"/>
    <w:rsid w:val="6E001DC7"/>
    <w:rsid w:val="6FA741D1"/>
    <w:rsid w:val="6FE46931"/>
    <w:rsid w:val="73010738"/>
    <w:rsid w:val="75AB2CB8"/>
    <w:rsid w:val="776B3F01"/>
    <w:rsid w:val="79144124"/>
    <w:rsid w:val="79933E56"/>
    <w:rsid w:val="7F26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Administrator</cp:lastModifiedBy>
  <dcterms:modified xsi:type="dcterms:W3CDTF">2024-03-06T08:48:52Z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D7DA31BEE0F145038CD57BABE4288FBB_12</vt:lpwstr>
  </property>
</Properties>
</file>