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统计服务中心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统计服务中心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承担全区各项经济指标和社会发展统计监测、申报工作。协助做好经济形势分析预警。协助上级业务部门开展对口专业统计工作。承办党工委和管委会交办的其他事项。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漯河经济技术开发区统计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中心属于一级预算单位，下设0个内设部门。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年12月，漯河经济技术开发区统计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中心实有1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在职人员1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人，退休人员1人。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643.7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643.7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27.79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增加了全国第五次经济普查工作。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643.7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643.7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643.7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出510万元，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643.7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增长27.79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增加了全国第五次经济普查工作；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较去年增加0万元，增长0%。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643.7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558.7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86.79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3.73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6.99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479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31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我部门没有政府性基金预算收支，故未编列。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我部门没有国有资本经营预算收支，故未编列。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164.7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增加122.7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增长292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增加了第五次全国经济普查工作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4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拨款133.7万元（含中央省提前告知转移支付资金0万元）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1536FAA"/>
    <w:rsid w:val="05F3123D"/>
    <w:rsid w:val="06EC66E0"/>
    <w:rsid w:val="0E4F7C80"/>
    <w:rsid w:val="10A37D41"/>
    <w:rsid w:val="11C20769"/>
    <w:rsid w:val="13426597"/>
    <w:rsid w:val="14853B7C"/>
    <w:rsid w:val="15787ABD"/>
    <w:rsid w:val="18575207"/>
    <w:rsid w:val="1934019F"/>
    <w:rsid w:val="1BAF7FB0"/>
    <w:rsid w:val="1DEF2253"/>
    <w:rsid w:val="1E510695"/>
    <w:rsid w:val="22B814DB"/>
    <w:rsid w:val="22F6534C"/>
    <w:rsid w:val="23673F12"/>
    <w:rsid w:val="24B94F4B"/>
    <w:rsid w:val="271409BD"/>
    <w:rsid w:val="2967011C"/>
    <w:rsid w:val="2C6C38DF"/>
    <w:rsid w:val="30A853C0"/>
    <w:rsid w:val="30C821BB"/>
    <w:rsid w:val="35B8313B"/>
    <w:rsid w:val="37E8117F"/>
    <w:rsid w:val="38C6627D"/>
    <w:rsid w:val="3D347D63"/>
    <w:rsid w:val="3DD5344F"/>
    <w:rsid w:val="3F6525B0"/>
    <w:rsid w:val="450E5498"/>
    <w:rsid w:val="4D924EB8"/>
    <w:rsid w:val="4E465DE4"/>
    <w:rsid w:val="4E9F2F14"/>
    <w:rsid w:val="52774ABF"/>
    <w:rsid w:val="531D3476"/>
    <w:rsid w:val="54CF69F2"/>
    <w:rsid w:val="56DA0230"/>
    <w:rsid w:val="592D1F39"/>
    <w:rsid w:val="5F775A7B"/>
    <w:rsid w:val="62CB71DD"/>
    <w:rsid w:val="651421FF"/>
    <w:rsid w:val="68595EE4"/>
    <w:rsid w:val="691C6622"/>
    <w:rsid w:val="693410C2"/>
    <w:rsid w:val="6A90072A"/>
    <w:rsid w:val="6C70253D"/>
    <w:rsid w:val="6EFC4430"/>
    <w:rsid w:val="6FA741D1"/>
    <w:rsid w:val="73010738"/>
    <w:rsid w:val="75AB2CB8"/>
    <w:rsid w:val="75D83CD1"/>
    <w:rsid w:val="76B106BC"/>
    <w:rsid w:val="776B3F01"/>
    <w:rsid w:val="79933E56"/>
    <w:rsid w:val="7E4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2024-03-05T07:54:39Z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FB2E309BA32248C4BE4A07301BF3E4C8_13</vt:lpwstr>
  </property>
</Properties>
</file>