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2024年度</w:t>
      </w: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部门预算公开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spacing w:line="580" w:lineRule="atLeas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漯河经济技术开发区土地储备中心</w:t>
      </w: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2024年3月4日</w:t>
      </w: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漯河经济技术开发区土地储备中心</w:t>
      </w:r>
    </w:p>
    <w:p>
      <w:pPr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2024年度部门预算公开目录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 、部门基本情况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（三）部门人员构成情况</w:t>
      </w:r>
    </w:p>
    <w:p>
      <w:pPr>
        <w:spacing w:line="360" w:lineRule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二、部门预算情况说明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 名词解释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附件：2024年度部门预算公开表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1、2024年部门收支总体情况表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2、2024年部门收入总体情况表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7、2024年支出经济分类汇总表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8、2024年一般公共预算“三公”经费支出情况表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9、2024年政府性基金预算支出情况表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10、2024年项目支出表</w:t>
      </w:r>
    </w:p>
    <w:p>
      <w:pPr>
        <w:tabs>
          <w:tab w:val="left" w:pos="1844"/>
        </w:tabs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11、部门（单位）整体绩效目标表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12、2024年部门预算项目绩效目标汇总表</w:t>
      </w:r>
    </w:p>
    <w:p>
      <w:pPr>
        <w:spacing w:line="580" w:lineRule="atLeast"/>
        <w:ind w:firstLine="1440" w:firstLineChars="45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/>
          <w:sz w:val="32"/>
          <w:szCs w:val="32"/>
        </w:rPr>
        <w:t>漯河经济技术开发区土地储备中心共有办公室、土地科、工程科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hAnsi="仿宋_GB2312" w:eastAsia="仿宋_GB2312"/>
          <w:sz w:val="32"/>
          <w:szCs w:val="32"/>
        </w:rPr>
        <w:t>个科室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。主要负责盘活存量土地，促进土地资源优化配置和合理利用；区内土地收购、储备、管理；土地前期开发与预出让；土地收购资金筹措与管理。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</w:t>
      </w:r>
      <w:r>
        <w:rPr>
          <w:rFonts w:hint="eastAsia" w:ascii="仿宋_GB2312" w:hAnsi="仿宋_GB2312" w:eastAsia="仿宋_GB2312"/>
          <w:sz w:val="32"/>
          <w:szCs w:val="32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属于一级预算单位，下设0个内设部门。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截至2023年12月，漯河经济技术开发区</w:t>
      </w:r>
      <w:r>
        <w:rPr>
          <w:rFonts w:hint="eastAsia" w:ascii="仿宋_GB2312" w:hAnsi="仿宋_GB2312" w:eastAsia="仿宋_GB2312"/>
          <w:sz w:val="32"/>
          <w:szCs w:val="32"/>
        </w:rPr>
        <w:t>土地储备中心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实有12人。其中：在职人员11人，退休人员1人。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二、部门预算情况说明</w:t>
      </w:r>
    </w:p>
    <w:p>
      <w:pPr>
        <w:widowControl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2024年收入总计5505万元，支出总计5505万元，与去年相比，收、支总计各减少5045万元，减少47.8%。主要原因：因2024年缩减预算，减少开支，故导致收支比去年减少。 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预算5505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341万元（财政拨款收入341万元，提前告知转移支付0万元，结转结余0万元，非税收入0万元）；政府性基金预算收入5164万元（政府性基金收入5164万元，提前告知转移支付0万元，结转结余0万元）；国有资本经营预算收入0万元（国有资本经营收入0万元，提前告知转移支付0万元，结转结余0万元）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widowControl/>
        <w:spacing w:line="360" w:lineRule="auto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5505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</w:rPr>
        <w:t>出341万元，</w:t>
      </w:r>
      <w:r>
        <w:rPr>
          <w:rFonts w:hint="eastAsia" w:ascii="仿宋" w:hAnsi="仿宋" w:eastAsia="仿宋" w:cs="仿宋"/>
          <w:sz w:val="32"/>
          <w:szCs w:val="32"/>
        </w:rPr>
        <w:t>占6%；项目支出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5164万元，</w:t>
      </w:r>
      <w:r>
        <w:rPr>
          <w:rFonts w:hint="eastAsia" w:ascii="仿宋" w:hAnsi="仿宋" w:eastAsia="仿宋" w:cs="仿宋"/>
          <w:sz w:val="32"/>
          <w:szCs w:val="32"/>
        </w:rPr>
        <w:t>占94%。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收支预算341万元，政府性基金收支预算5164万元，国有资本经营收支预算0万元。与去年相比，一般公共预算收支预算增加17万元，增长5%，主要原因：因工资、人事及社保基数调整，据实增加；政府性基金收支预算较去年减少5062万元，</w:t>
      </w:r>
      <w:r>
        <w:rPr>
          <w:rFonts w:hint="eastAsia" w:ascii="仿宋" w:hAnsi="仿宋" w:eastAsia="仿宋" w:cs="仿宋"/>
          <w:sz w:val="32"/>
          <w:szCs w:val="32"/>
        </w:rPr>
        <w:t>减少49.5%，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主要原因为：因2024年缩减预算，减少开支，故导致收支比去年减少。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支出年初预算为341万元。主要用于以下方面：社会保障和就业支出25.5万元，占年初预算的7.48%;卫生健康支出10万元，占年初预算的2.93%;自然资源海洋气象等支出275.5万元，占年初预算的80.79%；住房保障支出30万元，占年初预算的8.8%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2024年一般公共预算基本支出</w:t>
      </w:r>
      <w:r>
        <w:rPr>
          <w:rFonts w:hint="eastAsia" w:ascii="仿宋" w:hAnsi="仿宋" w:eastAsia="仿宋" w:cs="仿宋"/>
          <w:sz w:val="32"/>
          <w:szCs w:val="32"/>
        </w:rPr>
        <w:t>341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323.5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17.5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2024年“三公”经费预算为0万元，与去年持平。原因为：按照上级有关文件要求，我区严控三公经费支出，故未安排三公经费预算。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0万元，与去年持平。原因为：我单位不存在因公出国出境事务，故未安排此项预算。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0万元，其中，公务用车购置费0万元，与去年持平；公务用车运行维护费0万元，与去年持平。原因为：按照上级有关文件要求，我区严控公务用车购置及运行费支出，故未安排此项预算。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0万元，与去年持平。原因为：我单位不存在公务接待事务，故未安排此项预算。</w:t>
      </w:r>
    </w:p>
    <w:p>
      <w:pPr>
        <w:widowControl/>
        <w:spacing w:line="360" w:lineRule="auto"/>
        <w:ind w:firstLine="630" w:firstLineChars="196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2024年政府性基金预算收入5164万元，政府性基金支出5164万元，与去年相比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减少5062万元，</w:t>
      </w:r>
      <w:r>
        <w:rPr>
          <w:rFonts w:hint="eastAsia" w:ascii="仿宋" w:hAnsi="仿宋" w:eastAsia="仿宋" w:cs="仿宋"/>
          <w:sz w:val="32"/>
          <w:szCs w:val="32"/>
        </w:rPr>
        <w:t>减少49.5%，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主要原因为：因2024年缩减预算，减少开支，故导致收支比去年减少。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我部门没有国有资本经营预算收支，故未编列。</w:t>
      </w:r>
    </w:p>
    <w:p>
      <w:pPr>
        <w:widowControl/>
        <w:spacing w:line="360" w:lineRule="auto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spacing w:line="360" w:lineRule="auto"/>
        <w:ind w:firstLine="630" w:firstLineChars="196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（十一）其他重要事项的情况说明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（1）运转类经费支出预算情况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我部门2024年机关运行经费支出预算为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（2）政府采购支出预算情况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我部门2024年政府采购预算共安排0万元，其中：政府采购货物预算0万元（办公设备购置预算0万元、信息网络及软件购置0万元）、政府采购工程预算0万元、政府采购服务预算0万元。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sz w:val="32"/>
          <w:szCs w:val="32"/>
        </w:rPr>
        <w:t>（3）重点项目预算的绩效目标等情况说明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拨款5164万元（含中央省提前告知转移支付资金0万元）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（4）国有资产占用情况说明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2023年末，我部门共有车辆0辆，其中：一般公务用车0辆、一般执法执勤用车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（5）转移支付预算情况说明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我部门负责管理的专项转移支付项目共有0项，主要是：</w:t>
      </w:r>
      <w:r>
        <w:rPr>
          <w:rFonts w:hint="eastAsia" w:ascii="仿宋" w:hAnsi="仿宋" w:eastAsia="仿宋" w:cs="仿宋"/>
          <w:sz w:val="32"/>
          <w:szCs w:val="32"/>
        </w:rPr>
        <w:t>国有企业退休人员社会化管理补助支出0万元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；我部门将按照《预算法》等有关规定，积极做好项目分配前期准备工作，在规定的时间内向财政部门提出资金分配意见，根据有关要求做好项目申报、公开、绩效等相关工作。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三、名词解释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5MzJhMGE3Mzg0NDA1MDA0YzQzMWI4ZGFiNWE0NzkifQ=="/>
  </w:docVars>
  <w:rsids>
    <w:rsidRoot w:val="00DD61A1"/>
    <w:rsid w:val="000E0CE0"/>
    <w:rsid w:val="00133862"/>
    <w:rsid w:val="00153B85"/>
    <w:rsid w:val="002566DE"/>
    <w:rsid w:val="004319C3"/>
    <w:rsid w:val="00473E29"/>
    <w:rsid w:val="006B5218"/>
    <w:rsid w:val="006D79F1"/>
    <w:rsid w:val="0070745E"/>
    <w:rsid w:val="007B2586"/>
    <w:rsid w:val="00DD61A1"/>
    <w:rsid w:val="00E9256C"/>
    <w:rsid w:val="00EB7FFC"/>
    <w:rsid w:val="00FC3E1B"/>
    <w:rsid w:val="00FD11FF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BAF7FB0"/>
    <w:rsid w:val="1DEF2253"/>
    <w:rsid w:val="1F436688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52302C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530</Words>
  <Characters>3022</Characters>
  <Lines>25</Lines>
  <Paragraphs>7</Paragraphs>
  <TotalTime>47</TotalTime>
  <ScaleCrop>false</ScaleCrop>
  <LinksUpToDate>false</LinksUpToDate>
  <CharactersWithSpaces>3545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2024-03-06T03:41:00Z</dcterms:created>
  <dc:creator>HiWin11</dc:creator>
  <cp:lastModifiedBy>Hoze.</cp:lastModifiedBy>
  <dcterms:modified xsi:type="dcterms:W3CDTF">2024-03-07T02:05:17Z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