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漯河经济技术开发区会计结算中心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漯河经济技术开发区会计结算中心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/>
          <w:sz w:val="32"/>
          <w:szCs w:val="32"/>
        </w:rPr>
        <w:t>漯河经济技术开发区会计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结算中心</w:t>
      </w:r>
      <w:r>
        <w:rPr>
          <w:rFonts w:hint="eastAsia" w:ascii="仿宋_GB2312" w:hAnsi="仿宋_GB2312" w:eastAsia="仿宋_GB2312"/>
          <w:sz w:val="32"/>
          <w:szCs w:val="32"/>
        </w:rPr>
        <w:t>为河南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漯河经济技术开发区会计结算中心</w:t>
      </w:r>
      <w:r>
        <w:rPr>
          <w:rFonts w:hint="eastAsia" w:ascii="仿宋_GB2312" w:hAnsi="仿宋_GB2312" w:eastAsia="仿宋_GB2312"/>
          <w:sz w:val="32"/>
          <w:szCs w:val="32"/>
        </w:rPr>
        <w:t>内设机构，主要职责有：负责管委会所属单位的日常会计核算、国有资产登记、票据领购和管理；负责各项资金的收付和结算工作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/>
          <w:sz w:val="32"/>
          <w:szCs w:val="32"/>
        </w:rPr>
        <w:t>漯河经济技术开发区会计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结算中心</w:t>
      </w:r>
      <w:r>
        <w:rPr>
          <w:rFonts w:hint="eastAsia" w:ascii="仿宋" w:hAnsi="仿宋" w:eastAsia="仿宋" w:cs="仿宋"/>
          <w:color w:val="2D2D2D"/>
          <w:kern w:val="0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>一级预算单位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，下设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0个内设部门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漯河经济技术开发区会计结算中心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6.58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2023年减少2人，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故导致收支比去年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出476万元，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6.58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2023年减少2人，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故导致收支比去年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降低。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79.62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6.72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4.41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9.242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446</w:t>
      </w:r>
      <w:r>
        <w:rPr>
          <w:rFonts w:hint="eastAsia" w:ascii="仿宋_GB2312" w:hAnsi="宋体" w:eastAsia="仿宋_GB2312"/>
          <w:kern w:val="0"/>
          <w:sz w:val="32"/>
        </w:rPr>
        <w:t>万元，主要包括：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绩效工资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奖励金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其他工资福利支出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基本工资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退休费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机关事业单位基本养老保险缴费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其他社会保障缴费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职工基本医疗保险缴费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公务员医疗补助缴费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</w:rPr>
        <w:t>住房公积金；公</w:t>
      </w:r>
      <w:r>
        <w:rPr>
          <w:rFonts w:hint="eastAsia" w:ascii="仿宋_GB2312" w:hAnsi="宋体" w:eastAsia="仿宋_GB2312" w:cs="Times New Roman"/>
          <w:kern w:val="0"/>
          <w:sz w:val="32"/>
        </w:rPr>
        <w:t>用</w:t>
      </w:r>
      <w:r>
        <w:rPr>
          <w:rFonts w:hint="eastAsia" w:ascii="仿宋_GB2312" w:hAnsi="宋体" w:eastAsia="仿宋_GB2312"/>
          <w:kern w:val="0"/>
          <w:sz w:val="32"/>
        </w:rPr>
        <w:t>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万元，主要包括：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其他交通费用、邮电费、工会经费、福利费、其他商品和服务支出、办公费、印刷费、劳务费、维修(护)费、差旅费</w:t>
      </w:r>
      <w:r>
        <w:rPr>
          <w:rFonts w:hint="eastAsia" w:ascii="仿宋_GB2312" w:hAnsi="宋体" w:eastAsia="仿宋_GB2312"/>
          <w:kern w:val="0"/>
          <w:sz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收支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我部门没有国有资本经营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预算收支</w:t>
      </w:r>
      <w:r>
        <w:rPr>
          <w:rFonts w:hint="eastAsia" w:ascii="仿宋" w:hAnsi="仿宋" w:eastAsia="仿宋" w:cs="仿宋"/>
          <w:sz w:val="32"/>
          <w:szCs w:val="32"/>
        </w:rPr>
        <w:t>，故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</w:t>
      </w:r>
      <w:r>
        <w:rPr>
          <w:rFonts w:hint="eastAsia" w:ascii="仿宋_GB2312" w:hAnsi="宋体" w:eastAsia="仿宋_GB2312" w:cs="Times New Roman"/>
          <w:kern w:val="0"/>
          <w:sz w:val="32"/>
          <w:highlight w:val="none"/>
          <w:lang w:eastAsia="zh-CN"/>
        </w:rPr>
        <w:t>其他交通费用、邮电费、工会经费、福利费、其他商品和服务支出、办公费、印刷费、劳务费、维修(护)费、差旅费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降低9.64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人员变动，导致公用经费有所降低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我部门没有项目预算收支，故未编列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1C20769"/>
    <w:rsid w:val="12D47F8E"/>
    <w:rsid w:val="13426597"/>
    <w:rsid w:val="15787ABD"/>
    <w:rsid w:val="183304C3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40E1228"/>
    <w:rsid w:val="450E5498"/>
    <w:rsid w:val="4D924EB8"/>
    <w:rsid w:val="4E465DE4"/>
    <w:rsid w:val="4E8E6A70"/>
    <w:rsid w:val="4E9F2F14"/>
    <w:rsid w:val="50904A17"/>
    <w:rsid w:val="531D3476"/>
    <w:rsid w:val="54CF69F2"/>
    <w:rsid w:val="56DA0230"/>
    <w:rsid w:val="592D1F39"/>
    <w:rsid w:val="62CB71DD"/>
    <w:rsid w:val="63C31C54"/>
    <w:rsid w:val="644B199A"/>
    <w:rsid w:val="651421FF"/>
    <w:rsid w:val="68595EE4"/>
    <w:rsid w:val="691C6622"/>
    <w:rsid w:val="693410C2"/>
    <w:rsid w:val="6A90072A"/>
    <w:rsid w:val="6FA741D1"/>
    <w:rsid w:val="73010738"/>
    <w:rsid w:val="75AB2CB8"/>
    <w:rsid w:val="762D67F3"/>
    <w:rsid w:val="776B3F01"/>
    <w:rsid w:val="79933E56"/>
    <w:rsid w:val="7D6A0B9A"/>
    <w:rsid w:val="7F0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