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漯河经济技术开发区城市公用事业服务中心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城市公用事业服务中心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城市公用事业服务中心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为漯河经济技术开发区党工委管委会所属公益一类事业单位。城市公用事业服务中心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职责是：1、承担全区基础设施、公用设施的维修保养工作；2、承担区域内雨、污管网及抽排水设施 运行维护工作；3、承担区域内亮化照明和景观灯设施的养护维修工作；4、承担区域内水、电、气、暖等公用事业的管网规划建设和安全检验、问题发现报告及跟踪办理等工作；5、承担区域内环境卫生清扫保洁工作，做好区域内生活垃圾、建筑垃圾、工业垃圾的分类转运、处理和园区内主次干道的机扫洒水、清雪除冰工作。6、承担区域内园林绿化养护工作；7、协助做好区容区貌综合治理；8、承担党工委和管委会交办的其他事项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城市公用事业服务中心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1883.00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1883.00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578.30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44.32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单位机构改革，承担职能有较大变化导致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1883.00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1883.00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1883.00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1883.00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出1219.00万元，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64.74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664.00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35.26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1883.00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增加578.30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增加44.32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单位机构改革，承担职能有较大变化导致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3.77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城乡社区事务支出1676.00万元，占年初预算的89.01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1219.00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70.00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b w:val="0"/>
          <w:color w:val="000000"/>
          <w:sz w:val="31"/>
          <w:szCs w:val="31"/>
        </w:rPr>
        <w:t>我部门没有政府性基金预算收支，故未编列。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000000"/>
          <w:sz w:val="31"/>
          <w:szCs w:val="31"/>
          <w:lang w:val="en-US" w:eastAsia="zh-CN"/>
        </w:rPr>
        <w:t>我部门没有</w:t>
      </w:r>
      <w:r>
        <w:rPr>
          <w:rFonts w:hint="eastAsia" w:ascii="仿宋" w:hAnsi="仿宋" w:eastAsia="仿宋" w:cs="仿宋"/>
          <w:b w:val="0"/>
          <w:color w:val="000000"/>
          <w:sz w:val="31"/>
          <w:szCs w:val="31"/>
        </w:rPr>
        <w:t>国有资本经营预算</w:t>
      </w:r>
      <w:r>
        <w:rPr>
          <w:rFonts w:hint="eastAsia" w:ascii="仿宋" w:hAnsi="仿宋" w:eastAsia="仿宋" w:cs="仿宋"/>
          <w:b w:val="0"/>
          <w:color w:val="000000"/>
          <w:sz w:val="31"/>
          <w:szCs w:val="31"/>
          <w:lang w:val="en-US" w:eastAsia="zh-CN"/>
        </w:rPr>
        <w:t>收支，故未编列。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197.2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拨款664.00万元（含中央省提前告知转移支付资金0万元）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DFD12B5"/>
    <w:rsid w:val="0E4F7C80"/>
    <w:rsid w:val="10A37D41"/>
    <w:rsid w:val="10A8073A"/>
    <w:rsid w:val="11C20769"/>
    <w:rsid w:val="13426597"/>
    <w:rsid w:val="15787ABD"/>
    <w:rsid w:val="18575207"/>
    <w:rsid w:val="1934019F"/>
    <w:rsid w:val="1BAF7FB0"/>
    <w:rsid w:val="1D1D3482"/>
    <w:rsid w:val="1DEF2253"/>
    <w:rsid w:val="22B814DB"/>
    <w:rsid w:val="22F6534C"/>
    <w:rsid w:val="23673F12"/>
    <w:rsid w:val="24B94F4B"/>
    <w:rsid w:val="25722F0E"/>
    <w:rsid w:val="2967011C"/>
    <w:rsid w:val="2B756CF8"/>
    <w:rsid w:val="2C6C38DF"/>
    <w:rsid w:val="2D1B35E2"/>
    <w:rsid w:val="2D7954E6"/>
    <w:rsid w:val="35B8313B"/>
    <w:rsid w:val="379E0B29"/>
    <w:rsid w:val="37E8117F"/>
    <w:rsid w:val="38C6627D"/>
    <w:rsid w:val="3D347D63"/>
    <w:rsid w:val="3F6525B0"/>
    <w:rsid w:val="450E5498"/>
    <w:rsid w:val="47075CA8"/>
    <w:rsid w:val="475436F8"/>
    <w:rsid w:val="4D924EB8"/>
    <w:rsid w:val="4E465DE4"/>
    <w:rsid w:val="4E9F2F14"/>
    <w:rsid w:val="531D3476"/>
    <w:rsid w:val="54CF69F2"/>
    <w:rsid w:val="56DA0230"/>
    <w:rsid w:val="592D1F39"/>
    <w:rsid w:val="5FAC780C"/>
    <w:rsid w:val="5FC643BF"/>
    <w:rsid w:val="610D54B3"/>
    <w:rsid w:val="62CB71DD"/>
    <w:rsid w:val="651421FF"/>
    <w:rsid w:val="67576E0A"/>
    <w:rsid w:val="68595EE4"/>
    <w:rsid w:val="691C6622"/>
    <w:rsid w:val="693410C2"/>
    <w:rsid w:val="69F23EF4"/>
    <w:rsid w:val="6A90072A"/>
    <w:rsid w:val="6E251AC8"/>
    <w:rsid w:val="6FA741D1"/>
    <w:rsid w:val="73010738"/>
    <w:rsid w:val="75AB2CB8"/>
    <w:rsid w:val="776B3F01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20"/>
    <w:basedOn w:val="4"/>
    <w:uiPriority w:val="0"/>
    <w:rPr>
      <w:rFonts w:hint="default" w:ascii="Times New Roman"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2024-03-11T00:43:11Z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