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spacing w:line="288" w:lineRule="auto"/>
        <w:rPr>
          <w:rFonts w:hint="default" w:ascii="Times New Roman" w:hAnsi="Times New Roman" w:eastAsia="仿宋_GB2312" w:cs="Times New Roman"/>
          <w:color w:val="000000" w:themeColor="text1"/>
          <w:sz w:val="36"/>
          <w:szCs w:val="36"/>
          <w14:textFill>
            <w14:solidFill>
              <w14:schemeClr w14:val="tx1"/>
            </w14:solidFill>
          </w14:textFill>
        </w:rPr>
      </w:pPr>
      <w:bookmarkStart w:id="0" w:name="_Hlk57884087"/>
      <w:r>
        <w:rPr>
          <w:rFonts w:hint="default" w:ascii="Times New Roman" w:hAnsi="Times New Roman" w:cs="Times New Roman"/>
        </w:rPr>
        <w:drawing>
          <wp:inline distT="0" distB="0" distL="114300" distR="114300">
            <wp:extent cx="5971540" cy="8449310"/>
            <wp:effectExtent l="0" t="0" r="10160" b="8890"/>
            <wp:docPr id="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
                    <pic:cNvPicPr>
                      <a:picLocks noChangeAspect="1"/>
                    </pic:cNvPicPr>
                  </pic:nvPicPr>
                  <pic:blipFill>
                    <a:blip r:embed="rId10"/>
                    <a:stretch>
                      <a:fillRect/>
                    </a:stretch>
                  </pic:blipFill>
                  <pic:spPr>
                    <a:xfrm>
                      <a:off x="0" y="0"/>
                      <a:ext cx="5971540" cy="8449310"/>
                    </a:xfrm>
                    <a:prstGeom prst="rect">
                      <a:avLst/>
                    </a:prstGeom>
                    <a:noFill/>
                    <a:ln>
                      <a:noFill/>
                    </a:ln>
                  </pic:spPr>
                </pic:pic>
              </a:graphicData>
            </a:graphic>
          </wp:inline>
        </w:drawing>
      </w:r>
    </w:p>
    <w:bookmarkEnd w:id="0"/>
    <w:p>
      <w:pPr>
        <w:adjustRightInd w:val="0"/>
        <w:snapToGrid w:val="0"/>
        <w:spacing w:line="288" w:lineRule="auto"/>
        <w:jc w:val="center"/>
        <w:rPr>
          <w:rFonts w:hint="default" w:ascii="Times New Roman" w:hAnsi="Times New Roman" w:eastAsia="楷体_GB2312" w:cs="Times New Roman"/>
          <w:color w:val="000000" w:themeColor="text1"/>
          <w:sz w:val="36"/>
          <w:szCs w:val="36"/>
          <w14:textFill>
            <w14:solidFill>
              <w14:schemeClr w14:val="tx1"/>
            </w14:solidFill>
          </w14:textFill>
        </w:rPr>
      </w:pPr>
    </w:p>
    <w:p>
      <w:pPr>
        <w:adjustRightInd w:val="0"/>
        <w:snapToGrid w:val="0"/>
        <w:spacing w:line="288" w:lineRule="auto"/>
        <w:jc w:val="center"/>
        <w:rPr>
          <w:rFonts w:hint="default" w:ascii="Times New Roman" w:hAnsi="Times New Roman" w:eastAsia="宋体" w:cs="Times New Roman"/>
          <w:color w:val="000000" w:themeColor="text1"/>
          <w:sz w:val="36"/>
          <w:szCs w:val="36"/>
          <w:lang w:eastAsia="zh-CN"/>
          <w14:textFill>
            <w14:solidFill>
              <w14:schemeClr w14:val="tx1"/>
            </w14:solidFill>
          </w14:textFill>
        </w:rPr>
        <w:sectPr>
          <w:headerReference r:id="rId3" w:type="default"/>
          <w:footerReference r:id="rId4" w:type="default"/>
          <w:pgSz w:w="11905" w:h="16838"/>
          <w:pgMar w:top="1247" w:right="1247" w:bottom="1247" w:left="1247" w:header="851" w:footer="1077" w:gutter="0"/>
          <w:pgBorders>
            <w:top w:val="none" w:sz="0" w:space="0"/>
            <w:left w:val="none" w:sz="0" w:space="0"/>
            <w:bottom w:val="none" w:sz="0" w:space="0"/>
            <w:right w:val="none" w:sz="0" w:space="0"/>
          </w:pgBorders>
          <w:cols w:space="720" w:num="1"/>
          <w:rtlGutter w:val="0"/>
          <w:docGrid w:linePitch="312" w:charSpace="0"/>
        </w:sectPr>
      </w:pPr>
      <w:r>
        <w:rPr>
          <w:rFonts w:hint="default" w:ascii="Times New Roman" w:hAnsi="Times New Roman" w:cs="Times New Roman"/>
        </w:rPr>
        <w:drawing>
          <wp:inline distT="0" distB="0" distL="114300" distR="114300">
            <wp:extent cx="5971540" cy="8450580"/>
            <wp:effectExtent l="0" t="0" r="10160" b="7620"/>
            <wp:docPr id="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9"/>
                    <pic:cNvPicPr>
                      <a:picLocks noChangeAspect="1"/>
                    </pic:cNvPicPr>
                  </pic:nvPicPr>
                  <pic:blipFill>
                    <a:blip r:embed="rId11"/>
                    <a:stretch>
                      <a:fillRect/>
                    </a:stretch>
                  </pic:blipFill>
                  <pic:spPr>
                    <a:xfrm>
                      <a:off x="0" y="0"/>
                      <a:ext cx="5971540" cy="8450580"/>
                    </a:xfrm>
                    <a:prstGeom prst="rect">
                      <a:avLst/>
                    </a:prstGeom>
                    <a:noFill/>
                    <a:ln>
                      <a:noFill/>
                    </a:ln>
                  </pic:spPr>
                </pic:pic>
              </a:graphicData>
            </a:graphic>
          </wp:inline>
        </w:drawing>
      </w:r>
      <w:r>
        <w:rPr>
          <w:rFonts w:hint="default" w:ascii="Times New Roman" w:hAnsi="Times New Roman" w:eastAsia="宋体" w:cs="Times New Roman"/>
          <w:color w:val="000000" w:themeColor="text1"/>
          <w:sz w:val="36"/>
          <w:szCs w:val="36"/>
          <w:lang w:eastAsia="zh-CN"/>
          <w14:textFill>
            <w14:solidFill>
              <w14:schemeClr w14:val="tx1"/>
            </w14:solidFill>
          </w14:textFill>
        </w:rPr>
        <w:drawing>
          <wp:inline distT="0" distB="0" distL="114300" distR="114300">
            <wp:extent cx="5974080" cy="8442325"/>
            <wp:effectExtent l="0" t="0" r="7620" b="15875"/>
            <wp:docPr id="6" name="图片 6" descr="img0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0399"/>
                    <pic:cNvPicPr>
                      <a:picLocks noChangeAspect="1"/>
                    </pic:cNvPicPr>
                  </pic:nvPicPr>
                  <pic:blipFill>
                    <a:blip r:embed="rId12"/>
                    <a:stretch>
                      <a:fillRect/>
                    </a:stretch>
                  </pic:blipFill>
                  <pic:spPr>
                    <a:xfrm rot="10800000">
                      <a:off x="0" y="0"/>
                      <a:ext cx="5974080" cy="8442325"/>
                    </a:xfrm>
                    <a:prstGeom prst="rect">
                      <a:avLst/>
                    </a:prstGeom>
                  </pic:spPr>
                </pic:pic>
              </a:graphicData>
            </a:graphic>
          </wp:inline>
        </w:drawing>
      </w:r>
      <w:r>
        <w:rPr>
          <w:rFonts w:hint="default" w:ascii="Times New Roman" w:hAnsi="Times New Roman" w:eastAsia="宋体" w:cs="Times New Roman"/>
          <w:color w:val="000000" w:themeColor="text1"/>
          <w:sz w:val="36"/>
          <w:szCs w:val="36"/>
          <w:lang w:eastAsia="zh-CN"/>
          <w14:textFill>
            <w14:solidFill>
              <w14:schemeClr w14:val="tx1"/>
            </w14:solidFill>
          </w14:textFill>
        </w:rPr>
        <w:drawing>
          <wp:inline distT="0" distB="0" distL="114300" distR="114300">
            <wp:extent cx="5974080" cy="8442325"/>
            <wp:effectExtent l="0" t="0" r="7620" b="15875"/>
            <wp:docPr id="7" name="图片 7" descr="img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0400"/>
                    <pic:cNvPicPr>
                      <a:picLocks noChangeAspect="1"/>
                    </pic:cNvPicPr>
                  </pic:nvPicPr>
                  <pic:blipFill>
                    <a:blip r:embed="rId13"/>
                    <a:stretch>
                      <a:fillRect/>
                    </a:stretch>
                  </pic:blipFill>
                  <pic:spPr>
                    <a:xfrm rot="10800000">
                      <a:off x="0" y="0"/>
                      <a:ext cx="5974080" cy="8442325"/>
                    </a:xfrm>
                    <a:prstGeom prst="rect">
                      <a:avLst/>
                    </a:prstGeom>
                  </pic:spPr>
                </pic:pic>
              </a:graphicData>
            </a:graphic>
          </wp:inline>
        </w:drawing>
      </w:r>
      <w:r>
        <w:rPr>
          <w:rFonts w:hint="default" w:ascii="Times New Roman" w:hAnsi="Times New Roman" w:eastAsia="宋体" w:cs="Times New Roman"/>
          <w:color w:val="000000" w:themeColor="text1"/>
          <w:sz w:val="36"/>
          <w:szCs w:val="36"/>
          <w:lang w:eastAsia="zh-CN"/>
          <w14:textFill>
            <w14:solidFill>
              <w14:schemeClr w14:val="tx1"/>
            </w14:solidFill>
          </w14:textFill>
        </w:rPr>
        <w:drawing>
          <wp:inline distT="0" distB="0" distL="114300" distR="114300">
            <wp:extent cx="5971540" cy="8442960"/>
            <wp:effectExtent l="0" t="0" r="10160" b="15240"/>
            <wp:docPr id="8" name="图片 8" descr="img0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0334"/>
                    <pic:cNvPicPr>
                      <a:picLocks noChangeAspect="1"/>
                    </pic:cNvPicPr>
                  </pic:nvPicPr>
                  <pic:blipFill>
                    <a:blip r:embed="rId14"/>
                    <a:stretch>
                      <a:fillRect/>
                    </a:stretch>
                  </pic:blipFill>
                  <pic:spPr>
                    <a:xfrm>
                      <a:off x="0" y="0"/>
                      <a:ext cx="5971540" cy="8442960"/>
                    </a:xfrm>
                    <a:prstGeom prst="rect">
                      <a:avLst/>
                    </a:prstGeom>
                  </pic:spPr>
                </pic:pic>
              </a:graphicData>
            </a:graphic>
          </wp:inline>
        </w:drawing>
      </w:r>
      <w:r>
        <w:rPr>
          <w:rFonts w:hint="default" w:ascii="Times New Roman" w:hAnsi="Times New Roman" w:eastAsia="宋体" w:cs="Times New Roman"/>
          <w:color w:val="000000" w:themeColor="text1"/>
          <w:sz w:val="36"/>
          <w:szCs w:val="36"/>
          <w:lang w:eastAsia="zh-CN"/>
          <w14:textFill>
            <w14:solidFill>
              <w14:schemeClr w14:val="tx1"/>
            </w14:solidFill>
          </w14:textFill>
        </w:rPr>
        <w:drawing>
          <wp:inline distT="0" distB="0" distL="114300" distR="114300">
            <wp:extent cx="5971540" cy="8442960"/>
            <wp:effectExtent l="0" t="0" r="10160" b="15240"/>
            <wp:docPr id="9" name="图片 9" descr="img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0335"/>
                    <pic:cNvPicPr>
                      <a:picLocks noChangeAspect="1"/>
                    </pic:cNvPicPr>
                  </pic:nvPicPr>
                  <pic:blipFill>
                    <a:blip r:embed="rId15"/>
                    <a:stretch>
                      <a:fillRect/>
                    </a:stretch>
                  </pic:blipFill>
                  <pic:spPr>
                    <a:xfrm>
                      <a:off x="0" y="0"/>
                      <a:ext cx="5971540" cy="8442960"/>
                    </a:xfrm>
                    <a:prstGeom prst="rect">
                      <a:avLst/>
                    </a:prstGeom>
                  </pic:spPr>
                </pic:pic>
              </a:graphicData>
            </a:graphic>
          </wp:inline>
        </w:drawing>
      </w:r>
      <w:r>
        <w:rPr>
          <w:rFonts w:hint="default" w:ascii="Times New Roman" w:hAnsi="Times New Roman" w:eastAsia="宋体" w:cs="Times New Roman"/>
          <w:color w:val="000000" w:themeColor="text1"/>
          <w:sz w:val="36"/>
          <w:szCs w:val="36"/>
          <w:lang w:eastAsia="zh-CN"/>
          <w14:textFill>
            <w14:solidFill>
              <w14:schemeClr w14:val="tx1"/>
            </w14:solidFill>
          </w14:textFill>
        </w:rPr>
        <w:drawing>
          <wp:inline distT="0" distB="0" distL="114300" distR="114300">
            <wp:extent cx="5974080" cy="8442325"/>
            <wp:effectExtent l="0" t="0" r="7620" b="15875"/>
            <wp:docPr id="11" name="图片 11" descr="img0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0397"/>
                    <pic:cNvPicPr>
                      <a:picLocks noChangeAspect="1"/>
                    </pic:cNvPicPr>
                  </pic:nvPicPr>
                  <pic:blipFill>
                    <a:blip r:embed="rId16"/>
                    <a:stretch>
                      <a:fillRect/>
                    </a:stretch>
                  </pic:blipFill>
                  <pic:spPr>
                    <a:xfrm rot="10800000">
                      <a:off x="0" y="0"/>
                      <a:ext cx="5974080" cy="8442325"/>
                    </a:xfrm>
                    <a:prstGeom prst="rect">
                      <a:avLst/>
                    </a:prstGeom>
                  </pic:spPr>
                </pic:pic>
              </a:graphicData>
            </a:graphic>
          </wp:inline>
        </w:drawing>
      </w:r>
      <w:r>
        <w:rPr>
          <w:rFonts w:hint="default" w:ascii="Times New Roman" w:hAnsi="Times New Roman" w:eastAsia="宋体" w:cs="Times New Roman"/>
          <w:color w:val="000000" w:themeColor="text1"/>
          <w:sz w:val="36"/>
          <w:szCs w:val="36"/>
          <w:lang w:eastAsia="zh-CN"/>
          <w14:textFill>
            <w14:solidFill>
              <w14:schemeClr w14:val="tx1"/>
            </w14:solidFill>
          </w14:textFill>
        </w:rPr>
        <w:drawing>
          <wp:inline distT="0" distB="0" distL="114300" distR="114300">
            <wp:extent cx="5974080" cy="8442325"/>
            <wp:effectExtent l="0" t="0" r="7620" b="15875"/>
            <wp:docPr id="10" name="图片 10" descr="img0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0396"/>
                    <pic:cNvPicPr>
                      <a:picLocks noChangeAspect="1"/>
                    </pic:cNvPicPr>
                  </pic:nvPicPr>
                  <pic:blipFill>
                    <a:blip r:embed="rId17"/>
                    <a:stretch>
                      <a:fillRect/>
                    </a:stretch>
                  </pic:blipFill>
                  <pic:spPr>
                    <a:xfrm rot="10800000">
                      <a:off x="0" y="0"/>
                      <a:ext cx="5974080" cy="8442325"/>
                    </a:xfrm>
                    <a:prstGeom prst="rect">
                      <a:avLst/>
                    </a:prstGeom>
                  </pic:spPr>
                </pic:pic>
              </a:graphicData>
            </a:graphic>
          </wp:inline>
        </w:drawing>
      </w:r>
      <w:r>
        <w:rPr>
          <w:rFonts w:hint="default" w:ascii="Times New Roman" w:hAnsi="Times New Roman" w:eastAsia="宋体" w:cs="Times New Roman"/>
          <w:color w:val="000000" w:themeColor="text1"/>
          <w:sz w:val="36"/>
          <w:szCs w:val="36"/>
          <w:lang w:eastAsia="zh-CN"/>
          <w14:textFill>
            <w14:solidFill>
              <w14:schemeClr w14:val="tx1"/>
            </w14:solidFill>
          </w14:textFill>
        </w:rPr>
        <w:drawing>
          <wp:inline distT="0" distB="0" distL="114300" distR="114300">
            <wp:extent cx="5974080" cy="8442325"/>
            <wp:effectExtent l="0" t="0" r="7620" b="15875"/>
            <wp:docPr id="12" name="图片 12" descr="img0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0398"/>
                    <pic:cNvPicPr>
                      <a:picLocks noChangeAspect="1"/>
                    </pic:cNvPicPr>
                  </pic:nvPicPr>
                  <pic:blipFill>
                    <a:blip r:embed="rId18"/>
                    <a:stretch>
                      <a:fillRect/>
                    </a:stretch>
                  </pic:blipFill>
                  <pic:spPr>
                    <a:xfrm rot="10800000">
                      <a:off x="0" y="0"/>
                      <a:ext cx="5974080" cy="8442325"/>
                    </a:xfrm>
                    <a:prstGeom prst="rect">
                      <a:avLst/>
                    </a:prstGeom>
                  </pic:spPr>
                </pic:pic>
              </a:graphicData>
            </a:graphic>
          </wp:inline>
        </w:drawing>
      </w:r>
    </w:p>
    <w:p>
      <w:pPr>
        <w:pStyle w:val="33"/>
        <w:jc w:val="center"/>
        <w:outlineLvl w:val="0"/>
        <w:rPr>
          <w:rFonts w:hint="default" w:ascii="Times New Roman" w:hAnsi="Times New Roman" w:eastAsia="黑体" w:cs="Times New Roman"/>
          <w:snapToGrid w:val="0"/>
          <w:color w:val="000000" w:themeColor="text1"/>
          <w:sz w:val="30"/>
          <w:szCs w:val="30"/>
          <w14:textFill>
            <w14:solidFill>
              <w14:schemeClr w14:val="tx1"/>
            </w14:solidFill>
          </w14:textFill>
        </w:rPr>
      </w:pPr>
      <w:r>
        <w:rPr>
          <w:rFonts w:hint="default" w:ascii="Times New Roman" w:hAnsi="Times New Roman" w:eastAsia="黑体" w:cs="Times New Roman"/>
          <w:snapToGrid w:val="0"/>
          <w:color w:val="000000" w:themeColor="text1"/>
          <w:sz w:val="30"/>
          <w:szCs w:val="30"/>
          <w14:textFill>
            <w14:solidFill>
              <w14:schemeClr w14:val="tx1"/>
            </w14:solidFill>
          </w14:textFill>
        </w:rPr>
        <w:t>一、建设项目基本情况</w:t>
      </w:r>
    </w:p>
    <w:tbl>
      <w:tblPr>
        <w:tblStyle w:val="37"/>
        <w:tblW w:w="993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696"/>
        <w:gridCol w:w="1047"/>
        <w:gridCol w:w="2276"/>
        <w:gridCol w:w="277"/>
        <w:gridCol w:w="1935"/>
        <w:gridCol w:w="370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43" w:type="dxa"/>
            <w:gridSpan w:val="2"/>
            <w:noWrap w:val="0"/>
            <w:tcMar>
              <w:top w:w="16" w:type="dxa"/>
              <w:left w:w="16" w:type="dxa"/>
              <w:right w:w="16" w:type="dxa"/>
            </w:tcMar>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建设项目名称</w:t>
            </w:r>
          </w:p>
        </w:tc>
        <w:tc>
          <w:tcPr>
            <w:tcW w:w="8196" w:type="dxa"/>
            <w:gridSpan w:val="4"/>
            <w:noWrap w:val="0"/>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中国石化销售股份有限公司河南漯河石油分公司南环路燕山加油站改造项目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43" w:type="dxa"/>
            <w:gridSpan w:val="2"/>
            <w:noWrap w:val="0"/>
            <w:tcMar>
              <w:top w:w="16" w:type="dxa"/>
              <w:left w:w="16" w:type="dxa"/>
              <w:right w:w="16" w:type="dxa"/>
            </w:tcMar>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项目代码</w:t>
            </w:r>
          </w:p>
        </w:tc>
        <w:tc>
          <w:tcPr>
            <w:tcW w:w="8196" w:type="dxa"/>
            <w:gridSpan w:val="4"/>
            <w:noWrap w:val="0"/>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2307-411171-04-01-133465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43" w:type="dxa"/>
            <w:gridSpan w:val="2"/>
            <w:noWrap w:val="0"/>
            <w:tcMar>
              <w:top w:w="16" w:type="dxa"/>
              <w:left w:w="16" w:type="dxa"/>
              <w:right w:w="16" w:type="dxa"/>
            </w:tcMar>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建设单位联系人</w:t>
            </w:r>
          </w:p>
        </w:tc>
        <w:tc>
          <w:tcPr>
            <w:tcW w:w="2276" w:type="dxa"/>
            <w:noWrap w:val="0"/>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司维</w:t>
            </w:r>
          </w:p>
        </w:tc>
        <w:tc>
          <w:tcPr>
            <w:tcW w:w="2212" w:type="dxa"/>
            <w:gridSpan w:val="2"/>
            <w:noWrap w:val="0"/>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联系方式</w:t>
            </w:r>
          </w:p>
        </w:tc>
        <w:tc>
          <w:tcPr>
            <w:tcW w:w="3708" w:type="dxa"/>
            <w:noWrap w:val="0"/>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13939543000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86" w:hRule="atLeast"/>
          <w:jc w:val="center"/>
        </w:trPr>
        <w:tc>
          <w:tcPr>
            <w:tcW w:w="1743" w:type="dxa"/>
            <w:gridSpan w:val="2"/>
            <w:noWrap w:val="0"/>
            <w:tcMar>
              <w:top w:w="16" w:type="dxa"/>
              <w:left w:w="16" w:type="dxa"/>
              <w:right w:w="16" w:type="dxa"/>
            </w:tcMar>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建设地点</w:t>
            </w:r>
          </w:p>
        </w:tc>
        <w:tc>
          <w:tcPr>
            <w:tcW w:w="8196" w:type="dxa"/>
            <w:gridSpan w:val="4"/>
            <w:noWrap w:val="0"/>
            <w:vAlign w:val="center"/>
          </w:tcPr>
          <w:p>
            <w:pPr>
              <w:keepNext w:val="0"/>
              <w:keepLines w:val="0"/>
              <w:pageBreakBefore w:val="0"/>
              <w:kinsoku/>
              <w:wordWrap/>
              <w:overflowPunct/>
              <w:topLinePunct w:val="0"/>
              <w:autoSpaceDE/>
              <w:autoSpaceDN/>
              <w:bidi w:val="0"/>
              <w:adjustRightInd w:val="0"/>
              <w:snapToGrid w:val="0"/>
              <w:spacing w:line="400" w:lineRule="exact"/>
              <w:ind w:firstLine="420"/>
              <w:jc w:val="center"/>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u w:val="single"/>
                <w14:textFill>
                  <w14:solidFill>
                    <w14:schemeClr w14:val="tx1"/>
                  </w14:solidFill>
                </w14:textFill>
              </w:rPr>
              <w:t>河南</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省</w:t>
            </w:r>
            <w:r>
              <w:rPr>
                <w:rFonts w:hint="default" w:ascii="Times New Roman" w:hAnsi="Times New Roman" w:cs="Times New Roman"/>
                <w:color w:val="000000" w:themeColor="text1"/>
                <w:sz w:val="24"/>
                <w:szCs w:val="24"/>
                <w:u w:val="single"/>
                <w14:textFill>
                  <w14:solidFill>
                    <w14:schemeClr w14:val="tx1"/>
                  </w14:solidFill>
                </w14:textFill>
              </w:rPr>
              <w:t xml:space="preserve"> 漯河 </w:t>
            </w:r>
            <w:r>
              <w:rPr>
                <w:rFonts w:hint="default" w:ascii="Times New Roman" w:hAnsi="Times New Roman" w:cs="Times New Roman"/>
                <w:color w:val="000000" w:themeColor="text1"/>
                <w:sz w:val="24"/>
                <w:szCs w:val="24"/>
                <w14:textFill>
                  <w14:solidFill>
                    <w14:schemeClr w14:val="tx1"/>
                  </w14:solidFill>
                </w14:textFill>
              </w:rPr>
              <w:t>市</w:t>
            </w:r>
            <w:r>
              <w:rPr>
                <w:rFonts w:hint="default" w:ascii="Times New Roman" w:hAnsi="Times New Roman" w:cs="Times New Roman"/>
                <w:color w:val="000000" w:themeColor="text1"/>
                <w:sz w:val="24"/>
                <w:szCs w:val="24"/>
                <w:u w:val="single"/>
                <w14:textFill>
                  <w14:solidFill>
                    <w14:schemeClr w14:val="tx1"/>
                  </w14:solidFill>
                </w14:textFill>
              </w:rPr>
              <w:t xml:space="preserve"> 经济技术产业集聚（含漯河经济开发区） </w:t>
            </w:r>
            <w:r>
              <w:rPr>
                <w:rFonts w:hint="default" w:ascii="Times New Roman" w:hAnsi="Times New Roman" w:cs="Times New Roman"/>
                <w:color w:val="000000" w:themeColor="text1"/>
                <w:sz w:val="24"/>
                <w:szCs w:val="24"/>
                <w14:textFill>
                  <w14:solidFill>
                    <w14:schemeClr w14:val="tx1"/>
                  </w14:solidFill>
                </w14:textFill>
              </w:rPr>
              <w:t>区</w:t>
            </w:r>
            <w:r>
              <w:rPr>
                <w:rFonts w:hint="default" w:ascii="Times New Roman" w:hAnsi="Times New Roman" w:cs="Times New Roman"/>
                <w:color w:val="000000" w:themeColor="text1"/>
                <w:sz w:val="24"/>
                <w:szCs w:val="24"/>
                <w:u w:val="single"/>
                <w14:textFill>
                  <w14:solidFill>
                    <w14:schemeClr w14:val="tx1"/>
                  </w14:solidFill>
                </w14:textFill>
              </w:rPr>
              <w:t xml:space="preserve"> </w:t>
            </w:r>
            <w:r>
              <w:rPr>
                <w:rFonts w:hint="default" w:ascii="Times New Roman" w:hAnsi="Times New Roman" w:cs="Times New Roman"/>
                <w:color w:val="000000" w:themeColor="text1"/>
                <w:sz w:val="24"/>
                <w:szCs w:val="24"/>
                <w:u w:val="single"/>
                <w:lang w:eastAsia="zh-CN"/>
                <w14:textFill>
                  <w14:solidFill>
                    <w14:schemeClr w14:val="tx1"/>
                  </w14:solidFill>
                </w14:textFill>
              </w:rPr>
              <w:t>燕山南路与漳江东路交叉口往西北约210米</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43" w:type="dxa"/>
            <w:gridSpan w:val="2"/>
            <w:noWrap w:val="0"/>
            <w:tcMar>
              <w:top w:w="16" w:type="dxa"/>
              <w:left w:w="16" w:type="dxa"/>
              <w:right w:w="16" w:type="dxa"/>
            </w:tcMar>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地理坐标</w:t>
            </w:r>
          </w:p>
        </w:tc>
        <w:tc>
          <w:tcPr>
            <w:tcW w:w="8196" w:type="dxa"/>
            <w:gridSpan w:val="4"/>
            <w:noWrap w:val="0"/>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u w:val="single"/>
                <w14:textFill>
                  <w14:solidFill>
                    <w14:schemeClr w14:val="tx1"/>
                  </w14:solidFill>
                </w14:textFill>
              </w:rPr>
              <w:t xml:space="preserve"> 114 </w:t>
            </w:r>
            <w:r>
              <w:rPr>
                <w:rFonts w:hint="default" w:ascii="Times New Roman" w:hAnsi="Times New Roman" w:cs="Times New Roman"/>
                <w:color w:val="000000" w:themeColor="text1"/>
                <w:sz w:val="24"/>
                <w:szCs w:val="24"/>
                <w14:textFill>
                  <w14:solidFill>
                    <w14:schemeClr w14:val="tx1"/>
                  </w14:solidFill>
                </w14:textFill>
              </w:rPr>
              <w:t>度</w:t>
            </w:r>
            <w:r>
              <w:rPr>
                <w:rFonts w:hint="default" w:ascii="Times New Roman" w:hAnsi="Times New Roman" w:cs="Times New Roman"/>
                <w:color w:val="000000" w:themeColor="text1"/>
                <w:sz w:val="24"/>
                <w:szCs w:val="24"/>
                <w:u w:val="single"/>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4</w:t>
            </w:r>
            <w:r>
              <w:rPr>
                <w:rFonts w:hint="default" w:ascii="Times New Roman" w:hAnsi="Times New Roman" w:cs="Times New Roman"/>
                <w:color w:val="000000" w:themeColor="text1"/>
                <w:sz w:val="24"/>
                <w:szCs w:val="24"/>
                <w:u w:val="single"/>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分</w:t>
            </w:r>
            <w:r>
              <w:rPr>
                <w:rFonts w:hint="default" w:ascii="Times New Roman" w:hAnsi="Times New Roman" w:cs="Times New Roman"/>
                <w:color w:val="000000" w:themeColor="text1"/>
                <w:sz w:val="24"/>
                <w:szCs w:val="24"/>
                <w:u w:val="single"/>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17.855</w:t>
            </w:r>
            <w:r>
              <w:rPr>
                <w:rFonts w:hint="default" w:ascii="Times New Roman" w:hAnsi="Times New Roman" w:cs="Times New Roman"/>
                <w:color w:val="000000" w:themeColor="text1"/>
                <w:sz w:val="24"/>
                <w:szCs w:val="24"/>
                <w:u w:val="single"/>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秒，</w:t>
            </w:r>
            <w:r>
              <w:rPr>
                <w:rFonts w:hint="default" w:ascii="Times New Roman" w:hAnsi="Times New Roman" w:cs="Times New Roman"/>
                <w:color w:val="000000" w:themeColor="text1"/>
                <w:sz w:val="24"/>
                <w:szCs w:val="24"/>
                <w:u w:val="single"/>
                <w14:textFill>
                  <w14:solidFill>
                    <w14:schemeClr w14:val="tx1"/>
                  </w14:solidFill>
                </w14:textFill>
              </w:rPr>
              <w:t xml:space="preserve"> 33 </w:t>
            </w:r>
            <w:r>
              <w:rPr>
                <w:rFonts w:hint="default" w:ascii="Times New Roman" w:hAnsi="Times New Roman" w:cs="Times New Roman"/>
                <w:color w:val="000000" w:themeColor="text1"/>
                <w:sz w:val="24"/>
                <w:szCs w:val="24"/>
                <w14:textFill>
                  <w14:solidFill>
                    <w14:schemeClr w14:val="tx1"/>
                  </w14:solidFill>
                </w14:textFill>
              </w:rPr>
              <w:t>度</w:t>
            </w:r>
            <w:r>
              <w:rPr>
                <w:rFonts w:hint="default" w:ascii="Times New Roman" w:hAnsi="Times New Roman" w:cs="Times New Roman"/>
                <w:color w:val="000000" w:themeColor="text1"/>
                <w:sz w:val="24"/>
                <w:szCs w:val="24"/>
                <w:u w:val="single"/>
                <w14:textFill>
                  <w14:solidFill>
                    <w14:schemeClr w14:val="tx1"/>
                  </w14:solidFill>
                </w14:textFill>
              </w:rPr>
              <w:t xml:space="preserve"> 3</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3</w:t>
            </w:r>
            <w:r>
              <w:rPr>
                <w:rFonts w:hint="default" w:ascii="Times New Roman" w:hAnsi="Times New Roman" w:cs="Times New Roman"/>
                <w:color w:val="000000" w:themeColor="text1"/>
                <w:sz w:val="24"/>
                <w:szCs w:val="24"/>
                <w:u w:val="single"/>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分</w:t>
            </w:r>
            <w:r>
              <w:rPr>
                <w:rFonts w:hint="default" w:ascii="Times New Roman" w:hAnsi="Times New Roman" w:cs="Times New Roman"/>
                <w:color w:val="000000" w:themeColor="text1"/>
                <w:sz w:val="24"/>
                <w:szCs w:val="24"/>
                <w:u w:val="single"/>
                <w14:textFill>
                  <w14:solidFill>
                    <w14:schemeClr w14:val="tx1"/>
                  </w14:solidFill>
                </w14:textFill>
              </w:rPr>
              <w:t xml:space="preserve"> </w:t>
            </w:r>
            <w:r>
              <w:rPr>
                <w:rFonts w:hint="default" w:ascii="Times New Roman" w:hAnsi="Times New Roman" w:cs="Times New Roman"/>
                <w:color w:val="000000" w:themeColor="text1"/>
                <w:sz w:val="24"/>
                <w:szCs w:val="24"/>
                <w:u w:val="single"/>
                <w:lang w:val="en-US" w:eastAsia="zh-CN"/>
                <w14:textFill>
                  <w14:solidFill>
                    <w14:schemeClr w14:val="tx1"/>
                  </w14:solidFill>
                </w14:textFill>
              </w:rPr>
              <w:t>2.287</w:t>
            </w:r>
            <w:r>
              <w:rPr>
                <w:rFonts w:hint="default" w:ascii="Times New Roman" w:hAnsi="Times New Roman" w:cs="Times New Roman"/>
                <w:color w:val="000000" w:themeColor="text1"/>
                <w:sz w:val="24"/>
                <w:szCs w:val="24"/>
                <w:u w:val="single"/>
                <w14:textFill>
                  <w14:solidFill>
                    <w14:schemeClr w14:val="tx1"/>
                  </w14:solidFill>
                </w14:textFill>
              </w:rPr>
              <w:t xml:space="preserve"> </w:t>
            </w:r>
            <w:r>
              <w:rPr>
                <w:rFonts w:hint="default" w:ascii="Times New Roman" w:hAnsi="Times New Roman" w:cs="Times New Roman"/>
                <w:color w:val="000000" w:themeColor="text1"/>
                <w:sz w:val="24"/>
                <w:szCs w:val="24"/>
                <w14:textFill>
                  <w14:solidFill>
                    <w14:schemeClr w14:val="tx1"/>
                  </w14:solidFill>
                </w14:textFill>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743" w:type="dxa"/>
            <w:gridSpan w:val="2"/>
            <w:noWrap w:val="0"/>
            <w:tcMar>
              <w:top w:w="16" w:type="dxa"/>
              <w:left w:w="16" w:type="dxa"/>
              <w:right w:w="16" w:type="dxa"/>
            </w:tcMar>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国民经济</w:t>
            </w:r>
          </w:p>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行业类别</w:t>
            </w:r>
          </w:p>
        </w:tc>
        <w:tc>
          <w:tcPr>
            <w:tcW w:w="2553" w:type="dxa"/>
            <w:gridSpan w:val="2"/>
            <w:noWrap w:val="0"/>
            <w:vAlign w:val="center"/>
          </w:tcPr>
          <w:p>
            <w:pPr>
              <w:keepNext w:val="0"/>
              <w:keepLines w:val="0"/>
              <w:pageBreakBefore w:val="0"/>
              <w:kinsoku/>
              <w:wordWrap/>
              <w:overflowPunct/>
              <w:topLinePunct w:val="0"/>
              <w:autoSpaceDE/>
              <w:autoSpaceDN/>
              <w:bidi w:val="0"/>
              <w:adjustRightInd w:val="0"/>
              <w:snapToGrid w:val="0"/>
              <w:spacing w:line="400" w:lineRule="exact"/>
              <w:jc w:val="lef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F5265 机动车燃油零售</w:t>
            </w:r>
          </w:p>
        </w:tc>
        <w:tc>
          <w:tcPr>
            <w:tcW w:w="1935" w:type="dxa"/>
            <w:noWrap w:val="0"/>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bookmarkStart w:id="1" w:name="_Hlk49843745"/>
            <w:r>
              <w:rPr>
                <w:rFonts w:hint="default" w:ascii="Times New Roman" w:hAnsi="Times New Roman" w:cs="Times New Roman"/>
                <w:color w:val="000000" w:themeColor="text1"/>
                <w:sz w:val="24"/>
                <w:szCs w:val="24"/>
                <w14:textFill>
                  <w14:solidFill>
                    <w14:schemeClr w14:val="tx1"/>
                  </w14:solidFill>
                </w14:textFill>
              </w:rPr>
              <w:t>建设项目</w:t>
            </w:r>
          </w:p>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行业类别</w:t>
            </w:r>
            <w:bookmarkEnd w:id="1"/>
          </w:p>
        </w:tc>
        <w:tc>
          <w:tcPr>
            <w:tcW w:w="3708" w:type="dxa"/>
            <w:noWrap w:val="0"/>
            <w:vAlign w:val="center"/>
          </w:tcPr>
          <w:p>
            <w:pPr>
              <w:keepNext w:val="0"/>
              <w:keepLines w:val="0"/>
              <w:pageBreakBefore w:val="0"/>
              <w:widowControl/>
              <w:kinsoku/>
              <w:wordWrap/>
              <w:overflowPunct/>
              <w:topLinePunct w:val="0"/>
              <w:autoSpaceDE/>
              <w:autoSpaceDN/>
              <w:bidi w:val="0"/>
              <w:spacing w:line="400" w:lineRule="exact"/>
              <w:jc w:val="lef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五十、社会事业与服务业</w:t>
            </w:r>
            <w:r>
              <w:rPr>
                <w:rFonts w:hint="default" w:ascii="Times New Roman" w:hAnsi="Times New Roman" w:cs="Times New Roman"/>
                <w:color w:val="000000" w:themeColor="text1"/>
                <w:kern w:val="0"/>
                <w:sz w:val="24"/>
                <w:szCs w:val="24"/>
                <w:lang w:bidi="ar"/>
                <w14:textFill>
                  <w14:solidFill>
                    <w14:schemeClr w14:val="tx1"/>
                  </w14:solidFill>
                </w14:textFill>
              </w:rPr>
              <w:t xml:space="preserve"> 119加油、加气站</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743" w:type="dxa"/>
            <w:gridSpan w:val="2"/>
            <w:noWrap w:val="0"/>
            <w:tcMar>
              <w:top w:w="16" w:type="dxa"/>
              <w:left w:w="16" w:type="dxa"/>
              <w:right w:w="16" w:type="dxa"/>
            </w:tcMar>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建设性质</w:t>
            </w:r>
          </w:p>
        </w:tc>
        <w:tc>
          <w:tcPr>
            <w:tcW w:w="2553" w:type="dxa"/>
            <w:gridSpan w:val="2"/>
            <w:noWrap w:val="0"/>
            <w:vAlign w:val="center"/>
          </w:tcPr>
          <w:p>
            <w:pPr>
              <w:keepNext w:val="0"/>
              <w:keepLines w:val="0"/>
              <w:pageBreakBefore w:val="0"/>
              <w:kinsoku/>
              <w:wordWrap/>
              <w:overflowPunct/>
              <w:topLinePunct w:val="0"/>
              <w:autoSpaceDE/>
              <w:autoSpaceDN/>
              <w:bidi w:val="0"/>
              <w:spacing w:line="400" w:lineRule="exact"/>
              <w:jc w:val="lef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sym w:font="Wingdings 2" w:char="00A3"/>
            </w:r>
            <w:r>
              <w:rPr>
                <w:rFonts w:hint="default" w:ascii="Times New Roman" w:hAnsi="Times New Roman" w:cs="Times New Roman"/>
                <w:color w:val="000000" w:themeColor="text1"/>
                <w:sz w:val="24"/>
                <w:szCs w:val="24"/>
                <w14:textFill>
                  <w14:solidFill>
                    <w14:schemeClr w14:val="tx1"/>
                  </w14:solidFill>
                </w14:textFill>
              </w:rPr>
              <w:t>新建（迁建）</w:t>
            </w:r>
          </w:p>
          <w:p>
            <w:pPr>
              <w:keepNext w:val="0"/>
              <w:keepLines w:val="0"/>
              <w:pageBreakBefore w:val="0"/>
              <w:kinsoku/>
              <w:wordWrap/>
              <w:overflowPunct/>
              <w:topLinePunct w:val="0"/>
              <w:autoSpaceDE/>
              <w:autoSpaceDN/>
              <w:bidi w:val="0"/>
              <w:spacing w:line="400" w:lineRule="exact"/>
              <w:jc w:val="lef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sym w:font="Wingdings 2" w:char="0052"/>
            </w:r>
            <w:r>
              <w:rPr>
                <w:rFonts w:hint="default" w:ascii="Times New Roman" w:hAnsi="Times New Roman" w:cs="Times New Roman"/>
                <w:color w:val="000000" w:themeColor="text1"/>
                <w:sz w:val="24"/>
                <w:szCs w:val="24"/>
                <w14:textFill>
                  <w14:solidFill>
                    <w14:schemeClr w14:val="tx1"/>
                  </w14:solidFill>
                </w14:textFill>
              </w:rPr>
              <w:t>改建</w:t>
            </w:r>
          </w:p>
          <w:p>
            <w:pPr>
              <w:keepNext w:val="0"/>
              <w:keepLines w:val="0"/>
              <w:pageBreakBefore w:val="0"/>
              <w:kinsoku/>
              <w:wordWrap/>
              <w:overflowPunct/>
              <w:topLinePunct w:val="0"/>
              <w:autoSpaceDE/>
              <w:autoSpaceDN/>
              <w:bidi w:val="0"/>
              <w:spacing w:line="400" w:lineRule="exact"/>
              <w:jc w:val="lef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sym w:font="Wingdings 2" w:char="00A3"/>
            </w:r>
            <w:r>
              <w:rPr>
                <w:rFonts w:hint="default" w:ascii="Times New Roman" w:hAnsi="Times New Roman" w:cs="Times New Roman"/>
                <w:color w:val="000000" w:themeColor="text1"/>
                <w:sz w:val="24"/>
                <w:szCs w:val="24"/>
                <w14:textFill>
                  <w14:solidFill>
                    <w14:schemeClr w14:val="tx1"/>
                  </w14:solidFill>
                </w14:textFill>
              </w:rPr>
              <w:t>扩建</w:t>
            </w:r>
          </w:p>
          <w:p>
            <w:pPr>
              <w:keepNext w:val="0"/>
              <w:keepLines w:val="0"/>
              <w:pageBreakBefore w:val="0"/>
              <w:kinsoku/>
              <w:wordWrap/>
              <w:overflowPunct/>
              <w:topLinePunct w:val="0"/>
              <w:autoSpaceDE/>
              <w:autoSpaceDN/>
              <w:bidi w:val="0"/>
              <w:spacing w:line="400" w:lineRule="exact"/>
              <w:jc w:val="lef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sym w:font="Wingdings 2" w:char="00A3"/>
            </w:r>
            <w:r>
              <w:rPr>
                <w:rFonts w:hint="default" w:ascii="Times New Roman" w:hAnsi="Times New Roman" w:cs="Times New Roman"/>
                <w:color w:val="000000" w:themeColor="text1"/>
                <w:sz w:val="24"/>
                <w:szCs w:val="24"/>
                <w14:textFill>
                  <w14:solidFill>
                    <w14:schemeClr w14:val="tx1"/>
                  </w14:solidFill>
                </w14:textFill>
              </w:rPr>
              <w:t>技术改造</w:t>
            </w:r>
          </w:p>
        </w:tc>
        <w:tc>
          <w:tcPr>
            <w:tcW w:w="1935" w:type="dxa"/>
            <w:noWrap w:val="0"/>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建设项目</w:t>
            </w:r>
          </w:p>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申报情形</w:t>
            </w:r>
          </w:p>
        </w:tc>
        <w:tc>
          <w:tcPr>
            <w:tcW w:w="3708" w:type="dxa"/>
            <w:noWrap w:val="0"/>
            <w:vAlign w:val="center"/>
          </w:tcPr>
          <w:p>
            <w:pPr>
              <w:keepNext w:val="0"/>
              <w:keepLines w:val="0"/>
              <w:pageBreakBefore w:val="0"/>
              <w:kinsoku/>
              <w:wordWrap/>
              <w:overflowPunct/>
              <w:topLinePunct w:val="0"/>
              <w:autoSpaceDE/>
              <w:autoSpaceDN/>
              <w:bidi w:val="0"/>
              <w:spacing w:line="400" w:lineRule="exact"/>
              <w:jc w:val="lef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sym w:font="Wingdings 2" w:char="0052"/>
            </w:r>
            <w:r>
              <w:rPr>
                <w:rFonts w:hint="default" w:ascii="Times New Roman" w:hAnsi="Times New Roman" w:cs="Times New Roman"/>
                <w:color w:val="000000" w:themeColor="text1"/>
                <w:sz w:val="24"/>
                <w:szCs w:val="24"/>
                <w14:textFill>
                  <w14:solidFill>
                    <w14:schemeClr w14:val="tx1"/>
                  </w14:solidFill>
                </w14:textFill>
              </w:rPr>
              <w:t xml:space="preserve">首次申报项目             </w:t>
            </w:r>
          </w:p>
          <w:p>
            <w:pPr>
              <w:keepNext w:val="0"/>
              <w:keepLines w:val="0"/>
              <w:pageBreakBefore w:val="0"/>
              <w:kinsoku/>
              <w:wordWrap/>
              <w:overflowPunct/>
              <w:topLinePunct w:val="0"/>
              <w:autoSpaceDE/>
              <w:autoSpaceDN/>
              <w:bidi w:val="0"/>
              <w:spacing w:line="400" w:lineRule="exact"/>
              <w:jc w:val="lef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sym w:font="Wingdings 2" w:char="00A3"/>
            </w:r>
            <w:r>
              <w:rPr>
                <w:rFonts w:hint="default" w:ascii="Times New Roman" w:hAnsi="Times New Roman" w:cs="Times New Roman"/>
                <w:color w:val="000000" w:themeColor="text1"/>
                <w:sz w:val="24"/>
                <w:szCs w:val="24"/>
                <w14:textFill>
                  <w14:solidFill>
                    <w14:schemeClr w14:val="tx1"/>
                  </w14:solidFill>
                </w14:textFill>
              </w:rPr>
              <w:t>不予批准后再次申报项目</w:t>
            </w:r>
          </w:p>
          <w:p>
            <w:pPr>
              <w:keepNext w:val="0"/>
              <w:keepLines w:val="0"/>
              <w:pageBreakBefore w:val="0"/>
              <w:kinsoku/>
              <w:wordWrap/>
              <w:overflowPunct/>
              <w:topLinePunct w:val="0"/>
              <w:autoSpaceDE/>
              <w:autoSpaceDN/>
              <w:bidi w:val="0"/>
              <w:spacing w:line="400" w:lineRule="exact"/>
              <w:jc w:val="lef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sym w:font="Wingdings 2" w:char="00A3"/>
            </w:r>
            <w:r>
              <w:rPr>
                <w:rFonts w:hint="default" w:ascii="Times New Roman" w:hAnsi="Times New Roman" w:cs="Times New Roman"/>
                <w:color w:val="000000" w:themeColor="text1"/>
                <w:sz w:val="24"/>
                <w:szCs w:val="24"/>
                <w14:textFill>
                  <w14:solidFill>
                    <w14:schemeClr w14:val="tx1"/>
                  </w14:solidFill>
                </w14:textFill>
              </w:rPr>
              <w:t xml:space="preserve">超五年重新审核项目     </w:t>
            </w:r>
          </w:p>
          <w:p>
            <w:pPr>
              <w:keepNext w:val="0"/>
              <w:keepLines w:val="0"/>
              <w:pageBreakBefore w:val="0"/>
              <w:kinsoku/>
              <w:wordWrap/>
              <w:overflowPunct/>
              <w:topLinePunct w:val="0"/>
              <w:autoSpaceDE/>
              <w:autoSpaceDN/>
              <w:bidi w:val="0"/>
              <w:spacing w:line="400" w:lineRule="exact"/>
              <w:jc w:val="lef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sym w:font="Wingdings 2" w:char="00A3"/>
            </w:r>
            <w:r>
              <w:rPr>
                <w:rFonts w:hint="default" w:ascii="Times New Roman" w:hAnsi="Times New Roman" w:cs="Times New Roman"/>
                <w:color w:val="000000" w:themeColor="text1"/>
                <w:sz w:val="24"/>
                <w:szCs w:val="24"/>
                <w14:textFill>
                  <w14:solidFill>
                    <w14:schemeClr w14:val="tx1"/>
                  </w14:solidFill>
                </w14:textFill>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743" w:type="dxa"/>
            <w:gridSpan w:val="2"/>
            <w:noWrap w:val="0"/>
            <w:tcMar>
              <w:top w:w="16" w:type="dxa"/>
              <w:left w:w="16" w:type="dxa"/>
              <w:right w:w="16" w:type="dxa"/>
            </w:tcMar>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项目审批（核准/</w:t>
            </w:r>
          </w:p>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备案）部门（选填）</w:t>
            </w:r>
          </w:p>
        </w:tc>
        <w:tc>
          <w:tcPr>
            <w:tcW w:w="2553" w:type="dxa"/>
            <w:gridSpan w:val="2"/>
            <w:noWrap w:val="0"/>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河南漯河经济技术产业集聚区建设管理委员会</w:t>
            </w:r>
          </w:p>
        </w:tc>
        <w:tc>
          <w:tcPr>
            <w:tcW w:w="1935" w:type="dxa"/>
            <w:noWrap w:val="0"/>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项目审批（核准/</w:t>
            </w:r>
          </w:p>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备案）文号（选填）</w:t>
            </w:r>
          </w:p>
        </w:tc>
        <w:tc>
          <w:tcPr>
            <w:tcW w:w="3708" w:type="dxa"/>
            <w:noWrap w:val="0"/>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4" w:hRule="atLeast"/>
          <w:jc w:val="center"/>
        </w:trPr>
        <w:tc>
          <w:tcPr>
            <w:tcW w:w="1743" w:type="dxa"/>
            <w:gridSpan w:val="2"/>
            <w:noWrap w:val="0"/>
            <w:tcMar>
              <w:top w:w="16" w:type="dxa"/>
              <w:left w:w="16" w:type="dxa"/>
              <w:right w:w="16" w:type="dxa"/>
            </w:tcMar>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总投资（万元）</w:t>
            </w:r>
          </w:p>
        </w:tc>
        <w:tc>
          <w:tcPr>
            <w:tcW w:w="2553" w:type="dxa"/>
            <w:gridSpan w:val="2"/>
            <w:noWrap w:val="0"/>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highlight w:val="yellow"/>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430</w:t>
            </w:r>
          </w:p>
        </w:tc>
        <w:tc>
          <w:tcPr>
            <w:tcW w:w="1935" w:type="dxa"/>
            <w:noWrap w:val="0"/>
            <w:tcMar>
              <w:top w:w="16" w:type="dxa"/>
              <w:left w:w="16" w:type="dxa"/>
              <w:right w:w="16" w:type="dxa"/>
            </w:tcMar>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环保投资（万元）</w:t>
            </w:r>
          </w:p>
        </w:tc>
        <w:tc>
          <w:tcPr>
            <w:tcW w:w="3708" w:type="dxa"/>
            <w:noWrap w:val="0"/>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000000" w:themeColor="text1"/>
                <w:sz w:val="24"/>
                <w:szCs w:val="24"/>
                <w:highlight w:val="yellow"/>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68.1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01" w:hRule="atLeast"/>
          <w:jc w:val="center"/>
        </w:trPr>
        <w:tc>
          <w:tcPr>
            <w:tcW w:w="1743" w:type="dxa"/>
            <w:gridSpan w:val="2"/>
            <w:noWrap w:val="0"/>
            <w:tcMar>
              <w:top w:w="16" w:type="dxa"/>
              <w:left w:w="16" w:type="dxa"/>
              <w:right w:w="16" w:type="dxa"/>
            </w:tcMar>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环保投资占比（%）</w:t>
            </w:r>
          </w:p>
        </w:tc>
        <w:tc>
          <w:tcPr>
            <w:tcW w:w="2553" w:type="dxa"/>
            <w:gridSpan w:val="2"/>
            <w:noWrap w:val="0"/>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000000" w:themeColor="text1"/>
                <w:sz w:val="24"/>
                <w:szCs w:val="24"/>
                <w:highlight w:val="yellow"/>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15.84</w:t>
            </w:r>
          </w:p>
        </w:tc>
        <w:tc>
          <w:tcPr>
            <w:tcW w:w="1935" w:type="dxa"/>
            <w:noWrap w:val="0"/>
            <w:tcMar>
              <w:top w:w="16" w:type="dxa"/>
              <w:left w:w="16" w:type="dxa"/>
              <w:right w:w="16" w:type="dxa"/>
            </w:tcMar>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施工工期</w:t>
            </w:r>
          </w:p>
        </w:tc>
        <w:tc>
          <w:tcPr>
            <w:tcW w:w="3708" w:type="dxa"/>
            <w:noWrap w:val="0"/>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highlight w:val="yellow"/>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43" w:type="dxa"/>
            <w:gridSpan w:val="2"/>
            <w:noWrap w:val="0"/>
            <w:tcMar>
              <w:top w:w="16" w:type="dxa"/>
              <w:left w:w="16" w:type="dxa"/>
              <w:right w:w="16" w:type="dxa"/>
            </w:tcMar>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是否开工建设</w:t>
            </w:r>
          </w:p>
        </w:tc>
        <w:tc>
          <w:tcPr>
            <w:tcW w:w="2553" w:type="dxa"/>
            <w:gridSpan w:val="2"/>
            <w:noWrap w:val="0"/>
            <w:vAlign w:val="center"/>
          </w:tcPr>
          <w:p>
            <w:pPr>
              <w:keepNext w:val="0"/>
              <w:keepLines w:val="0"/>
              <w:pageBreakBefore w:val="0"/>
              <w:kinsoku/>
              <w:wordWrap/>
              <w:overflowPunct/>
              <w:topLinePunct w:val="0"/>
              <w:autoSpaceDE/>
              <w:autoSpaceDN/>
              <w:bidi w:val="0"/>
              <w:adjustRightInd w:val="0"/>
              <w:snapToGrid w:val="0"/>
              <w:spacing w:line="400" w:lineRule="exac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sym w:font="Wingdings 2" w:char="0052"/>
            </w:r>
            <w:r>
              <w:rPr>
                <w:rFonts w:hint="default" w:ascii="Times New Roman" w:hAnsi="Times New Roman" w:cs="Times New Roman"/>
                <w:color w:val="000000" w:themeColor="text1"/>
                <w:sz w:val="24"/>
                <w:szCs w:val="24"/>
                <w14:textFill>
                  <w14:solidFill>
                    <w14:schemeClr w14:val="tx1"/>
                  </w14:solidFill>
                </w14:textFill>
              </w:rPr>
              <w:t>否</w:t>
            </w:r>
          </w:p>
          <w:p>
            <w:pPr>
              <w:keepNext w:val="0"/>
              <w:keepLines w:val="0"/>
              <w:pageBreakBefore w:val="0"/>
              <w:kinsoku/>
              <w:wordWrap/>
              <w:overflowPunct/>
              <w:topLinePunct w:val="0"/>
              <w:autoSpaceDE/>
              <w:autoSpaceDN/>
              <w:bidi w:val="0"/>
              <w:adjustRightInd w:val="0"/>
              <w:snapToGrid w:val="0"/>
              <w:spacing w:line="400" w:lineRule="exac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sym w:font="Wingdings 2" w:char="00A3"/>
            </w:r>
            <w:r>
              <w:rPr>
                <w:rFonts w:hint="default" w:ascii="Times New Roman" w:hAnsi="Times New Roman" w:cs="Times New Roman"/>
                <w:color w:val="000000" w:themeColor="text1"/>
                <w:sz w:val="24"/>
                <w:szCs w:val="24"/>
                <w14:textFill>
                  <w14:solidFill>
                    <w14:schemeClr w14:val="tx1"/>
                  </w14:solidFill>
                </w14:textFill>
              </w:rPr>
              <w:t>是：</w:t>
            </w:r>
            <w:r>
              <w:rPr>
                <w:rFonts w:hint="default" w:ascii="Times New Roman" w:hAnsi="Times New Roman" w:cs="Times New Roman"/>
                <w:color w:val="000000" w:themeColor="text1"/>
                <w:sz w:val="24"/>
                <w:szCs w:val="24"/>
                <w:u w:val="single"/>
                <w14:textFill>
                  <w14:solidFill>
                    <w14:schemeClr w14:val="tx1"/>
                  </w14:solidFill>
                </w14:textFill>
              </w:rPr>
              <w:t xml:space="preserve">             </w:t>
            </w:r>
          </w:p>
        </w:tc>
        <w:tc>
          <w:tcPr>
            <w:tcW w:w="1935" w:type="dxa"/>
            <w:noWrap w:val="0"/>
            <w:tcMar>
              <w:top w:w="16" w:type="dxa"/>
              <w:left w:w="16" w:type="dxa"/>
              <w:right w:w="16" w:type="dxa"/>
            </w:tcMar>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pacing w:val="-6"/>
                <w:sz w:val="24"/>
                <w:szCs w:val="24"/>
                <w14:textFill>
                  <w14:solidFill>
                    <w14:schemeClr w14:val="tx1"/>
                  </w14:solidFill>
                </w14:textFill>
              </w:rPr>
            </w:pPr>
            <w:r>
              <w:rPr>
                <w:rFonts w:hint="default" w:ascii="Times New Roman" w:hAnsi="Times New Roman" w:cs="Times New Roman"/>
                <w:color w:val="000000" w:themeColor="text1"/>
                <w:spacing w:val="-6"/>
                <w:sz w:val="24"/>
                <w:szCs w:val="24"/>
                <w14:textFill>
                  <w14:solidFill>
                    <w14:schemeClr w14:val="tx1"/>
                  </w14:solidFill>
                </w14:textFill>
              </w:rPr>
              <w:t>用地（用海）</w:t>
            </w:r>
          </w:p>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pacing w:val="-6"/>
                <w:sz w:val="24"/>
                <w:szCs w:val="24"/>
                <w14:textFill>
                  <w14:solidFill>
                    <w14:schemeClr w14:val="tx1"/>
                  </w14:solidFill>
                </w14:textFill>
              </w:rPr>
              <w:t>面积（m</w:t>
            </w:r>
            <w:r>
              <w:rPr>
                <w:rFonts w:hint="default" w:ascii="Times New Roman" w:hAnsi="Times New Roman" w:cs="Times New Roman"/>
                <w:color w:val="000000" w:themeColor="text1"/>
                <w:spacing w:val="-6"/>
                <w:sz w:val="24"/>
                <w:szCs w:val="24"/>
                <w:vertAlign w:val="superscript"/>
                <w14:textFill>
                  <w14:solidFill>
                    <w14:schemeClr w14:val="tx1"/>
                  </w14:solidFill>
                </w14:textFill>
              </w:rPr>
              <w:t>2</w:t>
            </w:r>
            <w:r>
              <w:rPr>
                <w:rFonts w:hint="default" w:ascii="Times New Roman" w:hAnsi="Times New Roman" w:cs="Times New Roman"/>
                <w:color w:val="000000" w:themeColor="text1"/>
                <w:spacing w:val="-6"/>
                <w:sz w:val="24"/>
                <w:szCs w:val="24"/>
                <w14:textFill>
                  <w14:solidFill>
                    <w14:schemeClr w14:val="tx1"/>
                  </w14:solidFill>
                </w14:textFill>
              </w:rPr>
              <w:t>）</w:t>
            </w:r>
          </w:p>
        </w:tc>
        <w:tc>
          <w:tcPr>
            <w:tcW w:w="3708" w:type="dxa"/>
            <w:noWrap w:val="0"/>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highlight w:val="yellow"/>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743" w:type="dxa"/>
            <w:gridSpan w:val="2"/>
            <w:noWrap w:val="0"/>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专项评价设置情况</w:t>
            </w:r>
          </w:p>
        </w:tc>
        <w:tc>
          <w:tcPr>
            <w:tcW w:w="8196" w:type="dxa"/>
            <w:gridSpan w:val="4"/>
            <w:noWrap w:val="0"/>
            <w:vAlign w:val="center"/>
          </w:tcPr>
          <w:p>
            <w:pPr>
              <w:keepNext w:val="0"/>
              <w:keepLines w:val="0"/>
              <w:pageBreakBefore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7" w:hRule="atLeast"/>
          <w:jc w:val="center"/>
        </w:trPr>
        <w:tc>
          <w:tcPr>
            <w:tcW w:w="6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规划情况</w:t>
            </w:r>
          </w:p>
        </w:tc>
        <w:tc>
          <w:tcPr>
            <w:tcW w:w="9243" w:type="dxa"/>
            <w:gridSpan w:val="5"/>
            <w:noWrap w:val="0"/>
            <w:vAlign w:val="center"/>
          </w:tcPr>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规划文件名称：《漯河经济技术产业集聚区发展规划调整方案（2012-2030）》；</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审批机关：河南省发展和改革委员会；</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审批文件名称：河南省发展和改革委员会关于《漯河市经济技术产业集聚区发展规划调整方案的批复》；</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审批文件文号：豫发改工业[2012]2364号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1" w:hRule="atLeast"/>
          <w:jc w:val="center"/>
        </w:trPr>
        <w:tc>
          <w:tcPr>
            <w:tcW w:w="69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规划环境影响</w:t>
            </w:r>
          </w:p>
          <w:p>
            <w:pPr>
              <w:keepNext w:val="0"/>
              <w:keepLines w:val="0"/>
              <w:pageBreakBefore w:val="0"/>
              <w:widowControl w:val="0"/>
              <w:kinsoku/>
              <w:wordWrap/>
              <w:overflowPunct/>
              <w:topLinePunct w:val="0"/>
              <w:autoSpaceDE/>
              <w:autoSpaceDN/>
              <w:bidi w:val="0"/>
              <w:adjustRightInd w:val="0"/>
              <w:snapToGrid w:val="0"/>
              <w:spacing w:line="480" w:lineRule="exact"/>
              <w:jc w:val="center"/>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评价情况</w:t>
            </w:r>
          </w:p>
        </w:tc>
        <w:tc>
          <w:tcPr>
            <w:tcW w:w="9243" w:type="dxa"/>
            <w:gridSpan w:val="5"/>
            <w:noWrap w:val="0"/>
            <w:vAlign w:val="center"/>
          </w:tcPr>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规划环境影响评价文件名称：《漯河市经济技术产业集聚区发展规划调整方案环境影响报告书》 ；</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审查机关：河南省生态环境厅；</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审查文件名称：《河南省环境保护厅关于漯河市经济技术产业集聚区发展规划调整方案环境影响报告书的审查意见》；</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审查文号：豫环函[2017]240号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696" w:type="dxa"/>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480" w:lineRule="exact"/>
              <w:jc w:val="center"/>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规划及规划环境影响评价符合性分析</w:t>
            </w:r>
          </w:p>
        </w:tc>
        <w:tc>
          <w:tcPr>
            <w:tcW w:w="9243" w:type="dxa"/>
            <w:gridSpan w:val="5"/>
            <w:noWrap w:val="0"/>
            <w:vAlign w:val="center"/>
          </w:tcPr>
          <w:p>
            <w:pPr>
              <w:keepNext w:val="0"/>
              <w:keepLines w:val="0"/>
              <w:pageBreakBefore w:val="0"/>
              <w:widowControl w:val="0"/>
              <w:kinsoku/>
              <w:wordWrap/>
              <w:overflowPunct/>
              <w:topLinePunct w:val="0"/>
              <w:autoSpaceDE/>
              <w:autoSpaceDN/>
              <w:bidi w:val="0"/>
              <w:adjustRightInd w:val="0"/>
              <w:snapToGrid w:val="0"/>
              <w:spacing w:line="480" w:lineRule="exact"/>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1</w:t>
            </w:r>
            <w:r>
              <w:rPr>
                <w:rFonts w:hint="default" w:ascii="Times New Roman" w:hAnsi="Times New Roman" w:cs="Times New Roman"/>
                <w:b/>
                <w:bCs/>
                <w:color w:val="000000" w:themeColor="text1"/>
                <w:sz w:val="24"/>
                <w:szCs w:val="24"/>
                <w:lang w:eastAsia="zh-CN"/>
                <w14:textFill>
                  <w14:solidFill>
                    <w14:schemeClr w14:val="tx1"/>
                  </w14:solidFill>
                </w14:textFill>
              </w:rPr>
              <w:t>、</w:t>
            </w:r>
            <w:r>
              <w:rPr>
                <w:rFonts w:hint="default" w:ascii="Times New Roman" w:hAnsi="Times New Roman" w:cs="Times New Roman"/>
                <w:b/>
                <w:bCs/>
                <w:color w:val="000000" w:themeColor="text1"/>
                <w:sz w:val="24"/>
                <w:szCs w:val="24"/>
                <w14:textFill>
                  <w14:solidFill>
                    <w14:schemeClr w14:val="tx1"/>
                  </w14:solidFill>
                </w14:textFill>
              </w:rPr>
              <w:t>与《漯河经济技术产业集聚区发展规划调整方案（2012-2030）》符合性分析</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（1）规划概况</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根据漯河市经济技术产业集聚区发展规划调整方案，调整后的产业集聚区规划范围为：东至京港澳高速-凤凰山路</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经八路一线</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、西至金山路、南至漯上公路、北至人民路-双汇路一线，总规划面积的32.48km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（2）产业定位</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根据漯河经济技术产业集聚区发展规划调整方案，主导产业不变，仍为：重点发展食品加工业。发展定位为：以食品生产、加工为主导产业的产业集聚区，中部地区创新创业、绿色生态发展的示范区，世界知名的食品工业基地。</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（3）规划范围</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规划范围为：东至京港澳高速-凤凰山路</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经八路线</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、西至金山路、南至漯上公路、北至人民路-双汇路线。规划面积32.48平方公里。</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（4）规划年限</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规划年限：规划至2030年底。</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（5）土地利用规划</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漯河经济技术产业集聚区规划土地利用主要包括公共管理与公共服务设施用地、商业服务业设施用地、工业用地、仓储用地、道路与交通设施用地、绿地和居住用地。根据《漯河经济技术产业集聚</w:t>
            </w:r>
            <w:bookmarkStart w:id="10" w:name="_GoBack"/>
            <w:bookmarkEnd w:id="10"/>
            <w:r>
              <w:rPr>
                <w:rFonts w:hint="default" w:ascii="Times New Roman" w:hAnsi="Times New Roman" w:eastAsia="宋体" w:cs="Times New Roman"/>
                <w:color w:val="000000" w:themeColor="text1"/>
                <w:sz w:val="24"/>
                <w:szCs w:val="24"/>
                <w:highlight w:val="none"/>
                <w14:textFill>
                  <w14:solidFill>
                    <w14:schemeClr w14:val="tx1"/>
                  </w14:solidFill>
                </w14:textFill>
              </w:rPr>
              <w:t>区发展规划（2018～2030—土地使用规划图）》，本项目所在地土地性质为</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商业用地</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（6）规划空间布局</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规划形成“一心两廊、两主两次、客片区”的空间结构，其中：</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一心：公共服务中心，以管委会为中心的周边区域。</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西廊：沿京港澳高速和漯阜铁路的两条主要绿化通道，依托宁洛高速和黑河形成一定的网状。</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两</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轴</w:t>
            </w:r>
            <w:r>
              <w:rPr>
                <w:rFonts w:hint="default" w:ascii="Times New Roman" w:hAnsi="Times New Roman" w:eastAsia="宋体" w:cs="Times New Roman"/>
                <w:color w:val="000000" w:themeColor="text1"/>
                <w:sz w:val="24"/>
                <w:szCs w:val="24"/>
                <w:highlight w:val="none"/>
                <w14:textFill>
                  <w14:solidFill>
                    <w14:schemeClr w14:val="tx1"/>
                  </w14:solidFill>
                </w14:textFill>
              </w:rPr>
              <w:t>：沿中山路和湘江路的西条主要发展轴线。两次</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沿燕山路和东方红路的两条次委发展轴线。</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多片区：中心商务区、城市综合服务区、食品综合</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产业</w:t>
            </w:r>
            <w:r>
              <w:rPr>
                <w:rFonts w:hint="default" w:ascii="Times New Roman" w:hAnsi="Times New Roman" w:eastAsia="宋体" w:cs="Times New Roman"/>
                <w:color w:val="000000" w:themeColor="text1"/>
                <w:sz w:val="24"/>
                <w:szCs w:val="24"/>
                <w:highlight w:val="none"/>
                <w14:textFill>
                  <w14:solidFill>
                    <w14:schemeClr w14:val="tx1"/>
                  </w14:solidFill>
                </w14:textFill>
              </w:rPr>
              <w:t>园等多个功能片区。</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（7）给水工程设施规划</w:t>
            </w:r>
          </w:p>
          <w:p>
            <w:pPr>
              <w:keepNext w:val="0"/>
              <w:keepLines w:val="0"/>
              <w:pageBreakBefore w:val="0"/>
              <w:widowControl w:val="0"/>
              <w:kinsoku/>
              <w:wordWrap/>
              <w:overflowPunct/>
              <w:topLinePunct w:val="0"/>
              <w:autoSpaceDE w:val="0"/>
              <w:autoSpaceDN w:val="0"/>
              <w:bidi w:val="0"/>
              <w:adjustRightInd w:val="0"/>
              <w:snapToGrid w:val="0"/>
              <w:spacing w:line="480" w:lineRule="exact"/>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 xml:space="preserve">    现状给水：集聚区现状有1座自来水厂</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为八水厂，现状规模2.5万m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/d，占地3.3 公顷，水源为南水北调水。宁洛高速以北区域由一水厂、二水厂供水。</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管网：给水管网未达到全覆盖，主要延伸至北部生活区</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和</w:t>
            </w:r>
            <w:r>
              <w:rPr>
                <w:rFonts w:hint="default" w:ascii="Times New Roman" w:hAnsi="Times New Roman" w:eastAsia="宋体" w:cs="Times New Roman"/>
                <w:color w:val="000000" w:themeColor="text1"/>
                <w:sz w:val="24"/>
                <w:szCs w:val="24"/>
                <w:highlight w:val="none"/>
                <w14:textFill>
                  <w14:solidFill>
                    <w14:schemeClr w14:val="tx1"/>
                  </w14:solidFill>
                </w14:textFill>
              </w:rPr>
              <w:t>南部工业园区。</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用水量预测：集聚区最高日</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用水量</w:t>
            </w:r>
            <w:r>
              <w:rPr>
                <w:rFonts w:hint="default" w:ascii="Times New Roman" w:hAnsi="Times New Roman" w:eastAsia="宋体" w:cs="Times New Roman"/>
                <w:color w:val="000000" w:themeColor="text1"/>
                <w:sz w:val="24"/>
                <w:szCs w:val="24"/>
                <w:highlight w:val="none"/>
                <w14:textFill>
                  <w14:solidFill>
                    <w14:schemeClr w14:val="tx1"/>
                  </w14:solidFill>
                </w14:textFill>
              </w:rPr>
              <w:t>为14.72 万m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/d。</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发展目标：创建节水型工业、节水型城市。饮用水水源达标率100%，水环境功能区达标率95%以上，城市集中供水普及率达到100%。</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水源规划：集聚区绝大部分属于漯河市中心城区，纳入漯河市水资源平衡。本区采用的水源包括沙河、澧河、本地地下水、南水北调水和再生水。</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水厂规划：城市生活用水、工业用水纳入漯河市城市供水系统，由二水厂、五水厂、八水厂、九水厂共同供给。市政用水、工业低质用水优先取用再生水。以八水厂主供，远期规模达到12.5万m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/d，占地4.2公顷，水源为南水北调水和沙河水。</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（8） 排水规划</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现状排水：规划集聚区内的排水体制为雨污分流，污水集中收集后，经污水管网入污水处理厂，处理达标后排入黑河，雨水根据现状地形地势及冲沟河流水域进入西部支河、黑河及黑西支河、汾河、排水渠。</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预测排水：集聚区平均日污水量为9.5万m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/d。</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污水处理厂：集聚区现状有3座污水处理厂，为沙南（黑河）污水处理厂、漯河经济技术开发区污水处理厂，汾河污水处理厂。</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沙南污水处理厂处理规模13万m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/d，收取2.7万m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/d的集聚区废水，收取10.3万m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/d 的城市生活污水，（沙南污水处理厂现已满负荷运行）；漯河经济技术开发区污水处理厂处理规模6万m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/d，只收取产业集聚区废水；汾河污水处理厂（漯河市东城污水处理厂）目前处理规模5万m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/d，远期规模16万m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/d，汾河污水处理厂（漯河市东城污水处理厂）收取40%的集聚区废水，收取60%的东城产业集聚区废水。</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规划区京港澳高速西部污水排入沙南（黑河）污水处理厂和漯河经济技术开发区污水处理厂处理，京港澳高速东部污水排入汾河污水处理厂处理。</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污水厂尾水排放执行《城镇污水处理厂污染物排放标准及修改单》（GB18918-2002）一级A排放标准，尾水除供再生水厂外其余均排入地表水体。</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（9）供热规划</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现状供热：现在1座热电厂，装机容量2×330MW，供热能力1460t/h。</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规划目标：建立以热电厂集中供热为主，以天然气及可用再生能源为热源的分散供热方式为补充的供热系统。集中供热普及率：民用采暖用户73%，工业生汽用户100%。</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热负荷预测：民用集中采暖热负荷：207MW，工业热负荷：318t/h。</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扩容现状华电漯河发电有限公司，以华电漯河发电有限公司，形成1个高温热水供热分区及1个蒸汽供热分区，干管呈枝状布置，高温热水干管管径DN400～DN1200mm，蒸汽管道干管管径DN300～DN800mm</w:t>
            </w:r>
            <w:r>
              <w:rPr>
                <w:rFonts w:hint="default" w:ascii="Times New Roman" w:hAnsi="Times New Roman" w:cs="Times New Roman"/>
                <w:color w:val="000000" w:themeColor="text1"/>
                <w:sz w:val="24"/>
                <w:szCs w:val="24"/>
                <w14:textFill>
                  <w14:solidFill>
                    <w14:schemeClr w14:val="tx1"/>
                  </w14:solidFill>
                </w14:textFill>
              </w:rPr>
              <w:t>。</w:t>
            </w:r>
          </w:p>
          <w:p>
            <w:pPr>
              <w:pStyle w:val="35"/>
              <w:keepNext w:val="0"/>
              <w:keepLines w:val="0"/>
              <w:pageBreakBefore w:val="0"/>
              <w:widowControl w:val="0"/>
              <w:kinsoku/>
              <w:wordWrap/>
              <w:overflowPunct/>
              <w:topLinePunct w:val="0"/>
              <w:autoSpaceDE/>
              <w:autoSpaceDN/>
              <w:bidi w:val="0"/>
              <w:spacing w:after="0" w:line="480" w:lineRule="exact"/>
              <w:ind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本项目位于漯河市经济技术产业集聚区（含漯河经济开发区）</w:t>
            </w:r>
            <w:r>
              <w:rPr>
                <w:rFonts w:hint="default" w:ascii="Times New Roman" w:hAnsi="Times New Roman" w:cs="Times New Roman"/>
                <w:color w:val="000000" w:themeColor="text1"/>
                <w:sz w:val="24"/>
                <w:szCs w:val="24"/>
                <w:lang w:eastAsia="zh-CN"/>
                <w14:textFill>
                  <w14:solidFill>
                    <w14:schemeClr w14:val="tx1"/>
                  </w14:solidFill>
                </w14:textFill>
              </w:rPr>
              <w:t>燕山南路与漳江东路交叉口往西北约210米</w:t>
            </w:r>
            <w:r>
              <w:rPr>
                <w:rFonts w:hint="default" w:ascii="Times New Roman" w:hAnsi="Times New Roman" w:cs="Times New Roman"/>
                <w:color w:val="000000" w:themeColor="text1"/>
                <w:sz w:val="24"/>
                <w:szCs w:val="24"/>
                <w14:textFill>
                  <w14:solidFill>
                    <w14:schemeClr w14:val="tx1"/>
                  </w14:solidFill>
                </w14:textFill>
              </w:rPr>
              <w:t>，为加油站项目，用地性质为商业用地，</w:t>
            </w:r>
            <w:r>
              <w:rPr>
                <w:rFonts w:hint="default" w:ascii="Times New Roman" w:hAnsi="Times New Roman" w:eastAsia="宋体" w:cs="Times New Roman"/>
                <w:color w:val="000000" w:themeColor="text1"/>
                <w:sz w:val="24"/>
                <w:szCs w:val="24"/>
                <w14:textFill>
                  <w14:solidFill>
                    <w14:schemeClr w14:val="tx1"/>
                  </w14:solidFill>
                </w14:textFill>
              </w:rPr>
              <w:t>已于202</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年</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7</w:t>
            </w:r>
            <w:r>
              <w:rPr>
                <w:rFonts w:hint="default" w:ascii="Times New Roman" w:hAnsi="Times New Roman" w:eastAsia="宋体" w:cs="Times New Roman"/>
                <w:color w:val="000000" w:themeColor="text1"/>
                <w:sz w:val="24"/>
                <w:szCs w:val="24"/>
                <w14:textFill>
                  <w14:solidFill>
                    <w14:schemeClr w14:val="tx1"/>
                  </w14:solidFill>
                </w14:textFill>
              </w:rPr>
              <w:t>月</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11</w:t>
            </w:r>
            <w:r>
              <w:rPr>
                <w:rFonts w:hint="default" w:ascii="Times New Roman" w:hAnsi="Times New Roman" w:eastAsia="宋体" w:cs="Times New Roman"/>
                <w:color w:val="000000" w:themeColor="text1"/>
                <w:sz w:val="24"/>
                <w:szCs w:val="24"/>
                <w14:textFill>
                  <w14:solidFill>
                    <w14:schemeClr w14:val="tx1"/>
                  </w14:solidFill>
                </w14:textFill>
              </w:rPr>
              <w:t>日在河南漯河经济技术产业集聚区建设管理委员会备案，</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备案文号为：</w:t>
            </w:r>
            <w:r>
              <w:rPr>
                <w:rFonts w:hint="default" w:ascii="Times New Roman" w:hAnsi="Times New Roman" w:eastAsia="宋体" w:cs="Times New Roman"/>
                <w:color w:val="000000" w:themeColor="text1"/>
                <w:sz w:val="24"/>
                <w:szCs w:val="24"/>
                <w14:textFill>
                  <w14:solidFill>
                    <w14:schemeClr w14:val="tx1"/>
                  </w14:solidFill>
                </w14:textFill>
              </w:rPr>
              <w:t>2307-411171-04-01-133465</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符合漯河经济技术产业集聚区发展规划。根据</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漯河市自然资源和规划局经济技术开发区分局出具</w:t>
            </w:r>
            <w:r>
              <w:rPr>
                <w:rFonts w:hint="default" w:ascii="Times New Roman" w:hAnsi="Times New Roman" w:eastAsia="宋体" w:cs="Times New Roman"/>
                <w:color w:val="000000" w:themeColor="text1"/>
                <w:sz w:val="24"/>
                <w:szCs w:val="24"/>
                <w14:textFill>
                  <w14:solidFill>
                    <w14:schemeClr w14:val="tx1"/>
                  </w14:solidFill>
                </w14:textFill>
              </w:rPr>
              <w:t>的证明，本项目符合</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该区域城乡规划要求</w:t>
            </w:r>
            <w:r>
              <w:rPr>
                <w:rFonts w:hint="default" w:ascii="Times New Roman" w:hAnsi="Times New Roman" w:eastAsia="宋体" w:cs="Times New Roman"/>
                <w:color w:val="000000" w:themeColor="text1"/>
                <w:sz w:val="24"/>
                <w:szCs w:val="24"/>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eastAsia="宋体" w:cs="Times New Roman"/>
                <w:b/>
                <w:bCs/>
                <w:color w:val="000000" w:themeColor="text1"/>
                <w:sz w:val="24"/>
                <w:highlight w:val="none"/>
                <w:u w:val="none"/>
                <w:lang w:val="en-US"/>
                <w14:textFill>
                  <w14:solidFill>
                    <w14:schemeClr w14:val="tx1"/>
                  </w14:solidFill>
                </w14:textFill>
              </w:rPr>
            </w:pPr>
            <w:r>
              <w:rPr>
                <w:rFonts w:hint="default" w:ascii="Times New Roman" w:hAnsi="Times New Roman" w:eastAsia="宋体" w:cs="Times New Roman"/>
                <w:b/>
                <w:bCs/>
                <w:color w:val="000000" w:themeColor="text1"/>
                <w:sz w:val="24"/>
                <w:highlight w:val="none"/>
                <w:u w:val="none"/>
                <w:lang w:val="en-US"/>
                <w14:textFill>
                  <w14:solidFill>
                    <w14:schemeClr w14:val="tx1"/>
                  </w14:solidFill>
                </w14:textFill>
              </w:rPr>
              <w:t>2、与《漯河经济技术产业集聚区发展规划调整方案环境影响报告书》相符性分析</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2" w:firstLineChars="200"/>
              <w:textAlignment w:val="auto"/>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lang w:val="en-US" w:eastAsia="zh-CN"/>
                <w14:textFill>
                  <w14:solidFill>
                    <w14:schemeClr w14:val="tx1"/>
                  </w14:solidFill>
                </w14:textFill>
              </w:rPr>
              <w:t>2.</w:t>
            </w:r>
            <w:r>
              <w:rPr>
                <w:rFonts w:hint="default" w:ascii="Times New Roman" w:hAnsi="Times New Roman" w:cs="Times New Roman"/>
                <w:b/>
                <w:bCs/>
                <w:color w:val="000000" w:themeColor="text1"/>
                <w:sz w:val="24"/>
                <w:highlight w:val="none"/>
                <w14:textFill>
                  <w14:solidFill>
                    <w14:schemeClr w14:val="tx1"/>
                  </w14:solidFill>
                </w14:textFill>
              </w:rPr>
              <w:t>1、负面清单行业要求</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（1）不符合开发区产业定位、污染排放较大的行业。</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（2）高水耗、高物耗、高能耗的项目。</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 xml:space="preserve">（3）废水含难降解的有机污染物、“三致”污染物、 及盐分含量较高的项目；废水经预处理达不到污水处理厂接管标准的项目。 </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（4）工艺废气中含有难处理的、有毒有害物质的项目。</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（5）采用落后的生产工艺或生产设备，不符合国家相关产业政策、达不到规模经济的项目，这类项目包括：</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①国际上和国家各部门禁止或准备禁止生产的项目，明令淘汰的项目；</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②生产方式落后、高能耗、严重浪费资源和污染资源的项目；</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③污染严重，</w:t>
            </w:r>
            <w:r>
              <w:rPr>
                <w:rFonts w:hint="default" w:ascii="Times New Roman" w:hAnsi="Times New Roman" w:cs="Times New Roman"/>
                <w:color w:val="000000" w:themeColor="text1"/>
                <w:sz w:val="24"/>
                <w:highlight w:val="none"/>
                <w:lang w:eastAsia="zh-CN"/>
                <w14:textFill>
                  <w14:solidFill>
                    <w14:schemeClr w14:val="tx1"/>
                  </w14:solidFill>
                </w14:textFill>
              </w:rPr>
              <w:t>破坏</w:t>
            </w:r>
            <w:r>
              <w:rPr>
                <w:rFonts w:hint="default" w:ascii="Times New Roman" w:hAnsi="Times New Roman" w:cs="Times New Roman"/>
                <w:color w:val="000000" w:themeColor="text1"/>
                <w:sz w:val="24"/>
                <w:highlight w:val="none"/>
                <w14:textFill>
                  <w14:solidFill>
                    <w14:schemeClr w14:val="tx1"/>
                  </w14:solidFill>
                </w14:textFill>
              </w:rPr>
              <w:t>自然生态和损害人体健康又无治理技术或难以治理的项目；</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④严禁引进不符合经济规模要求，</w:t>
            </w:r>
            <w:r>
              <w:rPr>
                <w:rFonts w:hint="default" w:ascii="Times New Roman" w:hAnsi="Times New Roman" w:cs="Times New Roman"/>
                <w:color w:val="000000" w:themeColor="text1"/>
                <w:sz w:val="24"/>
                <w:highlight w:val="none"/>
                <w:lang w:eastAsia="zh-CN"/>
                <w14:textFill>
                  <w14:solidFill>
                    <w14:schemeClr w14:val="tx1"/>
                  </w14:solidFill>
                </w14:textFill>
              </w:rPr>
              <w:t>经济效益</w:t>
            </w:r>
            <w:r>
              <w:rPr>
                <w:rFonts w:hint="default" w:ascii="Times New Roman" w:hAnsi="Times New Roman" w:cs="Times New Roman"/>
                <w:color w:val="000000" w:themeColor="text1"/>
                <w:sz w:val="24"/>
                <w:highlight w:val="none"/>
                <w14:textFill>
                  <w14:solidFill>
                    <w14:schemeClr w14:val="tx1"/>
                  </w14:solidFill>
                </w14:textFill>
              </w:rPr>
              <w:t>差，</w:t>
            </w:r>
            <w:r>
              <w:rPr>
                <w:rFonts w:hint="default" w:ascii="Times New Roman" w:hAnsi="Times New Roman" w:cs="Times New Roman"/>
                <w:color w:val="000000" w:themeColor="text1"/>
                <w:sz w:val="24"/>
                <w:highlight w:val="none"/>
                <w:lang w:val="en-US" w:eastAsia="zh-CN"/>
                <w14:textFill>
                  <w14:solidFill>
                    <w14:schemeClr w14:val="tx1"/>
                  </w14:solidFill>
                </w14:textFill>
              </w:rPr>
              <w:t>污染</w:t>
            </w:r>
            <w:r>
              <w:rPr>
                <w:rFonts w:hint="default" w:ascii="Times New Roman" w:hAnsi="Times New Roman" w:cs="Times New Roman"/>
                <w:color w:val="000000" w:themeColor="text1"/>
                <w:sz w:val="24"/>
                <w:highlight w:val="none"/>
                <w14:textFill>
                  <w14:solidFill>
                    <w14:schemeClr w14:val="tx1"/>
                  </w14:solidFill>
                </w14:textFill>
              </w:rPr>
              <w:t>严重的“十五小”及“新五小”企业。</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本项目位于漯河市经济技术产业集聚区（含漯河经济开发区）</w:t>
            </w:r>
            <w:r>
              <w:rPr>
                <w:rFonts w:hint="default" w:ascii="Times New Roman" w:hAnsi="Times New Roman" w:cs="Times New Roman"/>
                <w:color w:val="000000" w:themeColor="text1"/>
                <w:sz w:val="24"/>
                <w:szCs w:val="24"/>
                <w:lang w:eastAsia="zh-CN"/>
                <w14:textFill>
                  <w14:solidFill>
                    <w14:schemeClr w14:val="tx1"/>
                  </w14:solidFill>
                </w14:textFill>
              </w:rPr>
              <w:t>燕山南路与漳江东路交叉口往西北约210米</w:t>
            </w:r>
            <w:r>
              <w:rPr>
                <w:rFonts w:hint="default" w:ascii="Times New Roman" w:hAnsi="Times New Roman" w:cs="Times New Roman"/>
                <w:color w:val="000000" w:themeColor="text1"/>
                <w:sz w:val="24"/>
                <w:szCs w:val="24"/>
                <w14:textFill>
                  <w14:solidFill>
                    <w14:schemeClr w14:val="tx1"/>
                  </w14:solidFill>
                </w14:textFill>
              </w:rPr>
              <w:t>，为加油站项目</w:t>
            </w:r>
            <w:r>
              <w:rPr>
                <w:rFonts w:hint="default" w:ascii="Times New Roman" w:hAnsi="Times New Roman" w:cs="Times New Roman"/>
                <w:color w:val="000000" w:themeColor="text1"/>
                <w:sz w:val="24"/>
                <w:highlight w:val="none"/>
                <w14:textFill>
                  <w14:solidFill>
                    <w14:schemeClr w14:val="tx1"/>
                  </w14:solidFill>
                </w14:textFill>
              </w:rPr>
              <w:t>，符合开发区定位；项目耗能低、污染物产生量少，不属于污染排放较大的行业；</w:t>
            </w:r>
            <w:r>
              <w:rPr>
                <w:rFonts w:hint="default" w:ascii="Times New Roman" w:hAnsi="Times New Roman" w:cs="Times New Roman"/>
                <w:color w:val="000000" w:themeColor="text1"/>
                <w:sz w:val="24"/>
                <w:highlight w:val="none"/>
                <w:lang w:val="en-US" w:eastAsia="zh-CN"/>
                <w14:textFill>
                  <w14:solidFill>
                    <w14:schemeClr w14:val="tx1"/>
                  </w14:solidFill>
                </w14:textFill>
              </w:rPr>
              <w:t>仅涉及生活污水，</w:t>
            </w:r>
            <w:r>
              <w:rPr>
                <w:rFonts w:hint="default" w:ascii="Times New Roman" w:hAnsi="Times New Roman" w:cs="Times New Roman"/>
                <w:color w:val="000000" w:themeColor="text1"/>
                <w:sz w:val="24"/>
                <w:highlight w:val="none"/>
                <w14:textFill>
                  <w14:solidFill>
                    <w14:schemeClr w14:val="tx1"/>
                  </w14:solidFill>
                </w14:textFill>
              </w:rPr>
              <w:t>废水不含难降解的有机污染物、“三致”污染物及盐分含量较高的项目，废水经预处理可以达到污水处理厂接管标准；项目工艺废气中不含难处理的、有毒有害物质的项目；项目</w:t>
            </w:r>
            <w:r>
              <w:rPr>
                <w:rFonts w:hint="default" w:ascii="Times New Roman" w:hAnsi="Times New Roman" w:cs="Times New Roman"/>
                <w:color w:val="000000" w:themeColor="text1"/>
                <w:sz w:val="24"/>
                <w:highlight w:val="none"/>
                <w:lang w:val="en-US" w:eastAsia="zh-CN"/>
                <w14:textFill>
                  <w14:solidFill>
                    <w14:schemeClr w14:val="tx1"/>
                  </w14:solidFill>
                </w14:textFill>
              </w:rPr>
              <w:t>未采用</w:t>
            </w:r>
            <w:r>
              <w:rPr>
                <w:rFonts w:hint="default" w:ascii="Times New Roman" w:hAnsi="Times New Roman" w:cs="Times New Roman"/>
                <w:color w:val="000000" w:themeColor="text1"/>
                <w:sz w:val="24"/>
                <w:highlight w:val="none"/>
                <w14:textFill>
                  <w14:solidFill>
                    <w14:schemeClr w14:val="tx1"/>
                  </w14:solidFill>
                </w14:textFill>
              </w:rPr>
              <w:t>落后的生产工艺或设备，符合国家相关产业政策；不属于漯河经济技术产业集聚限制或禁止引进的项目和行业</w:t>
            </w:r>
            <w:r>
              <w:rPr>
                <w:rFonts w:hint="default" w:ascii="Times New Roman" w:hAnsi="Times New Roman" w:cs="Times New Roman"/>
                <w:color w:val="000000" w:themeColor="text1"/>
                <w:sz w:val="24"/>
                <w:highlight w:val="none"/>
                <w:lang w:eastAsia="zh-CN"/>
                <w14:textFill>
                  <w14:solidFill>
                    <w14:schemeClr w14:val="tx1"/>
                  </w14:solidFill>
                </w14:textFill>
              </w:rPr>
              <w:t>。</w:t>
            </w:r>
          </w:p>
          <w:p>
            <w:pPr>
              <w:keepNext w:val="0"/>
              <w:keepLines w:val="0"/>
              <w:pageBreakBefore w:val="0"/>
              <w:widowControl w:val="0"/>
              <w:kinsoku/>
              <w:wordWrap/>
              <w:overflowPunct/>
              <w:topLinePunct w:val="0"/>
              <w:bidi w:val="0"/>
              <w:spacing w:line="480" w:lineRule="exact"/>
              <w:ind w:firstLine="482" w:firstLineChars="200"/>
              <w:textAlignment w:val="auto"/>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lang w:val="en-US" w:eastAsia="zh-CN"/>
                <w14:textFill>
                  <w14:solidFill>
                    <w14:schemeClr w14:val="tx1"/>
                  </w14:solidFill>
                </w14:textFill>
              </w:rPr>
              <w:t>2.</w:t>
            </w:r>
            <w:r>
              <w:rPr>
                <w:rFonts w:hint="default" w:ascii="Times New Roman" w:hAnsi="Times New Roman" w:cs="Times New Roman"/>
                <w:b/>
                <w:bCs/>
                <w:color w:val="000000" w:themeColor="text1"/>
                <w:sz w:val="24"/>
                <w:highlight w:val="none"/>
                <w14:textFill>
                  <w14:solidFill>
                    <w14:schemeClr w14:val="tx1"/>
                  </w14:solidFill>
                </w14:textFill>
              </w:rPr>
              <w:t>2、与《漯河经济技术产业集聚区发展规划调整方案环境影响报告书》中环境准入条件相符性分析</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根据《漯河市经济技术产业集聚区发展规划调整方案环境影响报告书（报批版）》及审查意见（豫环函[2017]240号），经开区产业集聚区环境准入条件及负面清单见下表。</w:t>
            </w:r>
          </w:p>
          <w:p>
            <w:pPr>
              <w:pStyle w:val="15"/>
              <w:pageBreakBefore w:val="0"/>
              <w:kinsoku/>
              <w:wordWrap/>
              <w:overflowPunct/>
              <w:topLinePunct w:val="0"/>
              <w:bidi w:val="0"/>
              <w:spacing w:line="480" w:lineRule="exact"/>
              <w:ind w:left="0" w:firstLine="482"/>
              <w:textAlignment w:val="auto"/>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t>表1       本项目与漯河市经济技术产业集聚区负面清单相符性分析</w:t>
            </w:r>
          </w:p>
          <w:tbl>
            <w:tblPr>
              <w:tblStyle w:val="37"/>
              <w:tblW w:w="914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69"/>
              <w:gridCol w:w="646"/>
              <w:gridCol w:w="4620"/>
              <w:gridCol w:w="2520"/>
              <w:gridCol w:w="88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115" w:type="dxa"/>
                  <w:gridSpan w:val="2"/>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类别</w:t>
                  </w: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准入条件及负面清单</w:t>
                  </w:r>
                </w:p>
              </w:tc>
              <w:tc>
                <w:tcPr>
                  <w:tcW w:w="25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本项目</w:t>
                  </w:r>
                </w:p>
              </w:tc>
              <w:tc>
                <w:tcPr>
                  <w:tcW w:w="887"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9" w:type="dxa"/>
                  <w:vMerge w:val="restart"/>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行业负面清单</w:t>
                  </w:r>
                </w:p>
              </w:tc>
              <w:tc>
                <w:tcPr>
                  <w:tcW w:w="646" w:type="dxa"/>
                  <w:vMerge w:val="restart"/>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禁止类</w:t>
                  </w: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坚持以国家相关产业政策和环境保护政策为指导，引进的项目必须符合国家产业政策和环保政策的要求；禁止不符合国家产业政策及环境保护政策的项目入驻集聚区</w:t>
                  </w:r>
                </w:p>
              </w:tc>
              <w:tc>
                <w:tcPr>
                  <w:tcW w:w="25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本项目为加油站项目，符合国家产业政策和环保政策</w:t>
                  </w:r>
                </w:p>
              </w:tc>
              <w:tc>
                <w:tcPr>
                  <w:tcW w:w="887"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9"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46"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禁止入驻不符合产业集聚区产业定位或与产业集聚区定位冲突的项目</w:t>
                  </w:r>
                </w:p>
              </w:tc>
              <w:tc>
                <w:tcPr>
                  <w:tcW w:w="25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本项目为加油站项目，为服务业，与产业集聚区定位不冲突</w:t>
                  </w:r>
                </w:p>
              </w:tc>
              <w:tc>
                <w:tcPr>
                  <w:tcW w:w="887"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9"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46"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根据集聚区发展定位及现状，禁止新入驻含电镀、铸造工艺的项目</w:t>
                  </w:r>
                </w:p>
              </w:tc>
              <w:tc>
                <w:tcPr>
                  <w:tcW w:w="25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本项目不涉及</w:t>
                  </w:r>
                </w:p>
              </w:tc>
              <w:tc>
                <w:tcPr>
                  <w:tcW w:w="887"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9"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46"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根据集聚区发展现状及调整建议，禁止在京港澳高速以西，洛宁高速以南，金山路以东的地块入驻重污染企业</w:t>
                  </w:r>
                </w:p>
              </w:tc>
              <w:tc>
                <w:tcPr>
                  <w:tcW w:w="25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w:t>
                  </w:r>
                  <w:r>
                    <w:rPr>
                      <w:rFonts w:hint="default" w:ascii="Times New Roman" w:hAnsi="Times New Roman" w:cs="Times New Roman"/>
                      <w:color w:val="000000" w:themeColor="text1"/>
                      <w:sz w:val="21"/>
                      <w:szCs w:val="21"/>
                      <w:lang w:val="en-US" w:eastAsia="zh-CN"/>
                      <w14:textFill>
                        <w14:solidFill>
                          <w14:schemeClr w14:val="tx1"/>
                        </w14:solidFill>
                      </w14:textFill>
                    </w:rPr>
                    <w:t>不位于禁止建设区域，且不属于重污染项目</w:t>
                  </w:r>
                </w:p>
              </w:tc>
              <w:tc>
                <w:tcPr>
                  <w:tcW w:w="887"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9"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46"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禁止涉及化学纤维制造业</w:t>
                  </w:r>
                </w:p>
              </w:tc>
              <w:tc>
                <w:tcPr>
                  <w:tcW w:w="25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本项目不涉及</w:t>
                  </w:r>
                </w:p>
              </w:tc>
              <w:tc>
                <w:tcPr>
                  <w:tcW w:w="8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9"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46"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禁止废旧塑料、橡胶再生利用业</w:t>
                  </w:r>
                </w:p>
              </w:tc>
              <w:tc>
                <w:tcPr>
                  <w:tcW w:w="25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本项目不涉及</w:t>
                  </w:r>
                </w:p>
              </w:tc>
              <w:tc>
                <w:tcPr>
                  <w:tcW w:w="8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9"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46"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禁止新建不符合国家产业政策的食品加工项目</w:t>
                  </w:r>
                </w:p>
              </w:tc>
              <w:tc>
                <w:tcPr>
                  <w:tcW w:w="25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本项目不涉及</w:t>
                  </w:r>
                </w:p>
              </w:tc>
              <w:tc>
                <w:tcPr>
                  <w:tcW w:w="8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9"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46"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禁止</w:t>
                  </w:r>
                  <w:r>
                    <w:rPr>
                      <w:rFonts w:hint="default" w:ascii="Times New Roman" w:hAnsi="Times New Roman" w:cs="Times New Roman"/>
                      <w:color w:val="000000" w:themeColor="text1"/>
                      <w:sz w:val="21"/>
                      <w:szCs w:val="21"/>
                      <w:lang w:eastAsia="zh-CN"/>
                      <w14:textFill>
                        <w14:solidFill>
                          <w14:schemeClr w14:val="tx1"/>
                        </w14:solidFill>
                      </w14:textFill>
                    </w:rPr>
                    <w:t>入驻</w:t>
                  </w:r>
                  <w:r>
                    <w:rPr>
                      <w:rFonts w:hint="default" w:ascii="Times New Roman" w:hAnsi="Times New Roman" w:cs="Times New Roman"/>
                      <w:color w:val="000000" w:themeColor="text1"/>
                      <w:sz w:val="21"/>
                      <w:szCs w:val="21"/>
                      <w14:textFill>
                        <w14:solidFill>
                          <w14:schemeClr w14:val="tx1"/>
                        </w14:solidFill>
                      </w14:textFill>
                    </w:rPr>
                    <w:t>园区产业定位内的项目，如钢铁、印染、化工、黑色冶金、水泥、陶瓷、冶炼、砖瓦制造、玻璃、皮革、造纸等高耗能、重污染、高耗水的项目入驻园区</w:t>
                  </w:r>
                </w:p>
              </w:tc>
              <w:tc>
                <w:tcPr>
                  <w:tcW w:w="25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本项目不涉及</w:t>
                  </w:r>
                </w:p>
              </w:tc>
              <w:tc>
                <w:tcPr>
                  <w:tcW w:w="8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9"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46"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禁止新建带有20t/h以下燃煤锅炉项目入驻</w:t>
                  </w:r>
                </w:p>
              </w:tc>
              <w:tc>
                <w:tcPr>
                  <w:tcW w:w="25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本项目不涉及</w:t>
                  </w:r>
                </w:p>
              </w:tc>
              <w:tc>
                <w:tcPr>
                  <w:tcW w:w="8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9"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46"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《禁止用地项目目录》（2012年本）中禁止项目</w:t>
                  </w:r>
                </w:p>
              </w:tc>
              <w:tc>
                <w:tcPr>
                  <w:tcW w:w="25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本项目不属于禁止项目</w:t>
                  </w:r>
                </w:p>
              </w:tc>
              <w:tc>
                <w:tcPr>
                  <w:tcW w:w="8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9"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46"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列入国家产业政策“禁止类”的行业</w:t>
                  </w:r>
                </w:p>
              </w:tc>
              <w:tc>
                <w:tcPr>
                  <w:tcW w:w="2520" w:type="dxa"/>
                  <w:vMerge w:val="restart"/>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本项目不属于国家产业政策中禁止和限制类项目</w:t>
                  </w:r>
                </w:p>
              </w:tc>
              <w:tc>
                <w:tcPr>
                  <w:tcW w:w="887"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9"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46"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限制类</w:t>
                  </w: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国家产业政策中限制类项目</w:t>
                  </w:r>
                </w:p>
              </w:tc>
              <w:tc>
                <w:tcPr>
                  <w:tcW w:w="2520"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887"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3" w:hRule="atLeast"/>
                <w:jc w:val="center"/>
              </w:trPr>
              <w:tc>
                <w:tcPr>
                  <w:tcW w:w="469" w:type="dxa"/>
                  <w:vMerge w:val="restart"/>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工艺负面清单</w:t>
                  </w:r>
                </w:p>
              </w:tc>
              <w:tc>
                <w:tcPr>
                  <w:tcW w:w="646" w:type="dxa"/>
                  <w:vMerge w:val="restart"/>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禁止类</w:t>
                  </w: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不符合有关法律法规规定，严重浪费资源、污染环境、不具备安全生产条件，需要淘汰的落后生产工艺装备和产品</w:t>
                  </w:r>
                </w:p>
              </w:tc>
              <w:tc>
                <w:tcPr>
                  <w:tcW w:w="25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本项目符合有关法律法规规定，不属于严重浪费资源、污染环境项目，具备安全生产条件，不涉及落后生产工艺装备</w:t>
                  </w:r>
                </w:p>
              </w:tc>
              <w:tc>
                <w:tcPr>
                  <w:tcW w:w="8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9"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46"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禁止用地工艺项目</w:t>
                  </w:r>
                </w:p>
              </w:tc>
              <w:tc>
                <w:tcPr>
                  <w:tcW w:w="25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本项目用地性质为商业</w:t>
                  </w:r>
                  <w:r>
                    <w:rPr>
                      <w:rFonts w:hint="default" w:ascii="Times New Roman" w:hAnsi="Times New Roman" w:cs="Times New Roman"/>
                      <w:color w:val="000000" w:themeColor="text1"/>
                      <w:sz w:val="21"/>
                      <w:szCs w:val="21"/>
                      <w:lang w:val="en-US" w:eastAsia="zh-CN"/>
                      <w14:textFill>
                        <w14:solidFill>
                          <w14:schemeClr w14:val="tx1"/>
                        </w14:solidFill>
                      </w14:textFill>
                    </w:rPr>
                    <w:t>用地</w:t>
                  </w:r>
                  <w:r>
                    <w:rPr>
                      <w:rFonts w:hint="default" w:ascii="Times New Roman" w:hAnsi="Times New Roman" w:cs="Times New Roman"/>
                      <w:color w:val="000000" w:themeColor="text1"/>
                      <w:sz w:val="21"/>
                      <w:szCs w:val="21"/>
                      <w14:textFill>
                        <w14:solidFill>
                          <w14:schemeClr w14:val="tx1"/>
                        </w14:solidFill>
                      </w14:textFill>
                    </w:rPr>
                    <w:t>，不属于禁止用地工艺项目</w:t>
                  </w:r>
                </w:p>
              </w:tc>
              <w:tc>
                <w:tcPr>
                  <w:tcW w:w="8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9"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46"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冷链食品中禁止使用CFC、HFC、HCFC</w:t>
                  </w:r>
                </w:p>
              </w:tc>
              <w:tc>
                <w:tcPr>
                  <w:tcW w:w="25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本项目不涉及</w:t>
                  </w:r>
                </w:p>
              </w:tc>
              <w:tc>
                <w:tcPr>
                  <w:tcW w:w="8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9"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46"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涉及第一类废水污染物，没有可行污水处理工艺或不能在车间排放口达标的废水处理工艺</w:t>
                  </w:r>
                </w:p>
              </w:tc>
              <w:tc>
                <w:tcPr>
                  <w:tcW w:w="25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本项目不涉及第一类废水污染物</w:t>
                  </w:r>
                </w:p>
              </w:tc>
              <w:tc>
                <w:tcPr>
                  <w:tcW w:w="8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9"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46"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涉及化学反应过程工艺的食品添加剂业</w:t>
                  </w:r>
                </w:p>
              </w:tc>
              <w:tc>
                <w:tcPr>
                  <w:tcW w:w="25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本项目不涉及</w:t>
                  </w:r>
                </w:p>
              </w:tc>
              <w:tc>
                <w:tcPr>
                  <w:tcW w:w="8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9"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46"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涉及化学纤维制造项目和有染整工段纺织品制造项目</w:t>
                  </w:r>
                </w:p>
              </w:tc>
              <w:tc>
                <w:tcPr>
                  <w:tcW w:w="25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本项目不涉及</w:t>
                  </w:r>
                </w:p>
              </w:tc>
              <w:tc>
                <w:tcPr>
                  <w:tcW w:w="8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9"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46"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涉及电镀、铸造工艺的机械加工业</w:t>
                  </w:r>
                </w:p>
              </w:tc>
              <w:tc>
                <w:tcPr>
                  <w:tcW w:w="25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本项目不涉及</w:t>
                  </w:r>
                </w:p>
              </w:tc>
              <w:tc>
                <w:tcPr>
                  <w:tcW w:w="8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9"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46"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涉及化学合成工艺的橡胶、塑料业</w:t>
                  </w:r>
                </w:p>
              </w:tc>
              <w:tc>
                <w:tcPr>
                  <w:tcW w:w="25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本项目不涉及</w:t>
                  </w:r>
                </w:p>
              </w:tc>
              <w:tc>
                <w:tcPr>
                  <w:tcW w:w="8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9"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46"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国家产业政策中禁止类项目</w:t>
                  </w:r>
                </w:p>
              </w:tc>
              <w:tc>
                <w:tcPr>
                  <w:tcW w:w="2520" w:type="dxa"/>
                  <w:vMerge w:val="restart"/>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本项目不属于国家产业政策中禁止和限制类项目</w:t>
                  </w:r>
                </w:p>
              </w:tc>
              <w:tc>
                <w:tcPr>
                  <w:tcW w:w="887"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69"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46"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限制类</w:t>
                  </w: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国家产业政策中限制类工艺</w:t>
                  </w:r>
                </w:p>
              </w:tc>
              <w:tc>
                <w:tcPr>
                  <w:tcW w:w="2520"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887"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9" w:type="dxa"/>
                  <w:vMerge w:val="restart"/>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产品负面清单</w:t>
                  </w:r>
                </w:p>
              </w:tc>
              <w:tc>
                <w:tcPr>
                  <w:tcW w:w="646" w:type="dxa"/>
                  <w:vMerge w:val="restart"/>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禁止类</w:t>
                  </w: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产业结构调整指导目录（2011年本）（2013年修正）中落后产品</w:t>
                  </w:r>
                </w:p>
              </w:tc>
              <w:tc>
                <w:tcPr>
                  <w:tcW w:w="2520" w:type="dxa"/>
                  <w:vMerge w:val="restart"/>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本项目为加油站项目，主要经营为柴油、汽油，不属于落后产品、限制、淘汰类产品，不涉及水泥、陶瓷、冶炼、砖瓦制造、玻璃、皮革、造纸、农药、化学药品制造、铅蓄电池制造等</w:t>
                  </w:r>
                </w:p>
              </w:tc>
              <w:tc>
                <w:tcPr>
                  <w:tcW w:w="887"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9"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46"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对主导产业的空间布局及食品安全有一定负面影响，排污量大，排尘量大，排放有毒有害物质的项目，如水泥、陶瓷、冶炼、砖瓦制造、玻璃、皮革、造纸、农药、化学药品制造、铅蓄电池制造等</w:t>
                  </w:r>
                </w:p>
              </w:tc>
              <w:tc>
                <w:tcPr>
                  <w:tcW w:w="2520"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887"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69"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46"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限制类</w:t>
                  </w:r>
                </w:p>
              </w:tc>
              <w:tc>
                <w:tcPr>
                  <w:tcW w:w="46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国家产业政策中限制、淘汰类产品</w:t>
                  </w:r>
                </w:p>
              </w:tc>
              <w:tc>
                <w:tcPr>
                  <w:tcW w:w="2520"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887"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r>
          </w:tbl>
          <w:p>
            <w:pPr>
              <w:pStyle w:val="15"/>
              <w:pageBreakBefore w:val="0"/>
              <w:kinsoku/>
              <w:wordWrap/>
              <w:overflowPunct/>
              <w:topLinePunct w:val="0"/>
              <w:bidi w:val="0"/>
              <w:spacing w:line="480" w:lineRule="exact"/>
              <w:ind w:left="0" w:firstLine="482"/>
              <w:textAlignment w:val="auto"/>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t>表2        本项目与漯河市经济技术产业集聚区环境准入条件相符性分析</w:t>
            </w:r>
          </w:p>
          <w:tbl>
            <w:tblPr>
              <w:tblStyle w:val="37"/>
              <w:tblW w:w="920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67"/>
              <w:gridCol w:w="447"/>
              <w:gridCol w:w="4820"/>
              <w:gridCol w:w="2490"/>
              <w:gridCol w:w="8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014" w:type="dxa"/>
                  <w:gridSpan w:val="2"/>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类别</w:t>
                  </w:r>
                </w:p>
              </w:tc>
              <w:tc>
                <w:tcPr>
                  <w:tcW w:w="48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准入条件及负面清单</w:t>
                  </w:r>
                </w:p>
              </w:tc>
              <w:tc>
                <w:tcPr>
                  <w:tcW w:w="249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本项目</w:t>
                  </w:r>
                </w:p>
              </w:tc>
              <w:tc>
                <w:tcPr>
                  <w:tcW w:w="876"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86" w:hRule="atLeast"/>
                <w:jc w:val="center"/>
              </w:trPr>
              <w:tc>
                <w:tcPr>
                  <w:tcW w:w="567" w:type="dxa"/>
                  <w:vMerge w:val="restart"/>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产业政策</w:t>
                  </w:r>
                </w:p>
              </w:tc>
              <w:tc>
                <w:tcPr>
                  <w:tcW w:w="447"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鼓励类</w:t>
                  </w:r>
                </w:p>
              </w:tc>
              <w:tc>
                <w:tcPr>
                  <w:tcW w:w="48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一、总体要求：</w:t>
                  </w:r>
                </w:p>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1、鼓励符合《产业结构调整指导目录（2011年本）（2013年修正）》中的鼓励类，且与集聚区产业定位相符的企业入驻集聚区；</w:t>
                  </w:r>
                </w:p>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2、积极引进水资源消耗量小、排污量小、附加值高的符合循环经济导向相关产业；</w:t>
                  </w:r>
                </w:p>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3、鼓励清洁生产水平较高，且能够进一步拉长集聚区产业链，符合集聚区产业定位的企业入驻集聚区；</w:t>
                  </w:r>
                </w:p>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4、鼓励符合集聚区规划主导产业，或能与主导产业形成产业链或者较好资源能源综合利用的行业的企业入驻集聚区；</w:t>
                  </w:r>
                </w:p>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5、鼓励有利于集聚区产业链条延伸的项目，市政基础设施、资源综合利用、有利于节能减排的技术改造项目；</w:t>
                  </w:r>
                </w:p>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6、鼓励高新技术研发企业入驻，提高园区生产先进性；</w:t>
                  </w:r>
                </w:p>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二、食品加工产业：</w:t>
                  </w:r>
                </w:p>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1、天然食品添加剂、天然香料新技术开发与生产、热带果汁、浆果果汁、谷物饮料、本草饮料、茶浓缩液、茶粉、植物蛋白饮料等高附加价值植物饮料的开发生产与加工原料基地建设；</w:t>
                  </w:r>
                </w:p>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2、果渣、茶渣等的综合开发与利用、营养健康型大米、小麦粉（食品专用米、发芽糙米、留胚米、食品专用粉、全麦粉及营养强化产品等）及制品的开发生产；</w:t>
                  </w:r>
                </w:p>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传统主食工业化生产；杂粮加工专用设备开发与生产、薯类变性淀粉、菜籽油生产线：采用膨化、负压蒸发、热能自平衡利用、低消耗蒸汽真空系统等技术，油菜籽主产区日处理油菜籽400吨及以上、吨料溶剂消耗1.5公斤以下；</w:t>
                  </w:r>
                </w:p>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4、花生油生产线：花生主产区日处理花生200吨及以上，吨料溶剂消耗2公斤以下；</w:t>
                  </w:r>
                </w:p>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5、棉籽油生产线：棉籽产区日处理棉籽300吨及以上，吨料溶剂消耗2公斤以下；</w:t>
                  </w:r>
                </w:p>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6、米糠油生产线：采用分散快速膨化，集中制油、精炼技术；玉米胚芽油生产线；</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7、油茶籽、核桃等木本油料和胡麻、芝麻、葵花籽等小品种油料加工生产线、</w:t>
                  </w:r>
                  <w:r>
                    <w:rPr>
                      <w:rFonts w:hint="default" w:ascii="Times New Roman" w:hAnsi="Times New Roman" w:eastAsia="宋体" w:cs="Times New Roman"/>
                      <w:color w:val="000000" w:themeColor="text1"/>
                      <w:sz w:val="21"/>
                      <w:szCs w:val="21"/>
                      <w:highlight w:val="none"/>
                      <w14:textFill>
                        <w14:solidFill>
                          <w14:schemeClr w14:val="tx1"/>
                        </w14:solidFill>
                      </w14:textFill>
                    </w:rPr>
                    <w:cr/>
                  </w:r>
                  <w:r>
                    <w:rPr>
                      <w:rFonts w:hint="default" w:ascii="Times New Roman" w:hAnsi="Times New Roman" w:eastAsia="宋体" w:cs="Times New Roman"/>
                      <w:color w:val="000000" w:themeColor="text1"/>
                      <w:sz w:val="21"/>
                      <w:szCs w:val="21"/>
                      <w:highlight w:val="none"/>
                      <w14:textFill>
                        <w14:solidFill>
                          <w14:schemeClr w14:val="tx1"/>
                        </w14:solidFill>
                      </w14:textFill>
                    </w:rPr>
                    <w:t>油加工副产物（稻壳、米糠、麸皮</w:t>
                  </w:r>
                  <w:r>
                    <w:rPr>
                      <w:rFonts w:hint="default" w:ascii="Times New Roman" w:hAnsi="Times New Roman" w:eastAsia="宋体" w:cs="Times New Roman"/>
                      <w:color w:val="000000" w:themeColor="text1"/>
                      <w:sz w:val="21"/>
                      <w:szCs w:val="21"/>
                      <w:highlight w:val="none"/>
                      <w14:textFill>
                        <w14:solidFill>
                          <w14:schemeClr w14:val="tx1"/>
                        </w14:solidFill>
                      </w14:textFill>
                    </w:rPr>
                    <w:cr/>
                  </w:r>
                  <w:r>
                    <w:rPr>
                      <w:rFonts w:hint="default" w:ascii="Times New Roman" w:hAnsi="Times New Roman" w:eastAsia="宋体" w:cs="Times New Roman"/>
                      <w:color w:val="000000" w:themeColor="text1"/>
                      <w:sz w:val="21"/>
                      <w:szCs w:val="21"/>
                      <w:highlight w:val="none"/>
                      <w14:textFill>
                        <w14:solidFill>
                          <w14:schemeClr w14:val="tx1"/>
                        </w14:solidFill>
                      </w14:textFill>
                    </w:rPr>
                    <w:t>胚芽、饼粕等</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tc>
              <w:tc>
                <w:tcPr>
                  <w:tcW w:w="249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1、本项目</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位于</w:t>
                  </w:r>
                  <w:r>
                    <w:rPr>
                      <w:rFonts w:hint="default" w:ascii="Times New Roman" w:hAnsi="Times New Roman" w:eastAsia="宋体" w:cs="Times New Roman"/>
                      <w:color w:val="000000" w:themeColor="text1"/>
                      <w:sz w:val="21"/>
                      <w:szCs w:val="21"/>
                      <w14:textFill>
                        <w14:solidFill>
                          <w14:schemeClr w14:val="tx1"/>
                        </w14:solidFill>
                      </w14:textFill>
                    </w:rPr>
                    <w:t>为加油站</w:t>
                  </w:r>
                  <w:r>
                    <w:rPr>
                      <w:rFonts w:hint="default" w:ascii="Times New Roman" w:hAnsi="Times New Roman" w:cs="Times New Roman"/>
                      <w:color w:val="000000" w:themeColor="text1"/>
                      <w:sz w:val="21"/>
                      <w:szCs w:val="21"/>
                      <w:lang w:val="en-US" w:eastAsia="zh-CN"/>
                      <w14:textFill>
                        <w14:solidFill>
                          <w14:schemeClr w14:val="tx1"/>
                        </w14:solidFill>
                      </w14:textFill>
                    </w:rPr>
                    <w:t>改扩建</w:t>
                  </w:r>
                  <w:r>
                    <w:rPr>
                      <w:rFonts w:hint="default" w:ascii="Times New Roman" w:hAnsi="Times New Roman" w:eastAsia="宋体" w:cs="Times New Roman"/>
                      <w:color w:val="000000" w:themeColor="text1"/>
                      <w:sz w:val="21"/>
                      <w:szCs w:val="21"/>
                      <w14:textFill>
                        <w14:solidFill>
                          <w14:schemeClr w14:val="tx1"/>
                        </w14:solidFill>
                      </w14:textFill>
                    </w:rPr>
                    <w:t>项目，</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属于社会服务业，</w:t>
                  </w:r>
                  <w:r>
                    <w:rPr>
                      <w:rFonts w:hint="default" w:ascii="Times New Roman" w:hAnsi="Times New Roman" w:eastAsia="宋体" w:cs="Times New Roman"/>
                      <w:color w:val="000000" w:themeColor="text1"/>
                      <w:sz w:val="21"/>
                      <w:szCs w:val="21"/>
                      <w14:textFill>
                        <w14:solidFill>
                          <w14:schemeClr w14:val="tx1"/>
                        </w14:solidFill>
                      </w14:textFill>
                    </w:rPr>
                    <w:t>不属于《产业结构调整指导目录</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2019年本</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鼓励类、禁止类，为允许建设项目；</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2、本项目用水主要为生活用水，生活污水经化粪池处理达到污水处理厂接管标准后排入漯河经济技术产业集聚区污水处理厂处理，水资源消耗量、排放量较小；</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3、本项目属于加油站项目，属于配套服务类项目。</w:t>
                  </w:r>
                </w:p>
              </w:tc>
              <w:tc>
                <w:tcPr>
                  <w:tcW w:w="876"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47"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禁止类</w:t>
                  </w:r>
                </w:p>
              </w:tc>
              <w:tc>
                <w:tcPr>
                  <w:tcW w:w="48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一、总体要求：</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1、国家产业政策中禁止类项目；</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2、禁止入驻采用落后的生产工艺或生产设备，达不到规模经济的项目；</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3、禁止水泥、陶瓷、冶炼、砖瓦制造、玻璃、皮革、造纸等排污量大，排尘量大，排放有毒有害的物质入驻园区；</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4.废水经预处理达不到污水处理厂接管标准的项目，禁止入驻自建20t/h以下燃煤锅炉项目；</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5.环境空气污染严重，无污染治理技术或治理技术在经济上根本不可行的项目；</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6.禁止在京港澳高速以西，洛宁高速以南，金山路以东的地块入驻重污染企业；</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二、食品加工产业园区、新材料产业园区、装配制造产业园区、新兴产业园区；</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1、根据《产业结构调整指导目录</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2011年本</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2013年修正</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》中列入国家产业政策“禁止类”的项目；</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2、禁止装备制造产业园区入驻含电镀、铸造工艺的机械加工项目；</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3、禁止食品产业园区、食品轻工园区、新兴产业园区入驻</w:t>
                  </w:r>
                  <w:r>
                    <w:rPr>
                      <w:rFonts w:hint="default" w:ascii="Times New Roman" w:hAnsi="Times New Roman" w:eastAsia="宋体" w:cs="Times New Roman"/>
                      <w:color w:val="000000" w:themeColor="text1"/>
                      <w:sz w:val="21"/>
                      <w:szCs w:val="21"/>
                      <w:lang w:eastAsia="zh-CN"/>
                      <w14:textFill>
                        <w14:solidFill>
                          <w14:schemeClr w14:val="tx1"/>
                        </w14:solidFill>
                      </w14:textFill>
                    </w:rPr>
                    <w:t>有</w:t>
                  </w:r>
                  <w:r>
                    <w:rPr>
                      <w:rFonts w:hint="default" w:ascii="Times New Roman" w:hAnsi="Times New Roman" w:eastAsia="宋体" w:cs="Times New Roman"/>
                      <w:color w:val="000000" w:themeColor="text1"/>
                      <w:sz w:val="21"/>
                      <w:szCs w:val="21"/>
                      <w14:textFill>
                        <w14:solidFill>
                          <w14:schemeClr w14:val="tx1"/>
                        </w14:solidFill>
                      </w14:textFill>
                    </w:rPr>
                    <w:t>化学反应的食品及饲料 添加剂项目以及冷链食品中使用CFC、HIFC、HCFC项目；</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4、禁止新兴产业园区入驻化学纤维制造项目、有染整工段纺织品制造项目；</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5、禁止新材料产业园区入驻涉及化学合成工艺的橡胶、塑料业以及废旧塑料、橡胶再 生利用项目；</w:t>
                  </w:r>
                </w:p>
              </w:tc>
              <w:tc>
                <w:tcPr>
                  <w:tcW w:w="249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1、本项目属于加油站项目，不属于</w:t>
                  </w:r>
                  <w:r>
                    <w:rPr>
                      <w:rFonts w:hint="default" w:ascii="Times New Roman" w:hAnsi="Times New Roman" w:eastAsia="宋体" w:cs="Times New Roman"/>
                      <w:color w:val="000000" w:themeColor="text1"/>
                      <w:sz w:val="21"/>
                      <w:szCs w:val="21"/>
                      <w14:textFill>
                        <w14:solidFill>
                          <w14:schemeClr w14:val="tx1"/>
                        </w14:solidFill>
                      </w14:textFill>
                    </w:rPr>
                    <w:t>国家产业政策中禁止类项目</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本项目不采用落后的生产工艺或生产设备；</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、本项目不涉及水泥、陶瓷、冶炼、砖瓦制造、玻璃、皮革、造纸等项目；</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14:textFill>
                        <w14:solidFill>
                          <w14:schemeClr w14:val="tx1"/>
                        </w14:solidFill>
                      </w14:textFill>
                    </w:rPr>
                    <w:t>不涉及20t/h以下燃煤锅炉；</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5、本项目废气主要为卸油、储油、加油等过程汽油挥发油气，以非甲烷总烃计，经油气回收设施处理后排放，对周边环境空气影响较小；</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6、项目不在</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禁止建设地块，且不属于重污染企业</w:t>
                  </w:r>
                  <w:r>
                    <w:rPr>
                      <w:rFonts w:hint="default" w:ascii="Times New Roman" w:hAnsi="Times New Roman" w:eastAsia="宋体" w:cs="Times New Roman"/>
                      <w:color w:val="000000" w:themeColor="text1"/>
                      <w:sz w:val="21"/>
                      <w:szCs w:val="21"/>
                      <w14:textFill>
                        <w14:solidFill>
                          <w14:schemeClr w14:val="tx1"/>
                        </w14:solidFill>
                      </w14:textFill>
                    </w:rPr>
                    <w:t>。</w:t>
                  </w:r>
                </w:p>
              </w:tc>
              <w:tc>
                <w:tcPr>
                  <w:tcW w:w="876"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47"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限制类</w:t>
                  </w:r>
                </w:p>
              </w:tc>
              <w:tc>
                <w:tcPr>
                  <w:tcW w:w="48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国家产业政策中限制类项目</w:t>
                  </w:r>
                </w:p>
              </w:tc>
              <w:tc>
                <w:tcPr>
                  <w:tcW w:w="249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本项目属于加油站项目，不属于</w:t>
                  </w:r>
                  <w:r>
                    <w:rPr>
                      <w:rFonts w:hint="default" w:ascii="Times New Roman" w:hAnsi="Times New Roman" w:eastAsia="宋体" w:cs="Times New Roman"/>
                      <w:color w:val="000000" w:themeColor="text1"/>
                      <w:sz w:val="21"/>
                      <w:szCs w:val="21"/>
                      <w14:textFill>
                        <w14:solidFill>
                          <w14:schemeClr w14:val="tx1"/>
                        </w14:solidFill>
                      </w14:textFill>
                    </w:rPr>
                    <w:t>国家产业政策中限制类项目</w:t>
                  </w:r>
                </w:p>
              </w:tc>
              <w:tc>
                <w:tcPr>
                  <w:tcW w:w="876"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67"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447"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允许类</w:t>
                  </w:r>
                </w:p>
              </w:tc>
              <w:tc>
                <w:tcPr>
                  <w:tcW w:w="48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不属于以上鼓励、禁止、限制类行业，符合国家产业政策，符合建设规模及相关经济规模的限制性要求的产业。入驻项目应满足如下要求：</w:t>
                  </w:r>
                </w:p>
                <w:p>
                  <w:pPr>
                    <w:pStyle w:val="35"/>
                    <w:keepNext w:val="0"/>
                    <w:keepLines w:val="0"/>
                    <w:pageBreakBefore w:val="0"/>
                    <w:widowControl w:val="0"/>
                    <w:numPr>
                      <w:ilvl w:val="0"/>
                      <w:numId w:val="2"/>
                    </w:numPr>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生产规模和工艺技术先进性要求（见表中相关要求）</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2、允许入驻与产业集聚区的主导产业相关联的上下游企业</w:t>
                  </w:r>
                </w:p>
              </w:tc>
              <w:tc>
                <w:tcPr>
                  <w:tcW w:w="249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本项目属于加油站项目，</w:t>
                  </w:r>
                  <w:r>
                    <w:rPr>
                      <w:rFonts w:hint="default" w:ascii="Times New Roman" w:hAnsi="Times New Roman" w:eastAsia="宋体" w:cs="Times New Roman"/>
                      <w:color w:val="000000" w:themeColor="text1"/>
                      <w:sz w:val="21"/>
                      <w:szCs w:val="21"/>
                      <w14:textFill>
                        <w14:solidFill>
                          <w14:schemeClr w14:val="tx1"/>
                        </w14:solidFill>
                      </w14:textFill>
                    </w:rPr>
                    <w:t>不属于以上鼓励、禁止、限制类行业</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属于允许类项目，建设</w:t>
                  </w:r>
                  <w:r>
                    <w:rPr>
                      <w:rFonts w:hint="default" w:ascii="Times New Roman" w:hAnsi="Times New Roman" w:eastAsia="宋体" w:cs="Times New Roman"/>
                      <w:color w:val="000000" w:themeColor="text1"/>
                      <w:sz w:val="21"/>
                      <w:szCs w:val="21"/>
                      <w14:textFill>
                        <w14:solidFill>
                          <w14:schemeClr w14:val="tx1"/>
                        </w14:solidFill>
                      </w14:textFill>
                    </w:rPr>
                    <w:t>符合国家产业政策</w:t>
                  </w:r>
                </w:p>
              </w:tc>
              <w:tc>
                <w:tcPr>
                  <w:tcW w:w="876"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3" w:hRule="atLeast"/>
                <w:jc w:val="center"/>
              </w:trPr>
              <w:tc>
                <w:tcPr>
                  <w:tcW w:w="1014" w:type="dxa"/>
                  <w:gridSpan w:val="2"/>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生产规模和工艺装备水平</w:t>
                  </w:r>
                </w:p>
              </w:tc>
              <w:tc>
                <w:tcPr>
                  <w:tcW w:w="48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1、在工艺技术水平上，要求入驻聚集区的项目必须达到</w:t>
                  </w:r>
                  <w:r>
                    <w:rPr>
                      <w:rFonts w:hint="default" w:ascii="Times New Roman" w:hAnsi="Times New Roman" w:cs="Times New Roman"/>
                      <w:color w:val="000000" w:themeColor="text1"/>
                      <w:sz w:val="21"/>
                      <w:szCs w:val="21"/>
                      <w:lang w:val="en-US" w:eastAsia="zh-CN"/>
                      <w14:textFill>
                        <w14:solidFill>
                          <w14:schemeClr w14:val="tx1"/>
                        </w14:solidFill>
                      </w14:textFill>
                    </w:rPr>
                    <w:t>国内</w:t>
                  </w:r>
                  <w:r>
                    <w:rPr>
                      <w:rFonts w:hint="default" w:ascii="Times New Roman" w:hAnsi="Times New Roman" w:eastAsia="宋体" w:cs="Times New Roman"/>
                      <w:color w:val="000000" w:themeColor="text1"/>
                      <w:sz w:val="21"/>
                      <w:szCs w:val="21"/>
                      <w14:textFill>
                        <w14:solidFill>
                          <w14:schemeClr w14:val="tx1"/>
                        </w14:solidFill>
                      </w14:textFill>
                    </w:rPr>
                    <w:t>同行业领先水平或</w:t>
                  </w:r>
                  <w:r>
                    <w:rPr>
                      <w:rFonts w:hint="default" w:ascii="Times New Roman" w:hAnsi="Times New Roman" w:eastAsia="宋体" w:cs="Times New Roman"/>
                      <w:color w:val="000000" w:themeColor="text1"/>
                      <w:sz w:val="21"/>
                      <w:szCs w:val="21"/>
                      <w:lang w:eastAsia="zh-CN"/>
                      <w14:textFill>
                        <w14:solidFill>
                          <w14:schemeClr w14:val="tx1"/>
                        </w14:solidFill>
                      </w14:textFill>
                    </w:rPr>
                    <w:t>具备</w:t>
                  </w:r>
                  <w:r>
                    <w:rPr>
                      <w:rFonts w:hint="default" w:ascii="Times New Roman" w:hAnsi="Times New Roman" w:eastAsia="宋体" w:cs="Times New Roman"/>
                      <w:color w:val="000000" w:themeColor="text1"/>
                      <w:sz w:val="21"/>
                      <w:szCs w:val="21"/>
                      <w14:textFill>
                        <w14:solidFill>
                          <w14:schemeClr w14:val="tx1"/>
                        </w14:solidFill>
                      </w14:textFill>
                    </w:rPr>
                    <w:t>国际先进水平；</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2、建设规模应符合国家产业政策对相关经济规模的限制性要求；</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3、退城入园企业应进行产品和生产技术的升级改造，达到国家相关规定的要求</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249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1、项目工艺技术水平达到同内同行业领先水平；</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2、项目建设规模符合国家产业政策对相关经济规模的限制性要求；</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3、本项目为</w:t>
                  </w:r>
                  <w:r>
                    <w:rPr>
                      <w:rFonts w:hint="default" w:ascii="Times New Roman" w:hAnsi="Times New Roman" w:cs="Times New Roman"/>
                      <w:color w:val="000000" w:themeColor="text1"/>
                      <w:sz w:val="21"/>
                      <w:szCs w:val="21"/>
                      <w:lang w:eastAsia="zh-CN"/>
                      <w14:textFill>
                        <w14:solidFill>
                          <w14:schemeClr w14:val="tx1"/>
                        </w14:solidFill>
                      </w14:textFill>
                    </w:rPr>
                    <w:t>改扩建</w:t>
                  </w:r>
                  <w:r>
                    <w:rPr>
                      <w:rFonts w:hint="default" w:ascii="Times New Roman" w:hAnsi="Times New Roman" w:eastAsia="宋体" w:cs="Times New Roman"/>
                      <w:color w:val="000000" w:themeColor="text1"/>
                      <w:sz w:val="21"/>
                      <w:szCs w:val="21"/>
                      <w:lang w:eastAsia="zh-CN"/>
                      <w14:textFill>
                        <w14:solidFill>
                          <w14:schemeClr w14:val="tx1"/>
                        </w14:solidFill>
                      </w14:textFill>
                    </w:rPr>
                    <w:t>项目</w:t>
                  </w:r>
                  <w:r>
                    <w:rPr>
                      <w:rFonts w:hint="default" w:ascii="Times New Roman" w:hAnsi="Times New Roman" w:eastAsia="宋体" w:cs="Times New Roman"/>
                      <w:color w:val="000000" w:themeColor="text1"/>
                      <w:sz w:val="21"/>
                      <w:szCs w:val="21"/>
                      <w14:textFill>
                        <w14:solidFill>
                          <w14:schemeClr w14:val="tx1"/>
                        </w14:solidFill>
                      </w14:textFill>
                    </w:rPr>
                    <w:t>，不属于退城入园企业</w:t>
                  </w:r>
                </w:p>
              </w:tc>
              <w:tc>
                <w:tcPr>
                  <w:tcW w:w="876"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44" w:hRule="atLeast"/>
                <w:jc w:val="center"/>
              </w:trPr>
              <w:tc>
                <w:tcPr>
                  <w:tcW w:w="1014" w:type="dxa"/>
                  <w:gridSpan w:val="2"/>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清洁生产水平</w:t>
                  </w:r>
                </w:p>
              </w:tc>
              <w:tc>
                <w:tcPr>
                  <w:tcW w:w="48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1、应选择使用原料和产品为环境友好型的项目，避免聚集区大规模建设造成的不良效应；</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2、入聚集区的新建项目的单位产品水耗、单位产品污染物排放量等清洁生产指标应达到国内同行业领先或国际先进水平。项目整体清洁生产水平应达到超过国内清洁生产先进水平</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3、现有企业</w:t>
                  </w:r>
                  <w:r>
                    <w:rPr>
                      <w:rFonts w:hint="default" w:ascii="Times New Roman" w:hAnsi="Times New Roman" w:eastAsia="宋体" w:cs="Times New Roman"/>
                      <w:color w:val="000000" w:themeColor="text1"/>
                      <w:sz w:val="21"/>
                      <w:szCs w:val="21"/>
                      <w:lang w:eastAsia="zh-CN"/>
                      <w14:textFill>
                        <w14:solidFill>
                          <w14:schemeClr w14:val="tx1"/>
                        </w14:solidFill>
                      </w14:textFill>
                    </w:rPr>
                    <w:t>改建项目</w:t>
                  </w:r>
                  <w:r>
                    <w:rPr>
                      <w:rFonts w:hint="default" w:ascii="Times New Roman" w:hAnsi="Times New Roman" w:eastAsia="宋体" w:cs="Times New Roman"/>
                      <w:color w:val="000000" w:themeColor="text1"/>
                      <w:sz w:val="21"/>
                      <w:szCs w:val="21"/>
                      <w14:textFill>
                        <w14:solidFill>
                          <w14:schemeClr w14:val="tx1"/>
                        </w14:solidFill>
                      </w14:textFill>
                    </w:rPr>
                    <w:t>和新建企业的生产设施和自动化控制水平必须达到国内先进水平</w:t>
                  </w:r>
                </w:p>
              </w:tc>
              <w:tc>
                <w:tcPr>
                  <w:tcW w:w="249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1、本项目为加油站项目，主要经营柴油、汽油；</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2、本项目为</w:t>
                  </w:r>
                  <w:r>
                    <w:rPr>
                      <w:rFonts w:hint="default" w:ascii="Times New Roman" w:hAnsi="Times New Roman" w:cs="Times New Roman"/>
                      <w:color w:val="000000" w:themeColor="text1"/>
                      <w:sz w:val="21"/>
                      <w:szCs w:val="21"/>
                      <w:lang w:val="en-US" w:eastAsia="zh-CN"/>
                      <w14:textFill>
                        <w14:solidFill>
                          <w14:schemeClr w14:val="tx1"/>
                        </w14:solidFill>
                      </w14:textFill>
                    </w:rPr>
                    <w:t>改扩建</w:t>
                  </w:r>
                  <w:r>
                    <w:rPr>
                      <w:rFonts w:hint="default" w:ascii="Times New Roman" w:hAnsi="Times New Roman" w:eastAsia="宋体" w:cs="Times New Roman"/>
                      <w:color w:val="000000" w:themeColor="text1"/>
                      <w:sz w:val="21"/>
                      <w:szCs w:val="21"/>
                      <w14:textFill>
                        <w14:solidFill>
                          <w14:schemeClr w14:val="tx1"/>
                        </w14:solidFill>
                      </w14:textFill>
                    </w:rPr>
                    <w:t>项目，整体清洁生产水平达到国内清洁生产先进水平；3、项目生产设施和自动化控制水平达到国内先进水平</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876"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44" w:hRule="atLeast"/>
                <w:jc w:val="center"/>
              </w:trPr>
              <w:tc>
                <w:tcPr>
                  <w:tcW w:w="1014" w:type="dxa"/>
                  <w:gridSpan w:val="2"/>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污染物排放总量控制</w:t>
                  </w:r>
                </w:p>
              </w:tc>
              <w:tc>
                <w:tcPr>
                  <w:tcW w:w="482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入驻项目“三废”治理必须有可靠、成熟和经济的处理处置措施，否则应慎重引进</w:t>
                  </w:r>
                </w:p>
              </w:tc>
              <w:tc>
                <w:tcPr>
                  <w:tcW w:w="2490"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废气主要为卸油、储油、加油等过程汽油挥发油气，以非甲烷总烃计，废气经油气回收设施处理后排放；生活污水经化粪池处理后排入漯河经济技术产业集聚区污水处理厂处理；站区设置生活垃圾桶，生活垃圾集中收集后由环卫部门统一处理；油泥由资质单位</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清理并直接运走</w:t>
                  </w:r>
                  <w:r>
                    <w:rPr>
                      <w:rFonts w:hint="default" w:ascii="Times New Roman" w:hAnsi="Times New Roman" w:eastAsia="宋体" w:cs="Times New Roman"/>
                      <w:color w:val="000000" w:themeColor="text1"/>
                      <w:sz w:val="21"/>
                      <w:szCs w:val="21"/>
                      <w14:textFill>
                        <w14:solidFill>
                          <w14:schemeClr w14:val="tx1"/>
                        </w14:solidFill>
                      </w14:textFill>
                    </w:rPr>
                    <w:t>处置</w:t>
                  </w:r>
                </w:p>
              </w:tc>
              <w:tc>
                <w:tcPr>
                  <w:tcW w:w="876"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bl>
          <w:p>
            <w:pPr>
              <w:pStyle w:val="35"/>
              <w:keepNext w:val="0"/>
              <w:keepLines w:val="0"/>
              <w:pageBreakBefore w:val="0"/>
              <w:widowControl w:val="0"/>
              <w:kinsoku/>
              <w:wordWrap/>
              <w:overflowPunct/>
              <w:topLinePunct w:val="0"/>
              <w:autoSpaceDE/>
              <w:autoSpaceDN/>
              <w:bidi w:val="0"/>
              <w:adjustRightInd/>
              <w:snapToGrid/>
              <w:spacing w:after="0" w:line="480" w:lineRule="exact"/>
              <w:ind w:firstLineChars="20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14:textFill>
                  <w14:solidFill>
                    <w14:schemeClr w14:val="tx1"/>
                  </w14:solidFill>
                </w14:textFill>
              </w:rPr>
              <w:t>由上表可知，</w:t>
            </w:r>
            <w:r>
              <w:rPr>
                <w:rFonts w:hint="default" w:ascii="Times New Roman" w:hAnsi="Times New Roman" w:cs="Times New Roman"/>
                <w:bCs/>
                <w:color w:val="000000" w:themeColor="text1"/>
                <w:sz w:val="24"/>
                <w:szCs w:val="24"/>
                <w:highlight w:val="none"/>
                <w14:textFill>
                  <w14:solidFill>
                    <w14:schemeClr w14:val="tx1"/>
                  </w14:solidFill>
                </w14:textFill>
              </w:rPr>
              <w:t>经与上述准入清单及负面清单逐条对比后可知，</w:t>
            </w:r>
            <w:r>
              <w:rPr>
                <w:rFonts w:hint="default" w:ascii="Times New Roman" w:hAnsi="Times New Roman" w:eastAsia="宋体" w:cs="Times New Roman"/>
                <w:color w:val="000000" w:themeColor="text1"/>
                <w:sz w:val="24"/>
                <w:szCs w:val="24"/>
                <w:highlight w:val="none"/>
                <w14:textFill>
                  <w14:solidFill>
                    <w14:schemeClr w14:val="tx1"/>
                  </w14:solidFill>
                </w14:textFill>
              </w:rPr>
              <w:t>本项目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国民经济分类</w:t>
            </w:r>
            <w:r>
              <w:rPr>
                <w:rFonts w:hint="default" w:ascii="Times New Roman" w:hAnsi="Times New Roman" w:eastAsia="宋体" w:cs="Times New Roman"/>
                <w:color w:val="000000" w:themeColor="text1"/>
                <w:sz w:val="24"/>
                <w:szCs w:val="24"/>
                <w:highlight w:val="none"/>
                <w14:textFill>
                  <w14:solidFill>
                    <w14:schemeClr w14:val="tx1"/>
                  </w14:solidFill>
                </w14:textFill>
              </w:rPr>
              <w:t>为</w:t>
            </w:r>
            <w:r>
              <w:rPr>
                <w:rFonts w:hint="default" w:ascii="Times New Roman" w:hAnsi="Times New Roman" w:cs="Times New Roman"/>
                <w:color w:val="000000" w:themeColor="text1"/>
                <w:sz w:val="24"/>
                <w:szCs w:val="24"/>
                <w14:textFill>
                  <w14:solidFill>
                    <w14:schemeClr w14:val="tx1"/>
                  </w14:solidFill>
                </w14:textFill>
              </w:rPr>
              <w:t>F5265 机动车燃油零售</w:t>
            </w:r>
            <w:r>
              <w:rPr>
                <w:rFonts w:hint="default" w:ascii="Times New Roman" w:hAnsi="Times New Roman" w:cs="Times New Roman"/>
                <w:color w:val="000000" w:themeColor="text1"/>
                <w:sz w:val="24"/>
                <w:szCs w:val="24"/>
                <w:highlight w:val="none"/>
                <w14:textFill>
                  <w14:solidFill>
                    <w14:schemeClr w14:val="tx1"/>
                  </w14:solidFill>
                </w14:textFill>
              </w:rPr>
              <w:t>，不属于负面清单中所列项目，项目建设符合漯河市经济技术产业集聚区环境准入条件及负面清单要求</w:t>
            </w:r>
            <w:r>
              <w:rPr>
                <w:rFonts w:hint="default" w:ascii="Times New Roman" w:hAnsi="Times New Roman" w:cs="Times New Roman"/>
                <w:color w:val="000000" w:themeColor="text1"/>
                <w:sz w:val="24"/>
                <w:szCs w:val="24"/>
                <w14:textFill>
                  <w14:solidFill>
                    <w14:schemeClr w14:val="tx1"/>
                  </w14:solidFill>
                </w14:textFill>
              </w:rPr>
              <w:t xml:space="preserve">。   </w:t>
            </w:r>
            <w:r>
              <w:rPr>
                <w:rFonts w:hint="default" w:ascii="Times New Roman" w:hAnsi="Times New Roman" w:cs="Times New Roman"/>
                <w:color w:val="000000" w:themeColor="text1"/>
                <w14:textFill>
                  <w14:solidFill>
                    <w14:schemeClr w14:val="tx1"/>
                  </w14:solidFill>
                </w14:textFill>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11" w:hRule="atLeast"/>
          <w:jc w:val="center"/>
        </w:trPr>
        <w:tc>
          <w:tcPr>
            <w:tcW w:w="696" w:type="dxa"/>
            <w:tcBorders>
              <w:bottom w:val="single" w:color="auto" w:sz="4" w:space="0"/>
            </w:tcBorders>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480" w:lineRule="exact"/>
              <w:jc w:val="center"/>
              <w:textAlignment w:val="auto"/>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eastAsia="宋体" w:cs="Times New Roman"/>
                <w:b w:val="0"/>
                <w:bCs w:val="0"/>
                <w:color w:val="000000" w:themeColor="text1"/>
                <w:sz w:val="24"/>
                <w:szCs w:val="24"/>
                <w14:textFill>
                  <w14:solidFill>
                    <w14:schemeClr w14:val="tx1"/>
                  </w14:solidFill>
                </w14:textFill>
              </w:rPr>
              <w:t>其他符合性分析</w:t>
            </w:r>
          </w:p>
        </w:tc>
        <w:tc>
          <w:tcPr>
            <w:tcW w:w="9243" w:type="dxa"/>
            <w:gridSpan w:val="5"/>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eastAsia="宋体" w:cs="Times New Roman"/>
                <w:b/>
                <w:bCs/>
                <w:color w:val="000000" w:themeColor="text1"/>
                <w:sz w:val="24"/>
                <w:szCs w:val="24"/>
                <w:highlight w:val="none"/>
                <w:u w:val="none"/>
                <w:lang w:val="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u w:val="none"/>
                <w:lang w:val="zh-CN"/>
                <w14:textFill>
                  <w14:solidFill>
                    <w14:schemeClr w14:val="tx1"/>
                  </w14:solidFill>
                </w14:textFill>
              </w:rPr>
              <w:t>1</w:t>
            </w:r>
            <w:r>
              <w:rPr>
                <w:rFonts w:hint="default" w:ascii="Times New Roman" w:hAnsi="Times New Roman" w:cs="Times New Roman"/>
                <w:b/>
                <w:bCs/>
                <w:color w:val="000000" w:themeColor="text1"/>
                <w:sz w:val="24"/>
                <w:szCs w:val="24"/>
                <w:highlight w:val="none"/>
                <w:u w:val="none"/>
                <w:lang w:eastAsia="zh-CN"/>
                <w14:textFill>
                  <w14:solidFill>
                    <w14:schemeClr w14:val="tx1"/>
                  </w14:solidFill>
                </w14:textFill>
              </w:rPr>
              <w:t>、</w:t>
            </w:r>
            <w:r>
              <w:rPr>
                <w:rFonts w:hint="default" w:ascii="Times New Roman" w:hAnsi="Times New Roman" w:eastAsia="宋体" w:cs="Times New Roman"/>
                <w:b/>
                <w:bCs/>
                <w:color w:val="000000" w:themeColor="text1"/>
                <w:sz w:val="24"/>
                <w:szCs w:val="24"/>
                <w:highlight w:val="none"/>
                <w:u w:val="none"/>
                <w:lang w:val="zh-CN"/>
                <w14:textFill>
                  <w14:solidFill>
                    <w14:schemeClr w14:val="tx1"/>
                  </w14:solidFill>
                </w14:textFill>
              </w:rPr>
              <w:t>与《产业结构调整指导目录》相符性分析</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bCs/>
                <w:color w:val="000000" w:themeColor="text1"/>
                <w:sz w:val="24"/>
                <w:szCs w:val="24"/>
                <w:highlight w:val="none"/>
                <w:u w:val="none"/>
                <w:lang w:val="zh-CN"/>
                <w14:textFill>
                  <w14:solidFill>
                    <w14:schemeClr w14:val="tx1"/>
                  </w14:solidFill>
                </w14:textFill>
              </w:rPr>
            </w:pPr>
            <w:r>
              <w:rPr>
                <w:rFonts w:hint="default" w:ascii="Times New Roman" w:hAnsi="Times New Roman" w:eastAsia="宋体" w:cs="Times New Roman"/>
                <w:bCs/>
                <w:color w:val="000000" w:themeColor="text1"/>
                <w:sz w:val="24"/>
                <w:szCs w:val="24"/>
                <w:highlight w:val="none"/>
                <w:u w:val="none"/>
                <w:lang w:val="en-US"/>
                <w14:textFill>
                  <w14:solidFill>
                    <w14:schemeClr w14:val="tx1"/>
                  </w14:solidFill>
                </w14:textFill>
              </w:rPr>
              <w:t>经查阅《产业结构调整指导目录（2019年本）》，</w:t>
            </w:r>
            <w:r>
              <w:rPr>
                <w:rFonts w:hint="default" w:ascii="Times New Roman" w:hAnsi="Times New Roman" w:eastAsia="宋体" w:cs="Times New Roman"/>
                <w:bCs/>
                <w:color w:val="000000" w:themeColor="text1"/>
                <w:sz w:val="24"/>
                <w:szCs w:val="24"/>
                <w:highlight w:val="none"/>
                <w:u w:val="none"/>
                <w14:textFill>
                  <w14:solidFill>
                    <w14:schemeClr w14:val="tx1"/>
                  </w14:solidFill>
                </w14:textFill>
              </w:rPr>
              <w:t>本项目不属于鼓励类、限制类、淘汰类，属于允许建设项目。本项目已在河南漯河经济技术产业集聚区建设管理委员会备案，项目备案代码为：</w:t>
            </w:r>
            <w:r>
              <w:rPr>
                <w:rFonts w:hint="default" w:ascii="Times New Roman" w:hAnsi="Times New Roman" w:eastAsia="宋体" w:cs="Times New Roman"/>
                <w:bCs/>
                <w:color w:val="000000" w:themeColor="text1"/>
                <w:sz w:val="24"/>
                <w:szCs w:val="24"/>
                <w:highlight w:val="none"/>
                <w:u w:val="none"/>
                <w:lang w:eastAsia="zh-CN"/>
                <w14:textFill>
                  <w14:solidFill>
                    <w14:schemeClr w14:val="tx1"/>
                  </w14:solidFill>
                </w14:textFill>
              </w:rPr>
              <w:t>2307-411171-04-01-133465</w:t>
            </w:r>
            <w:r>
              <w:rPr>
                <w:rFonts w:hint="default" w:ascii="Times New Roman" w:hAnsi="Times New Roman" w:eastAsia="宋体" w:cs="Times New Roman"/>
                <w:bCs/>
                <w:color w:val="000000" w:themeColor="text1"/>
                <w:sz w:val="24"/>
                <w:szCs w:val="24"/>
                <w:highlight w:val="none"/>
                <w:u w:val="none"/>
                <w:lang w:val="en-US"/>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eastAsia="宋体" w:cs="Times New Roman"/>
                <w:b/>
                <w:bCs/>
                <w:color w:val="000000" w:themeColor="text1"/>
                <w:sz w:val="24"/>
                <w:szCs w:val="24"/>
                <w:highlight w:val="none"/>
                <w:u w:val="none"/>
                <w:lang w:val="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u w:val="none"/>
                <w:lang w:val="zh-CN"/>
                <w14:textFill>
                  <w14:solidFill>
                    <w14:schemeClr w14:val="tx1"/>
                  </w14:solidFill>
                </w14:textFill>
              </w:rPr>
              <w:t>2</w:t>
            </w:r>
            <w:r>
              <w:rPr>
                <w:rFonts w:hint="default" w:ascii="Times New Roman" w:hAnsi="Times New Roman" w:cs="Times New Roman"/>
                <w:b/>
                <w:bCs/>
                <w:color w:val="000000" w:themeColor="text1"/>
                <w:sz w:val="24"/>
                <w:szCs w:val="24"/>
                <w:highlight w:val="none"/>
                <w:u w:val="none"/>
                <w:lang w:val="zh-CN"/>
                <w14:textFill>
                  <w14:solidFill>
                    <w14:schemeClr w14:val="tx1"/>
                  </w14:solidFill>
                </w14:textFill>
              </w:rPr>
              <w:t>、</w:t>
            </w:r>
            <w:r>
              <w:rPr>
                <w:rFonts w:hint="default" w:ascii="Times New Roman" w:hAnsi="Times New Roman" w:eastAsia="宋体" w:cs="Times New Roman"/>
                <w:b/>
                <w:bCs/>
                <w:color w:val="000000" w:themeColor="text1"/>
                <w:sz w:val="24"/>
                <w:szCs w:val="24"/>
                <w:highlight w:val="none"/>
                <w:u w:val="none"/>
                <w:lang w:val="zh-CN"/>
                <w14:textFill>
                  <w14:solidFill>
                    <w14:schemeClr w14:val="tx1"/>
                  </w14:solidFill>
                </w14:textFill>
              </w:rPr>
              <w:t>与《高耗能落后机电设备</w:t>
            </w:r>
            <w:r>
              <w:rPr>
                <w:rFonts w:hint="default" w:ascii="Times New Roman" w:hAnsi="Times New Roman" w:cs="Times New Roman"/>
                <w:b/>
                <w:bCs/>
                <w:color w:val="000000" w:themeColor="text1"/>
                <w:sz w:val="24"/>
                <w:szCs w:val="24"/>
                <w:highlight w:val="none"/>
                <w:u w:val="none"/>
                <w:lang w:val="zh-CN"/>
                <w14:textFill>
                  <w14:solidFill>
                    <w14:schemeClr w14:val="tx1"/>
                  </w14:solidFill>
                </w14:textFill>
              </w:rPr>
              <w:t>（</w:t>
            </w:r>
            <w:r>
              <w:rPr>
                <w:rFonts w:hint="default" w:ascii="Times New Roman" w:hAnsi="Times New Roman" w:eastAsia="宋体" w:cs="Times New Roman"/>
                <w:b/>
                <w:bCs/>
                <w:color w:val="000000" w:themeColor="text1"/>
                <w:sz w:val="24"/>
                <w:szCs w:val="24"/>
                <w:highlight w:val="none"/>
                <w:u w:val="none"/>
                <w:lang w:val="zh-CN"/>
                <w14:textFill>
                  <w14:solidFill>
                    <w14:schemeClr w14:val="tx1"/>
                  </w14:solidFill>
                </w14:textFill>
              </w:rPr>
              <w:t>产品</w:t>
            </w:r>
            <w:r>
              <w:rPr>
                <w:rFonts w:hint="default" w:ascii="Times New Roman" w:hAnsi="Times New Roman" w:cs="Times New Roman"/>
                <w:b/>
                <w:bCs/>
                <w:color w:val="000000" w:themeColor="text1"/>
                <w:sz w:val="24"/>
                <w:szCs w:val="24"/>
                <w:highlight w:val="none"/>
                <w:u w:val="none"/>
                <w:lang w:val="zh-CN"/>
                <w14:textFill>
                  <w14:solidFill>
                    <w14:schemeClr w14:val="tx1"/>
                  </w14:solidFill>
                </w14:textFill>
              </w:rPr>
              <w:t>）</w:t>
            </w:r>
            <w:r>
              <w:rPr>
                <w:rFonts w:hint="default" w:ascii="Times New Roman" w:hAnsi="Times New Roman" w:eastAsia="宋体" w:cs="Times New Roman"/>
                <w:b/>
                <w:bCs/>
                <w:color w:val="000000" w:themeColor="text1"/>
                <w:sz w:val="24"/>
                <w:szCs w:val="24"/>
                <w:highlight w:val="none"/>
                <w:u w:val="none"/>
                <w:lang w:val="zh-CN"/>
                <w14:textFill>
                  <w14:solidFill>
                    <w14:schemeClr w14:val="tx1"/>
                  </w14:solidFill>
                </w14:textFill>
              </w:rPr>
              <w:t>淘汰目录》相符性分析</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bCs/>
                <w:color w:val="000000" w:themeColor="text1"/>
                <w:sz w:val="24"/>
                <w:szCs w:val="24"/>
                <w:highlight w:val="none"/>
                <w:u w:val="none"/>
                <w14:textFill>
                  <w14:solidFill>
                    <w14:schemeClr w14:val="tx1"/>
                  </w14:solidFill>
                </w14:textFill>
              </w:rPr>
            </w:pPr>
            <w:r>
              <w:rPr>
                <w:rFonts w:hint="default" w:ascii="Times New Roman" w:hAnsi="Times New Roman" w:eastAsia="宋体" w:cs="Times New Roman"/>
                <w:bCs/>
                <w:color w:val="000000" w:themeColor="text1"/>
                <w:sz w:val="24"/>
                <w:szCs w:val="24"/>
                <w:highlight w:val="none"/>
                <w:u w:val="none"/>
                <w14:textFill>
                  <w14:solidFill>
                    <w14:schemeClr w14:val="tx1"/>
                  </w14:solidFill>
                </w14:textFill>
              </w:rPr>
              <w:t>本项目各生产设备均不在《高耗能落后机电设备</w:t>
            </w:r>
            <w:r>
              <w:rPr>
                <w:rFonts w:hint="default" w:ascii="Times New Roman" w:hAnsi="Times New Roman" w:eastAsia="宋体" w:cs="Times New Roman"/>
                <w:bCs/>
                <w:color w:val="000000" w:themeColor="text1"/>
                <w:sz w:val="24"/>
                <w:szCs w:val="24"/>
                <w:highlight w:val="none"/>
                <w:u w:val="none"/>
                <w:lang w:eastAsia="zh-CN"/>
                <w14:textFill>
                  <w14:solidFill>
                    <w14:schemeClr w14:val="tx1"/>
                  </w14:solidFill>
                </w14:textFill>
              </w:rPr>
              <w:t>（</w:t>
            </w:r>
            <w:r>
              <w:rPr>
                <w:rFonts w:hint="default" w:ascii="Times New Roman" w:hAnsi="Times New Roman" w:eastAsia="宋体" w:cs="Times New Roman"/>
                <w:bCs/>
                <w:color w:val="000000" w:themeColor="text1"/>
                <w:sz w:val="24"/>
                <w:szCs w:val="24"/>
                <w:highlight w:val="none"/>
                <w:u w:val="none"/>
                <w14:textFill>
                  <w14:solidFill>
                    <w14:schemeClr w14:val="tx1"/>
                  </w14:solidFill>
                </w14:textFill>
              </w:rPr>
              <w:t>产品</w:t>
            </w:r>
            <w:r>
              <w:rPr>
                <w:rFonts w:hint="default" w:ascii="Times New Roman" w:hAnsi="Times New Roman" w:eastAsia="宋体" w:cs="Times New Roman"/>
                <w:bCs/>
                <w:color w:val="000000" w:themeColor="text1"/>
                <w:sz w:val="24"/>
                <w:szCs w:val="24"/>
                <w:highlight w:val="none"/>
                <w:u w:val="none"/>
                <w:lang w:eastAsia="zh-CN"/>
                <w14:textFill>
                  <w14:solidFill>
                    <w14:schemeClr w14:val="tx1"/>
                  </w14:solidFill>
                </w14:textFill>
              </w:rPr>
              <w:t>）</w:t>
            </w:r>
            <w:r>
              <w:rPr>
                <w:rFonts w:hint="default" w:ascii="Times New Roman" w:hAnsi="Times New Roman" w:eastAsia="宋体" w:cs="Times New Roman"/>
                <w:bCs/>
                <w:color w:val="000000" w:themeColor="text1"/>
                <w:sz w:val="24"/>
                <w:szCs w:val="24"/>
                <w:highlight w:val="none"/>
                <w:u w:val="none"/>
                <w14:textFill>
                  <w14:solidFill>
                    <w14:schemeClr w14:val="tx1"/>
                  </w14:solidFill>
                </w14:textFill>
              </w:rPr>
              <w:t>淘汰目录》</w:t>
            </w:r>
            <w:r>
              <w:rPr>
                <w:rFonts w:hint="default" w:ascii="Times New Roman" w:hAnsi="Times New Roman" w:eastAsia="宋体" w:cs="Times New Roman"/>
                <w:color w:val="000000" w:themeColor="text1"/>
                <w:sz w:val="24"/>
                <w:szCs w:val="24"/>
                <w:highlight w:val="none"/>
                <w:u w:val="none"/>
                <w14:textFill>
                  <w14:solidFill>
                    <w14:schemeClr w14:val="tx1"/>
                  </w14:solidFill>
                </w14:textFill>
              </w:rPr>
              <w:t>第一批、第二批、第三批和第四批范围内</w:t>
            </w:r>
            <w:r>
              <w:rPr>
                <w:rFonts w:hint="default" w:ascii="Times New Roman" w:hAnsi="Times New Roman" w:eastAsia="宋体" w:cs="Times New Roman"/>
                <w:bCs/>
                <w:color w:val="000000" w:themeColor="text1"/>
                <w:sz w:val="24"/>
                <w:szCs w:val="24"/>
                <w:highlight w:val="none"/>
                <w:u w:val="none"/>
                <w14:textFill>
                  <w14:solidFill>
                    <w14:schemeClr w14:val="tx1"/>
                  </w14:solidFill>
                </w14:textFill>
              </w:rPr>
              <w:t>，符合国家节能减排、加快淘汰落后生产能力和落后高耗能设备的政策要求。</w:t>
            </w:r>
          </w:p>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eastAsia="宋体" w:cs="Times New Roman"/>
                <w:b/>
                <w:bCs/>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u w:val="none"/>
                <w:lang w:val="en-US" w:eastAsia="zh-CN"/>
                <w14:textFill>
                  <w14:solidFill>
                    <w14:schemeClr w14:val="tx1"/>
                  </w14:solidFill>
                </w14:textFill>
              </w:rPr>
              <w:t>3、项目与漯河市“三线一单”相符性分析</w:t>
            </w:r>
          </w:p>
          <w:p>
            <w:pPr>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漯河市人民政府于2021年6月25日以“漯政〔2021〕14号”文发布了《漯河市人</w:t>
            </w:r>
            <w:r>
              <w:rPr>
                <w:rFonts w:hint="default" w:ascii="Times New Roman" w:hAnsi="Times New Roman" w:cs="Times New Roman"/>
                <w:color w:val="000000" w:themeColor="text1"/>
                <w:sz w:val="24"/>
                <w:highlight w:val="none"/>
                <w14:textFill>
                  <w14:solidFill>
                    <w14:schemeClr w14:val="tx1"/>
                  </w14:solidFill>
                </w14:textFill>
              </w:rPr>
              <w:t>民政府关于实施“三线一单”生态环境分区管控的意见》，202</w:t>
            </w:r>
            <w:r>
              <w:rPr>
                <w:rFonts w:hint="default" w:ascii="Times New Roman" w:hAnsi="Times New Roman" w:cs="Times New Roman"/>
                <w:color w:val="000000" w:themeColor="text1"/>
                <w:sz w:val="24"/>
                <w:highlight w:val="none"/>
                <w:lang w:val="en-US" w:eastAsia="zh-CN"/>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年，漯河市生态环境保护委员会以“</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漯环委办〔2023〕46号</w:t>
            </w:r>
            <w:r>
              <w:rPr>
                <w:rFonts w:hint="default" w:ascii="Times New Roman" w:hAnsi="Times New Roman" w:cs="Times New Roman"/>
                <w:color w:val="000000" w:themeColor="text1"/>
                <w:sz w:val="24"/>
                <w:highlight w:val="none"/>
                <w14:textFill>
                  <w14:solidFill>
                    <w14:schemeClr w14:val="tx1"/>
                  </w14:solidFill>
                </w14:textFill>
              </w:rPr>
              <w:t>”文发布了《</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关于印发漯河市生态环境准入清单（2023年版）的通知</w:t>
            </w:r>
            <w:r>
              <w:rPr>
                <w:rFonts w:hint="default" w:ascii="Times New Roman" w:hAnsi="Times New Roman" w:cs="Times New Roman"/>
                <w:color w:val="000000" w:themeColor="text1"/>
                <w:sz w:val="24"/>
                <w:highlight w:val="none"/>
                <w14:textFill>
                  <w14:solidFill>
                    <w14:schemeClr w14:val="tx1"/>
                  </w14:solidFill>
                </w14:textFill>
              </w:rPr>
              <w:t>》主要内容如下：</w:t>
            </w:r>
          </w:p>
          <w:p>
            <w:pPr>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kern w:val="21"/>
                <w:sz w:val="24"/>
                <w:highlight w:val="none"/>
                <w14:textFill>
                  <w14:solidFill>
                    <w14:schemeClr w14:val="tx1"/>
                  </w14:solidFill>
                </w14:textFill>
              </w:rPr>
            </w:pPr>
            <w:r>
              <w:rPr>
                <w:rFonts w:hint="default" w:ascii="Times New Roman" w:hAnsi="Times New Roman" w:cs="Times New Roman"/>
                <w:color w:val="000000" w:themeColor="text1"/>
                <w:kern w:val="21"/>
                <w:sz w:val="24"/>
                <w:highlight w:val="none"/>
                <w14:textFill>
                  <w14:solidFill>
                    <w14:schemeClr w14:val="tx1"/>
                  </w14:solidFill>
                </w14:textFill>
              </w:rPr>
              <w:t>（一）划分生态环境管控单元</w:t>
            </w:r>
          </w:p>
          <w:p>
            <w:pPr>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kern w:val="21"/>
                <w:sz w:val="24"/>
                <w:highlight w:val="none"/>
                <w14:textFill>
                  <w14:solidFill>
                    <w14:schemeClr w14:val="tx1"/>
                  </w14:solidFill>
                </w14:textFill>
              </w:rPr>
            </w:pPr>
            <w:r>
              <w:rPr>
                <w:rFonts w:hint="default" w:ascii="Times New Roman" w:hAnsi="Times New Roman" w:cs="Times New Roman"/>
                <w:color w:val="000000" w:themeColor="text1"/>
                <w:kern w:val="21"/>
                <w:sz w:val="24"/>
                <w:highlight w:val="none"/>
                <w14:textFill>
                  <w14:solidFill>
                    <w14:schemeClr w14:val="tx1"/>
                  </w14:solidFill>
                </w14:textFill>
              </w:rPr>
              <w:t xml:space="preserve">全市共划定28个生态环境管控单元，其中优先保护单元4个，面积占全市国土面积的1.29%，重点管控单元19个，面积占全市国土面积的59.99%，一般管控单元5个，面积占全市国土面积的38.72%。 </w:t>
            </w:r>
          </w:p>
          <w:p>
            <w:pPr>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kern w:val="21"/>
                <w:sz w:val="24"/>
                <w:highlight w:val="none"/>
                <w14:textFill>
                  <w14:solidFill>
                    <w14:schemeClr w14:val="tx1"/>
                  </w14:solidFill>
                </w14:textFill>
              </w:rPr>
            </w:pPr>
            <w:r>
              <w:rPr>
                <w:rFonts w:hint="default" w:ascii="Times New Roman" w:hAnsi="Times New Roman" w:cs="Times New Roman"/>
                <w:color w:val="000000" w:themeColor="text1"/>
                <w:kern w:val="21"/>
                <w:sz w:val="24"/>
                <w:highlight w:val="none"/>
                <w14:textFill>
                  <w14:solidFill>
                    <w14:schemeClr w14:val="tx1"/>
                  </w14:solidFill>
                </w14:textFill>
              </w:rPr>
              <w:t>（1）优先保护单元。指具有一定生态功能、以生态环境保护为主的区域。依法禁止或限制大规模、高强度的工业和城镇建设，确保生态环境功能不降低。优先保护单元内涉及生态保护红线、饮用水源保护区、沙河国家实地公园、国家级水产种质资源保护区的区域按相关法律法规和管控要求执行。</w:t>
            </w:r>
          </w:p>
          <w:p>
            <w:pPr>
              <w:keepNext w:val="0"/>
              <w:keepLines w:val="0"/>
              <w:pageBreakBefore w:val="0"/>
              <w:widowControl w:val="0"/>
              <w:numPr>
                <w:ilvl w:val="0"/>
                <w:numId w:val="3"/>
              </w:numPr>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kern w:val="21"/>
                <w:sz w:val="24"/>
                <w:highlight w:val="none"/>
                <w14:textFill>
                  <w14:solidFill>
                    <w14:schemeClr w14:val="tx1"/>
                  </w14:solidFill>
                </w14:textFill>
              </w:rPr>
            </w:pPr>
            <w:r>
              <w:rPr>
                <w:rFonts w:hint="default" w:ascii="Times New Roman" w:hAnsi="Times New Roman" w:cs="Times New Roman"/>
                <w:color w:val="000000" w:themeColor="text1"/>
                <w:kern w:val="21"/>
                <w:sz w:val="24"/>
                <w:highlight w:val="none"/>
                <w14:textFill>
                  <w14:solidFill>
                    <w14:schemeClr w14:val="tx1"/>
                  </w14:solidFill>
                </w14:textFill>
              </w:rPr>
              <w:t>重点管控单元。指涉及水、大气、土壤等资源环境要素重点管控的区域，主要包括城镇规划区、各类产业园区（含工业园区和产业集聚区）和开发强度较大、污染物排放强度相对较高的区域。重点管控单元应优化完善区域产业布局，合理布局各类工业项目，结合工业园区和产业集聚区的功能定位和主导产业，严格产业准入条件。坚决遏制高耗能、高排放（以下</w:t>
            </w:r>
            <w:r>
              <w:rPr>
                <w:rFonts w:hint="default" w:ascii="Times New Roman" w:hAnsi="Times New Roman" w:cs="Times New Roman"/>
                <w:color w:val="000000" w:themeColor="text1"/>
                <w:kern w:val="21"/>
                <w:sz w:val="24"/>
                <w:highlight w:val="none"/>
                <w:lang w:eastAsia="zh-CN"/>
                <w14:textFill>
                  <w14:solidFill>
                    <w14:schemeClr w14:val="tx1"/>
                  </w14:solidFill>
                </w14:textFill>
              </w:rPr>
              <w:t>简称</w:t>
            </w:r>
            <w:r>
              <w:rPr>
                <w:rFonts w:hint="default" w:ascii="Times New Roman" w:hAnsi="Times New Roman" w:cs="Times New Roman"/>
                <w:color w:val="000000" w:themeColor="text1"/>
                <w:kern w:val="21"/>
                <w:sz w:val="24"/>
                <w:highlight w:val="none"/>
                <w14:textFill>
                  <w14:solidFill>
                    <w14:schemeClr w14:val="tx1"/>
                  </w14:solidFill>
                </w14:textFill>
              </w:rPr>
              <w:t>“两高”） 项目盲目发展，严格煤电、石化、化工、钢铁、有色金属冶炼、建材等行业“两高”项目环评审批，新建、扩建石化、化工、焦化、有色金属冶炼、平板玻璃项目应布设在依法合规设立并经规划环评的产业园区。市、县区生态环境部门和相关行政审批部门要严格把关，对不符合相关法律法规的项目依法不予审批。</w:t>
            </w:r>
          </w:p>
          <w:p>
            <w:pPr>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kern w:val="21"/>
                <w:sz w:val="24"/>
                <w:highlight w:val="none"/>
                <w14:textFill>
                  <w14:solidFill>
                    <w14:schemeClr w14:val="tx1"/>
                  </w14:solidFill>
                </w14:textFill>
              </w:rPr>
            </w:pPr>
            <w:r>
              <w:rPr>
                <w:rFonts w:hint="default" w:ascii="Times New Roman" w:hAnsi="Times New Roman" w:cs="Times New Roman"/>
                <w:color w:val="000000" w:themeColor="text1"/>
                <w:kern w:val="21"/>
                <w:sz w:val="24"/>
                <w:highlight w:val="none"/>
                <w14:textFill>
                  <w14:solidFill>
                    <w14:schemeClr w14:val="tx1"/>
                  </w14:solidFill>
                </w14:textFill>
              </w:rPr>
              <w:t>（3）一般管控单元。指除优先保护单元和重点管控单元以外的其他区域。主要落实生态环境保护的基本要求，根据资源环境承载能力，合理控制开发强度，生态环境状况得到保持或优化。引导产业科学合理布局，鼓励建设项目入园管理，园区外规划布局工业项目的，相关主管部门应严格其规划或建设项目环评审批。</w:t>
            </w:r>
          </w:p>
          <w:p>
            <w:pPr>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kern w:val="21"/>
                <w:sz w:val="24"/>
                <w:highlight w:val="none"/>
                <w14:textFill>
                  <w14:solidFill>
                    <w14:schemeClr w14:val="tx1"/>
                  </w14:solidFill>
                </w14:textFill>
              </w:rPr>
            </w:pPr>
            <w:r>
              <w:rPr>
                <w:rFonts w:hint="default" w:ascii="Times New Roman" w:hAnsi="Times New Roman" w:cs="Times New Roman"/>
                <w:color w:val="000000" w:themeColor="text1"/>
                <w:kern w:val="21"/>
                <w:sz w:val="24"/>
                <w:highlight w:val="none"/>
                <w14:textFill>
                  <w14:solidFill>
                    <w14:schemeClr w14:val="tx1"/>
                  </w14:solidFill>
                </w14:textFill>
              </w:rPr>
              <w:t>（二）制定生态环境准入清单</w:t>
            </w:r>
          </w:p>
          <w:p>
            <w:pPr>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kern w:val="21"/>
                <w:sz w:val="24"/>
                <w:highlight w:val="none"/>
                <w14:textFill>
                  <w14:solidFill>
                    <w14:schemeClr w14:val="tx1"/>
                  </w14:solidFill>
                </w14:textFill>
              </w:rPr>
            </w:pPr>
            <w:r>
              <w:rPr>
                <w:rFonts w:hint="default" w:ascii="Times New Roman" w:hAnsi="Times New Roman" w:cs="Times New Roman"/>
                <w:color w:val="000000" w:themeColor="text1"/>
                <w:kern w:val="21"/>
                <w:sz w:val="24"/>
                <w:highlight w:val="none"/>
                <w14:textFill>
                  <w14:solidFill>
                    <w14:schemeClr w14:val="tx1"/>
                  </w14:solidFill>
                </w14:textFill>
              </w:rPr>
              <w:t>以生态环境管控单元为基础，结合“三线”划定情况，从空间布局约束、污染物排放管控、环境风险防控和资源利用效率等方面明确准入、限制和禁止的要求。遵循全省“1+3+4+18+N”生态环境准入清单管控体系，建立我市“1+28”生态环境准入清单管控体系，“1”为全市生态环境总体准入要求；“28”为全市各生态环境管控单元准入清单，内容包括生态环境管控单元基本要求和市辖淮河流域水生态环境管控要求。</w:t>
            </w:r>
          </w:p>
          <w:p>
            <w:pPr>
              <w:pStyle w:val="21"/>
              <w:keepNext w:val="0"/>
              <w:keepLines w:val="0"/>
              <w:pageBreakBefore w:val="0"/>
              <w:widowControl w:val="0"/>
              <w:kinsoku/>
              <w:wordWrap/>
              <w:overflowPunct/>
              <w:topLinePunct w:val="0"/>
              <w:autoSpaceDE/>
              <w:autoSpaceDN/>
              <w:bidi w:val="0"/>
              <w:spacing w:after="0" w:line="480" w:lineRule="exact"/>
              <w:ind w:left="0" w:leftChars="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本项目与其相符性分析：</w:t>
            </w:r>
          </w:p>
          <w:p>
            <w:pPr>
              <w:pStyle w:val="21"/>
              <w:keepNext w:val="0"/>
              <w:keepLines w:val="0"/>
              <w:pageBreakBefore w:val="0"/>
              <w:widowControl w:val="0"/>
              <w:kinsoku/>
              <w:wordWrap/>
              <w:overflowPunct/>
              <w:topLinePunct w:val="0"/>
              <w:autoSpaceDE/>
              <w:autoSpaceDN/>
              <w:bidi w:val="0"/>
              <w:spacing w:after="0" w:line="480" w:lineRule="exact"/>
              <w:ind w:left="0" w:leftChars="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（1）生态保护红线</w:t>
            </w:r>
          </w:p>
          <w:p>
            <w:pPr>
              <w:pStyle w:val="21"/>
              <w:keepNext w:val="0"/>
              <w:keepLines w:val="0"/>
              <w:pageBreakBefore w:val="0"/>
              <w:widowControl w:val="0"/>
              <w:kinsoku/>
              <w:wordWrap/>
              <w:overflowPunct/>
              <w:topLinePunct w:val="0"/>
              <w:autoSpaceDE/>
              <w:autoSpaceDN/>
              <w:bidi w:val="0"/>
              <w:spacing w:after="0" w:line="480" w:lineRule="exact"/>
              <w:ind w:left="0" w:leftChars="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根据《河南省生态保护红线划定方案》，漯河市生态红线划定区域为沙河湿地公园生态保育区，面积328.72hm</w:t>
            </w:r>
            <w:r>
              <w:rPr>
                <w:rFonts w:hint="default" w:ascii="Times New Roman" w:hAnsi="Times New Roman" w:eastAsia="宋体" w:cs="Times New Roman"/>
                <w:color w:val="000000" w:themeColor="text1"/>
                <w:sz w:val="24"/>
                <w:szCs w:val="24"/>
                <w:highlight w:val="none"/>
                <w:u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西起崔庄南至马湾进洪闸，东至孙庄的沙河主河道、建设范围以内的区域，是湿地公园的核心保护区域，主要是维持区内原有湿地自然风貌、恢复部分湿地退化区域，促进形成生物栖息地，营造湿地植物群落和野生动物的栖息乐园。</w:t>
            </w:r>
          </w:p>
          <w:p>
            <w:pPr>
              <w:pStyle w:val="21"/>
              <w:keepNext w:val="0"/>
              <w:keepLines w:val="0"/>
              <w:pageBreakBefore w:val="0"/>
              <w:widowControl w:val="0"/>
              <w:kinsoku/>
              <w:wordWrap/>
              <w:overflowPunct/>
              <w:topLinePunct w:val="0"/>
              <w:autoSpaceDE/>
              <w:autoSpaceDN/>
              <w:bidi w:val="0"/>
              <w:spacing w:after="0" w:line="480" w:lineRule="exact"/>
              <w:ind w:left="0" w:leftChars="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本项目位于漯河市经济技术产业集聚区（含漯河经济开发区）</w:t>
            </w:r>
            <w:r>
              <w:rPr>
                <w:rFonts w:hint="default" w:ascii="Times New Roman" w:hAnsi="Times New Roman" w:cs="Times New Roman"/>
                <w:color w:val="000000" w:themeColor="text1"/>
                <w:lang w:eastAsia="zh-CN"/>
                <w14:textFill>
                  <w14:solidFill>
                    <w14:schemeClr w14:val="tx1"/>
                  </w14:solidFill>
                </w14:textFill>
              </w:rPr>
              <w:t>燕山南路与漳江东路交叉口往西北约210米</w:t>
            </w:r>
            <w:r>
              <w:rPr>
                <w:rFonts w:hint="default" w:ascii="Times New Roman" w:hAnsi="Times New Roman" w:eastAsia="宋体" w:cs="Times New Roman"/>
                <w:color w:val="000000" w:themeColor="text1"/>
                <w:sz w:val="24"/>
                <w:szCs w:val="24"/>
                <w:highlight w:val="none"/>
                <w14:textFill>
                  <w14:solidFill>
                    <w14:schemeClr w14:val="tx1"/>
                  </w14:solidFill>
                </w14:textFill>
              </w:rPr>
              <w:t>，占地类型为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商业用地</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不在河南省划定的漯河市生态保护红线范围内，项目选址不涉及生态保护红线</w:t>
            </w:r>
            <w:r>
              <w:rPr>
                <w:rFonts w:hint="default" w:ascii="Times New Roman" w:hAnsi="Times New Roman" w:eastAsia="宋体" w:cs="Times New Roman"/>
                <w:color w:val="000000" w:themeColor="text1"/>
                <w:sz w:val="24"/>
                <w:szCs w:val="24"/>
                <w:highlight w:val="none"/>
                <w14:textFill>
                  <w14:solidFill>
                    <w14:schemeClr w14:val="tx1"/>
                  </w14:solidFill>
                </w14:textFill>
              </w:rPr>
              <w:t>不涉及自然保护区、风景名胜区及水源地保护区等生态红线区域。</w:t>
            </w:r>
          </w:p>
          <w:p>
            <w:pPr>
              <w:pStyle w:val="21"/>
              <w:keepNext w:val="0"/>
              <w:keepLines w:val="0"/>
              <w:pageBreakBefore w:val="0"/>
              <w:widowControl w:val="0"/>
              <w:kinsoku/>
              <w:wordWrap/>
              <w:overflowPunct/>
              <w:topLinePunct w:val="0"/>
              <w:autoSpaceDE/>
              <w:autoSpaceDN/>
              <w:bidi w:val="0"/>
              <w:spacing w:after="0" w:line="480" w:lineRule="exact"/>
              <w:ind w:left="0" w:leftChars="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（2）环境质量底线</w:t>
            </w:r>
          </w:p>
          <w:p>
            <w:pPr>
              <w:pStyle w:val="21"/>
              <w:keepNext w:val="0"/>
              <w:keepLines w:val="0"/>
              <w:pageBreakBefore w:val="0"/>
              <w:widowControl w:val="0"/>
              <w:kinsoku/>
              <w:wordWrap/>
              <w:overflowPunct/>
              <w:topLinePunct w:val="0"/>
              <w:autoSpaceDE/>
              <w:autoSpaceDN/>
              <w:bidi w:val="0"/>
              <w:spacing w:after="0" w:line="480" w:lineRule="exact"/>
              <w:ind w:left="0" w:leftChars="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根据《河南省“三线一单”研究报告》，黑河漯邓桥远期控制目标为</w: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 4 \* ROMAN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IV</w: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t>类水体，本项目生活污水经治理后排入漯河经济技术开发区污水处理厂，经漯河经济技术开发区污水处理厂处理后最终排入黑河，不会对黑河水质造成较大影响。大气环境质量底线为二级标准，根据大气环境影响分析结果，项目排放各类废气污染物经相应治理设施治理后，均可达标排放。土壤环境质量底线为建设用地土壤风险管控标准，本项目位于产业集聚区内，土壤环境不敏感，不会对土壤造成较大影响。因此本项目建成后各项污染物均可以做到达标排放，不会降低区域环境现有功能级别，满足环境质量底线控制要求。</w:t>
            </w:r>
          </w:p>
          <w:p>
            <w:pPr>
              <w:pStyle w:val="21"/>
              <w:keepNext w:val="0"/>
              <w:keepLines w:val="0"/>
              <w:pageBreakBefore w:val="0"/>
              <w:widowControl w:val="0"/>
              <w:kinsoku/>
              <w:wordWrap/>
              <w:overflowPunct/>
              <w:topLinePunct w:val="0"/>
              <w:autoSpaceDE/>
              <w:autoSpaceDN/>
              <w:bidi w:val="0"/>
              <w:adjustRightInd/>
              <w:snapToGrid/>
              <w:spacing w:after="0" w:line="480" w:lineRule="exact"/>
              <w:ind w:left="0" w:leftChars="0" w:firstLine="480" w:firstLineChars="20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（3）资源利用上线</w:t>
            </w:r>
          </w:p>
          <w:p>
            <w:pPr>
              <w:pStyle w:val="35"/>
              <w:keepNext w:val="0"/>
              <w:keepLines w:val="0"/>
              <w:pageBreakBefore w:val="0"/>
              <w:widowControl w:val="0"/>
              <w:kinsoku/>
              <w:wordWrap/>
              <w:overflowPunct/>
              <w:topLinePunct w:val="0"/>
              <w:autoSpaceDE/>
              <w:autoSpaceDN/>
              <w:bidi w:val="0"/>
              <w:adjustRightInd/>
              <w:snapToGrid/>
              <w:spacing w:after="0" w:line="480" w:lineRule="exact"/>
              <w:ind w:firstLineChars="20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①水资源：本项目为加油站</w:t>
            </w:r>
            <w:r>
              <w:rPr>
                <w:rFonts w:hint="default" w:ascii="Times New Roman" w:hAnsi="Times New Roman" w:cs="Times New Roman"/>
                <w:color w:val="000000" w:themeColor="text1"/>
                <w:kern w:val="2"/>
                <w:sz w:val="24"/>
                <w:szCs w:val="24"/>
                <w:highlight w:val="none"/>
                <w:lang w:val="en-US" w:eastAsia="zh-CN" w:bidi="ar-SA"/>
                <w14:textFill>
                  <w14:solidFill>
                    <w14:schemeClr w14:val="tx1"/>
                  </w14:solidFill>
                </w14:textFill>
              </w:rPr>
              <w:t>改扩建</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运营过程用水主要为生活用水，水源来自市政供水系统，能够满足生产需求。根据水利部发布的《关于印发钢铁等十八项工业用水定额的通知》（2020年1月）可知，本项目不属于水利部发布的“十八项传统高耗水工业行业”，不涉及地下水资源开采，资源消耗量相对区域资源利用总量较少，不影响区域水资源总量。</w:t>
            </w:r>
          </w:p>
          <w:p>
            <w:pPr>
              <w:pStyle w:val="35"/>
              <w:keepNext w:val="0"/>
              <w:keepLines w:val="0"/>
              <w:pageBreakBefore w:val="0"/>
              <w:widowControl w:val="0"/>
              <w:kinsoku/>
              <w:wordWrap/>
              <w:overflowPunct/>
              <w:topLinePunct w:val="0"/>
              <w:autoSpaceDE/>
              <w:autoSpaceDN/>
              <w:bidi w:val="0"/>
              <w:adjustRightInd/>
              <w:snapToGrid/>
              <w:spacing w:after="0" w:line="480" w:lineRule="exact"/>
              <w:ind w:firstLineChars="20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②电资源：本项目用电量5万kwh/a，依托现有供电设施，由市政电网供给，本项目建设不会超过当地电资源利用上限。</w:t>
            </w:r>
          </w:p>
          <w:p>
            <w:pPr>
              <w:pStyle w:val="35"/>
              <w:keepNext w:val="0"/>
              <w:keepLines w:val="0"/>
              <w:pageBreakBefore w:val="0"/>
              <w:widowControl w:val="0"/>
              <w:kinsoku/>
              <w:wordWrap/>
              <w:overflowPunct/>
              <w:topLinePunct w:val="0"/>
              <w:autoSpaceDE/>
              <w:autoSpaceDN/>
              <w:bidi w:val="0"/>
              <w:adjustRightInd/>
              <w:snapToGrid/>
              <w:spacing w:after="0" w:line="480" w:lineRule="exact"/>
              <w:ind w:firstLineChars="200"/>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③土地资源：本项目为</w:t>
            </w:r>
            <w:r>
              <w:rPr>
                <w:rFonts w:hint="default" w:ascii="Times New Roman" w:hAnsi="Times New Roman" w:cs="Times New Roman"/>
                <w:color w:val="000000" w:themeColor="text1"/>
                <w:kern w:val="2"/>
                <w:sz w:val="24"/>
                <w:szCs w:val="24"/>
                <w:highlight w:val="none"/>
                <w:lang w:val="en-US" w:eastAsia="zh-CN" w:bidi="ar-SA"/>
                <w14:textFill>
                  <w14:solidFill>
                    <w14:schemeClr w14:val="tx1"/>
                  </w14:solidFill>
                </w14:textFill>
              </w:rPr>
              <w:t>改扩建</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项目，不新增占地，不影响区域土地资源总量，满足土地资源利用上限管控要求。</w:t>
            </w:r>
          </w:p>
          <w:p>
            <w:pPr>
              <w:pStyle w:val="21"/>
              <w:keepNext w:val="0"/>
              <w:keepLines w:val="0"/>
              <w:pageBreakBefore w:val="0"/>
              <w:widowControl w:val="0"/>
              <w:kinsoku/>
              <w:wordWrap/>
              <w:overflowPunct/>
              <w:topLinePunct w:val="0"/>
              <w:autoSpaceDE/>
              <w:autoSpaceDN/>
              <w:bidi w:val="0"/>
              <w:spacing w:after="0" w:line="480" w:lineRule="exact"/>
              <w:ind w:left="0" w:leftChars="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（4）生态环境准入清单</w:t>
            </w:r>
          </w:p>
          <w:p>
            <w:pPr>
              <w:pStyle w:val="35"/>
              <w:keepNext w:val="0"/>
              <w:keepLines w:val="0"/>
              <w:pageBreakBefore w:val="0"/>
              <w:widowControl w:val="0"/>
              <w:kinsoku/>
              <w:wordWrap/>
              <w:overflowPunct/>
              <w:topLinePunct w:val="0"/>
              <w:autoSpaceDE/>
              <w:autoSpaceDN/>
              <w:bidi w:val="0"/>
              <w:spacing w:after="0" w:line="480" w:lineRule="exact"/>
              <w:ind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本项目位于漯河经济技术产业集聚区（含漯河经济开发区）</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国家漯河经济技术开发区东方红路西</w:t>
            </w:r>
            <w:r>
              <w:rPr>
                <w:rFonts w:hint="default" w:ascii="Times New Roman" w:hAnsi="Times New Roman" w:eastAsia="宋体" w:cs="Times New Roman"/>
                <w:color w:val="000000" w:themeColor="text1"/>
                <w:sz w:val="24"/>
                <w:szCs w:val="24"/>
                <w:highlight w:val="none"/>
                <w14:textFill>
                  <w14:solidFill>
                    <w14:schemeClr w14:val="tx1"/>
                  </w14:solidFill>
                </w14:textFill>
              </w:rPr>
              <w:t>，根据</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漯河市生态环境保护委员会办公室文件《关于印发漯河市生态环境准入清单（2023年版）的通知》（漯环委办〔2023〕46号）</w:t>
            </w:r>
            <w:r>
              <w:rPr>
                <w:rFonts w:hint="default" w:ascii="Times New Roman" w:hAnsi="Times New Roman" w:eastAsia="宋体" w:cs="Times New Roman"/>
                <w:color w:val="000000" w:themeColor="text1"/>
                <w:sz w:val="24"/>
                <w:szCs w:val="24"/>
                <w:highlight w:val="none"/>
                <w14:textFill>
                  <w14:solidFill>
                    <w14:schemeClr w14:val="tx1"/>
                  </w14:solidFill>
                </w14:textFill>
              </w:rPr>
              <w:t>中“漯河经济技术开发区（ZH41110420002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重点管控单元）生态环境准入清单”，本项目与其相符性见下表。</w:t>
            </w:r>
          </w:p>
          <w:p>
            <w:pPr>
              <w:pStyle w:val="35"/>
              <w:keepNext w:val="0"/>
              <w:keepLines w:val="0"/>
              <w:pageBreakBefore w:val="0"/>
              <w:widowControl w:val="0"/>
              <w:kinsoku/>
              <w:wordWrap/>
              <w:overflowPunct/>
              <w:topLinePunct w:val="0"/>
              <w:autoSpaceDE/>
              <w:autoSpaceDN/>
              <w:bidi w:val="0"/>
              <w:adjustRightInd/>
              <w:snapToGrid/>
              <w:spacing w:after="0" w:line="480" w:lineRule="exact"/>
              <w:ind w:firstLine="723" w:firstLineChars="3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表3          项目与漯河经济技术开发区生态环境准入清单相符性分析</w:t>
            </w:r>
          </w:p>
          <w:tbl>
            <w:tblPr>
              <w:tblStyle w:val="37"/>
              <w:tblW w:w="909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60"/>
              <w:gridCol w:w="866"/>
              <w:gridCol w:w="4604"/>
              <w:gridCol w:w="2153"/>
              <w:gridCol w:w="90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30"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00" w:lineRule="exact"/>
                    <w:jc w:val="center"/>
                    <w:textAlignment w:val="auto"/>
                    <w:rPr>
                      <w:rFonts w:hint="default" w:ascii="Times New Roman" w:hAnsi="Times New Roman" w:eastAsia="宋体" w:cs="Times New Roman"/>
                      <w:b w:val="0"/>
                      <w:bCs/>
                      <w:color w:val="000000" w:themeColor="text1"/>
                      <w:sz w:val="21"/>
                      <w:szCs w:val="21"/>
                      <w:highlight w:val="none"/>
                      <w:u w:val="none"/>
                      <w:lang w:val="en-US"/>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u w:val="none"/>
                      <w:lang w:val="en-US" w:eastAsia="zh-CN"/>
                      <w14:textFill>
                        <w14:solidFill>
                          <w14:schemeClr w14:val="tx1"/>
                        </w14:solidFill>
                      </w14:textFill>
                    </w:rPr>
                    <w:t>管控要求</w:t>
                  </w:r>
                </w:p>
              </w:tc>
              <w:tc>
                <w:tcPr>
                  <w:tcW w:w="21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00" w:lineRule="exact"/>
                    <w:jc w:val="center"/>
                    <w:textAlignment w:val="auto"/>
                    <w:rPr>
                      <w:rFonts w:hint="default" w:ascii="Times New Roman" w:hAnsi="Times New Roman" w:eastAsia="宋体" w:cs="Times New Roman"/>
                      <w:b w:val="0"/>
                      <w:bCs/>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u w:val="none"/>
                      <w14:textFill>
                        <w14:solidFill>
                          <w14:schemeClr w14:val="tx1"/>
                        </w14:solidFill>
                      </w14:textFill>
                    </w:rPr>
                    <w:t>本项目特点</w:t>
                  </w:r>
                </w:p>
              </w:tc>
              <w:tc>
                <w:tcPr>
                  <w:tcW w:w="9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00" w:lineRule="exact"/>
                    <w:jc w:val="center"/>
                    <w:textAlignment w:val="auto"/>
                    <w:rPr>
                      <w:rFonts w:hint="default" w:ascii="Times New Roman" w:hAnsi="Times New Roman" w:eastAsia="宋体" w:cs="Times New Roman"/>
                      <w:b w:val="0"/>
                      <w:bCs/>
                      <w:color w:val="000000" w:themeColor="text1"/>
                      <w:sz w:val="21"/>
                      <w:szCs w:val="21"/>
                      <w:highlight w:val="none"/>
                      <w:u w:val="none"/>
                      <w14:textFill>
                        <w14:solidFill>
                          <w14:schemeClr w14:val="tx1"/>
                        </w14:solidFill>
                      </w14:textFill>
                    </w:rPr>
                  </w:pPr>
                  <w:r>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t>相符</w:t>
                  </w:r>
                  <w:r>
                    <w:rPr>
                      <w:rFonts w:hint="default" w:ascii="Times New Roman" w:hAnsi="Times New Roman" w:eastAsia="宋体" w:cs="Times New Roman"/>
                      <w:b w:val="0"/>
                      <w:bCs/>
                      <w:color w:val="000000" w:themeColor="text1"/>
                      <w:sz w:val="21"/>
                      <w:szCs w:val="21"/>
                      <w:highlight w:val="none"/>
                      <w:u w:val="none"/>
                      <w14:textFill>
                        <w14:solidFill>
                          <w14:schemeClr w14:val="tx1"/>
                        </w14:solidFill>
                      </w14:textFill>
                    </w:rPr>
                    <w:t>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default" w:ascii="Times New Roman" w:hAnsi="Times New Roman" w:eastAsia="宋体" w:cs="Times New Roman"/>
                      <w:b w:val="0"/>
                      <w:bCs/>
                      <w:color w:val="000000" w:themeColor="text1"/>
                      <w:sz w:val="21"/>
                      <w:szCs w:val="21"/>
                      <w:highlight w:val="none"/>
                      <w:u w:val="none"/>
                      <w:lang w:eastAsia="zh-CN"/>
                      <w14:textFill>
                        <w14:solidFill>
                          <w14:schemeClr w14:val="tx1"/>
                        </w14:solidFill>
                      </w14:textFill>
                    </w:rPr>
                  </w:pPr>
                  <w:r>
                    <w:rPr>
                      <w:rFonts w:hint="default" w:ascii="Times New Roman" w:hAnsi="Times New Roman" w:eastAsia="宋体" w:cs="Times New Roman"/>
                      <w:b w:val="0"/>
                      <w:bCs/>
                      <w:iCs/>
                      <w:color w:val="000000" w:themeColor="text1"/>
                      <w:kern w:val="2"/>
                      <w:sz w:val="21"/>
                      <w:szCs w:val="21"/>
                      <w:highlight w:val="none"/>
                      <w:u w:val="none"/>
                      <w:lang w:val="en-US" w:eastAsia="zh-CN" w:bidi="ar-SA"/>
                      <w14:textFill>
                        <w14:solidFill>
                          <w14:schemeClr w14:val="tx1"/>
                        </w14:solidFill>
                      </w14:textFill>
                    </w:rPr>
                    <w:t>漯河经济技术开发区（ZH41110420002  重点管控单元）</w:t>
                  </w:r>
                </w:p>
              </w:tc>
              <w:tc>
                <w:tcPr>
                  <w:tcW w:w="866" w:type="dxa"/>
                  <w:tcBorders>
                    <w:tl2br w:val="nil"/>
                    <w:tr2bl w:val="nil"/>
                  </w:tcBorders>
                  <w:noWrap w:val="0"/>
                  <w:vAlign w:val="center"/>
                </w:tcPr>
                <w:p>
                  <w:pPr>
                    <w:pStyle w:val="119"/>
                    <w:keepNext w:val="0"/>
                    <w:keepLines w:val="0"/>
                    <w:pageBreakBefore w:val="0"/>
                    <w:widowControl w:val="0"/>
                    <w:kinsoku/>
                    <w:wordWrap/>
                    <w:overflowPunct/>
                    <w:topLinePunct w:val="0"/>
                    <w:autoSpaceDE/>
                    <w:autoSpaceDN/>
                    <w:bidi w:val="0"/>
                    <w:spacing w:line="400" w:lineRule="exact"/>
                    <w:jc w:val="center"/>
                    <w:textAlignment w:val="auto"/>
                    <w:rPr>
                      <w:rFonts w:hint="default" w:ascii="Times New Roman" w:hAnsi="Times New Roman" w:eastAsia="宋体" w:cs="Times New Roman"/>
                      <w:b w:val="0"/>
                      <w:bCs/>
                      <w:i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val="0"/>
                      <w:bCs/>
                      <w:iCs/>
                      <w:color w:val="000000" w:themeColor="text1"/>
                      <w:kern w:val="2"/>
                      <w:sz w:val="21"/>
                      <w:szCs w:val="21"/>
                      <w:highlight w:val="none"/>
                      <w:u w:val="none"/>
                      <w:lang w:val="en-US" w:eastAsia="zh-CN" w:bidi="ar-SA"/>
                      <w14:textFill>
                        <w14:solidFill>
                          <w14:schemeClr w14:val="tx1"/>
                        </w14:solidFill>
                      </w14:textFill>
                    </w:rPr>
                    <w:t>空间布局约束</w:t>
                  </w:r>
                </w:p>
              </w:tc>
              <w:tc>
                <w:tcPr>
                  <w:tcW w:w="4604" w:type="dxa"/>
                  <w:tcBorders>
                    <w:tl2br w:val="nil"/>
                    <w:tr2bl w:val="nil"/>
                  </w:tcBorders>
                  <w:noWrap w:val="0"/>
                  <w:vAlign w:val="center"/>
                </w:tcPr>
                <w:p>
                  <w:pPr>
                    <w:pStyle w:val="119"/>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1、禁止新建不符合规划环评要求的建设项目。</w:t>
                  </w:r>
                </w:p>
                <w:p>
                  <w:pPr>
                    <w:pStyle w:val="119"/>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2、严控新增重点防控的重金属污染物排放量，新、改、扩建重点行业建设项目实施重点重金属减量替代。</w:t>
                  </w:r>
                </w:p>
                <w:p>
                  <w:pPr>
                    <w:pStyle w:val="119"/>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宋体" w:cs="Times New Roman"/>
                      <w:b w:val="0"/>
                      <w:bCs/>
                      <w:i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3、新建、改建、扩建</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两高</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项目应符合生态环境保护法律法规和相关法定规划，满足重点污染物总量控制、碳排放达峰目标、相关规划环评和行业建设项目环境准入条件、环评审批原则要求</w:t>
                  </w:r>
                  <w:r>
                    <w:rPr>
                      <w:rFonts w:hint="default" w:ascii="Times New Roman" w:hAnsi="Times New Roman" w:eastAsia="宋体" w:cs="Times New Roman"/>
                      <w:b w:val="0"/>
                      <w:bCs/>
                      <w:iCs/>
                      <w:color w:val="000000" w:themeColor="text1"/>
                      <w:kern w:val="2"/>
                      <w:sz w:val="21"/>
                      <w:szCs w:val="21"/>
                      <w:highlight w:val="none"/>
                      <w:u w:val="none"/>
                      <w:lang w:val="en-US" w:eastAsia="zh-CN" w:bidi="ar-SA"/>
                      <w14:textFill>
                        <w14:solidFill>
                          <w14:schemeClr w14:val="tx1"/>
                        </w14:solidFill>
                      </w14:textFill>
                    </w:rPr>
                    <w:t>。</w:t>
                  </w:r>
                </w:p>
              </w:tc>
              <w:tc>
                <w:tcPr>
                  <w:tcW w:w="21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ascii="Times New Roman" w:hAnsi="Times New Roman" w:eastAsia="宋体" w:cs="Times New Roman"/>
                      <w:b w:val="0"/>
                      <w:bCs/>
                      <w:i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u w:val="none"/>
                      <w:lang w:val="en-US" w:eastAsia="zh-CN"/>
                      <w14:textFill>
                        <w14:solidFill>
                          <w14:schemeClr w14:val="tx1"/>
                        </w14:solidFill>
                      </w14:textFill>
                    </w:rPr>
                    <w:t>1、</w:t>
                  </w:r>
                  <w:r>
                    <w:rPr>
                      <w:rFonts w:hint="default" w:ascii="Times New Roman" w:hAnsi="Times New Roman" w:eastAsia="宋体" w:cs="Times New Roman"/>
                      <w:bCs w:val="0"/>
                      <w:color w:val="000000" w:themeColor="text1"/>
                      <w:sz w:val="21"/>
                      <w:szCs w:val="21"/>
                      <w:highlight w:val="none"/>
                      <w:u w:val="none"/>
                      <w14:textFill>
                        <w14:solidFill>
                          <w14:schemeClr w14:val="tx1"/>
                        </w14:solidFill>
                      </w14:textFill>
                    </w:rPr>
                    <w:t>本项目</w:t>
                  </w:r>
                  <w:r>
                    <w:rPr>
                      <w:rFonts w:hint="default" w:ascii="Times New Roman" w:hAnsi="Times New Roman" w:eastAsia="宋体" w:cs="Times New Roman"/>
                      <w:bCs w:val="0"/>
                      <w:color w:val="000000" w:themeColor="text1"/>
                      <w:sz w:val="21"/>
                      <w:szCs w:val="21"/>
                      <w:highlight w:val="none"/>
                      <w:u w:val="none"/>
                      <w:lang w:val="en-US" w:eastAsia="zh-CN"/>
                      <w14:textFill>
                        <w14:solidFill>
                          <w14:schemeClr w14:val="tx1"/>
                        </w14:solidFill>
                      </w14:textFill>
                    </w:rPr>
                    <w:t>为加油站</w:t>
                  </w:r>
                  <w:r>
                    <w:rPr>
                      <w:rFonts w:hint="default" w:ascii="Times New Roman" w:hAnsi="Times New Roman" w:cs="Times New Roman"/>
                      <w:bCs w:val="0"/>
                      <w:color w:val="000000" w:themeColor="text1"/>
                      <w:sz w:val="21"/>
                      <w:szCs w:val="21"/>
                      <w:highlight w:val="none"/>
                      <w:u w:val="none"/>
                      <w:lang w:val="en-US" w:eastAsia="zh-CN"/>
                      <w14:textFill>
                        <w14:solidFill>
                          <w14:schemeClr w14:val="tx1"/>
                        </w14:solidFill>
                      </w14:textFill>
                    </w:rPr>
                    <w:t>改扩建</w:t>
                  </w:r>
                  <w:r>
                    <w:rPr>
                      <w:rFonts w:hint="default" w:ascii="Times New Roman" w:hAnsi="Times New Roman" w:eastAsia="宋体" w:cs="Times New Roman"/>
                      <w:bCs w:val="0"/>
                      <w:color w:val="000000" w:themeColor="text1"/>
                      <w:sz w:val="21"/>
                      <w:szCs w:val="21"/>
                      <w:highlight w:val="none"/>
                      <w:u w:val="none"/>
                      <w:lang w:val="en-US" w:eastAsia="zh-CN"/>
                      <w14:textFill>
                        <w14:solidFill>
                          <w14:schemeClr w14:val="tx1"/>
                        </w14:solidFill>
                      </w14:textFill>
                    </w:rPr>
                    <w:t>项目，</w:t>
                  </w:r>
                  <w:r>
                    <w:rPr>
                      <w:rFonts w:hint="default" w:ascii="Times New Roman" w:hAnsi="Times New Roman" w:cs="Times New Roman"/>
                      <w:color w:val="000000" w:themeColor="text1"/>
                      <w:sz w:val="21"/>
                      <w:szCs w:val="21"/>
                      <w:highlight w:val="none"/>
                      <w14:textFill>
                        <w14:solidFill>
                          <w14:schemeClr w14:val="tx1"/>
                        </w14:solidFill>
                      </w14:textFill>
                    </w:rPr>
                    <w:t>符合</w:t>
                  </w:r>
                  <w:r>
                    <w:rPr>
                      <w:rFonts w:hint="default" w:ascii="Times New Roman" w:hAnsi="Times New Roman" w:cs="Times New Roman"/>
                      <w:color w:val="000000" w:themeColor="text1"/>
                      <w:kern w:val="0"/>
                      <w:sz w:val="21"/>
                      <w:szCs w:val="21"/>
                      <w:highlight w:val="none"/>
                      <w14:textFill>
                        <w14:solidFill>
                          <w14:schemeClr w14:val="tx1"/>
                        </w14:solidFill>
                      </w14:textFill>
                    </w:rPr>
                    <w:t>规划环评要求</w:t>
                  </w:r>
                  <w:r>
                    <w:rPr>
                      <w:rFonts w:hint="default" w:ascii="Times New Roman" w:hAnsi="Times New Roman" w:eastAsia="宋体" w:cs="Times New Roman"/>
                      <w:b w:val="0"/>
                      <w:bCs/>
                      <w:iCs/>
                      <w:color w:val="000000" w:themeColor="text1"/>
                      <w:kern w:val="2"/>
                      <w:sz w:val="21"/>
                      <w:szCs w:val="21"/>
                      <w:highlight w:val="none"/>
                      <w:u w:val="none"/>
                      <w:lang w:val="en-US" w:eastAsia="zh-CN" w:bidi="ar-SA"/>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ascii="Times New Roman" w:hAnsi="Times New Roman" w:eastAsia="宋体" w:cs="Times New Roman"/>
                      <w:b w:val="0"/>
                      <w:bCs/>
                      <w:i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val="0"/>
                      <w:bCs/>
                      <w:iCs/>
                      <w:color w:val="000000" w:themeColor="text1"/>
                      <w:kern w:val="2"/>
                      <w:sz w:val="21"/>
                      <w:szCs w:val="21"/>
                      <w:highlight w:val="none"/>
                      <w:u w:val="none"/>
                      <w:lang w:val="en-US" w:eastAsia="zh-CN" w:bidi="ar-SA"/>
                      <w14:textFill>
                        <w14:solidFill>
                          <w14:schemeClr w14:val="tx1"/>
                        </w14:solidFill>
                      </w14:textFill>
                    </w:rPr>
                    <w:t>2、项目不涉及</w:t>
                  </w:r>
                  <w:r>
                    <w:rPr>
                      <w:rFonts w:hint="default" w:ascii="Times New Roman" w:hAnsi="Times New Roman" w:eastAsia="宋体" w:cs="Times New Roman"/>
                      <w:color w:val="000000" w:themeColor="text1"/>
                      <w:sz w:val="21"/>
                      <w:szCs w:val="21"/>
                      <w:highlight w:val="none"/>
                      <w14:textFill>
                        <w14:solidFill>
                          <w14:schemeClr w14:val="tx1"/>
                        </w14:solidFill>
                      </w14:textFill>
                    </w:rPr>
                    <w:t>重金属污染物排放</w:t>
                  </w:r>
                  <w:r>
                    <w:rPr>
                      <w:rFonts w:hint="default" w:ascii="Times New Roman" w:hAnsi="Times New Roman" w:eastAsia="宋体" w:cs="Times New Roman"/>
                      <w:b w:val="0"/>
                      <w:bCs/>
                      <w:iCs/>
                      <w:color w:val="000000" w:themeColor="text1"/>
                      <w:kern w:val="2"/>
                      <w:sz w:val="21"/>
                      <w:szCs w:val="21"/>
                      <w:highlight w:val="none"/>
                      <w:u w:val="none"/>
                      <w:lang w:val="en-US" w:eastAsia="zh-CN" w:bidi="ar-SA"/>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ascii="Times New Roman" w:hAnsi="Times New Roman" w:eastAsia="宋体" w:cs="Times New Roman"/>
                      <w:b w:val="0"/>
                      <w:bCs/>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iCs/>
                      <w:color w:val="000000" w:themeColor="text1"/>
                      <w:kern w:val="2"/>
                      <w:sz w:val="21"/>
                      <w:szCs w:val="21"/>
                      <w:highlight w:val="none"/>
                      <w:u w:val="none"/>
                      <w:lang w:val="en-US" w:eastAsia="zh-CN" w:bidi="ar-SA"/>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项目不属于“两高”项目</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p>
              </w:tc>
              <w:tc>
                <w:tcPr>
                  <w:tcW w:w="9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00" w:lineRule="exact"/>
                    <w:jc w:val="center"/>
                    <w:textAlignment w:val="auto"/>
                    <w:rPr>
                      <w:rFonts w:hint="default" w:ascii="Times New Roman" w:hAnsi="Times New Roman" w:eastAsia="宋体" w:cs="Times New Roman"/>
                      <w:b w:val="0"/>
                      <w:bCs/>
                      <w:color w:val="000000" w:themeColor="text1"/>
                      <w:sz w:val="21"/>
                      <w:szCs w:val="21"/>
                      <w:highlight w:val="none"/>
                      <w:u w:val="none"/>
                      <w14:textFill>
                        <w14:solidFill>
                          <w14:schemeClr w14:val="tx1"/>
                        </w14:solidFill>
                      </w14:textFill>
                    </w:rPr>
                  </w:pPr>
                  <w:r>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0" w:type="dxa"/>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default" w:ascii="Times New Roman" w:hAnsi="Times New Roman" w:eastAsia="宋体" w:cs="Times New Roman"/>
                      <w:b w:val="0"/>
                      <w:bCs/>
                      <w:color w:val="000000" w:themeColor="text1"/>
                      <w:sz w:val="21"/>
                      <w:szCs w:val="21"/>
                      <w:highlight w:val="none"/>
                      <w:u w:val="none"/>
                      <w:lang w:eastAsia="zh-CN"/>
                      <w14:textFill>
                        <w14:solidFill>
                          <w14:schemeClr w14:val="tx1"/>
                        </w14:solidFill>
                      </w14:textFill>
                    </w:rPr>
                  </w:pPr>
                </w:p>
              </w:tc>
              <w:tc>
                <w:tcPr>
                  <w:tcW w:w="866" w:type="dxa"/>
                  <w:tcBorders>
                    <w:tl2br w:val="nil"/>
                    <w:tr2bl w:val="nil"/>
                  </w:tcBorders>
                  <w:noWrap w:val="0"/>
                  <w:vAlign w:val="center"/>
                </w:tcPr>
                <w:p>
                  <w:pPr>
                    <w:pStyle w:val="119"/>
                    <w:keepNext w:val="0"/>
                    <w:keepLines w:val="0"/>
                    <w:pageBreakBefore w:val="0"/>
                    <w:widowControl w:val="0"/>
                    <w:kinsoku/>
                    <w:wordWrap/>
                    <w:overflowPunct/>
                    <w:topLinePunct w:val="0"/>
                    <w:autoSpaceDE/>
                    <w:autoSpaceDN/>
                    <w:bidi w:val="0"/>
                    <w:spacing w:line="400" w:lineRule="exact"/>
                    <w:jc w:val="center"/>
                    <w:textAlignment w:val="auto"/>
                    <w:rPr>
                      <w:rFonts w:hint="default" w:ascii="Times New Roman" w:hAnsi="Times New Roman" w:eastAsia="宋体" w:cs="Times New Roman"/>
                      <w:b w:val="0"/>
                      <w:bCs/>
                      <w:i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val="0"/>
                      <w:bCs/>
                      <w:iCs/>
                      <w:color w:val="000000" w:themeColor="text1"/>
                      <w:kern w:val="2"/>
                      <w:sz w:val="21"/>
                      <w:szCs w:val="21"/>
                      <w:highlight w:val="none"/>
                      <w:u w:val="none"/>
                      <w:lang w:val="en-US" w:eastAsia="zh-CN" w:bidi="ar-SA"/>
                      <w14:textFill>
                        <w14:solidFill>
                          <w14:schemeClr w14:val="tx1"/>
                        </w14:solidFill>
                      </w14:textFill>
                    </w:rPr>
                    <w:t>污染物排放管控</w:t>
                  </w:r>
                </w:p>
              </w:tc>
              <w:tc>
                <w:tcPr>
                  <w:tcW w:w="4604" w:type="dxa"/>
                  <w:tcBorders>
                    <w:tl2br w:val="nil"/>
                    <w:tr2bl w:val="nil"/>
                  </w:tcBorders>
                  <w:noWrap w:val="0"/>
                  <w:vAlign w:val="center"/>
                </w:tcPr>
                <w:p>
                  <w:pPr>
                    <w:pStyle w:val="119"/>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1、园区实施雨污分流，建成区域实现管网全配套，污水集中处理设施稳定达标运行，并安装自动在线监控装置，污水集中处理设施出水执行《城镇污水处理厂污染物排放标准》</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GB18918-2002）一级A排放标准（其中限定COD≤30mg/L</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氨氮≤1.5mg/L</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总磷≤0.3mg/L 、总氮≤10mg/L</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p>
                  <w:pPr>
                    <w:pStyle w:val="119"/>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园区入驻企业外排废水，不得超过国家或省规定的水污染物排放标准以及重点水污染物排放总量控制指标，向污水集中处理设施排放工业废水的，应当按照国家有关规定进行预处理，达到集中处理设施处理工艺要求后方可排放。</w:t>
                  </w:r>
                </w:p>
                <w:p>
                  <w:pPr>
                    <w:pStyle w:val="119"/>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3、在禁燃区内，禁止销售、燃用高污染燃料</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禁止新建、扩建燃用高污染燃料的设施。</w:t>
                  </w:r>
                </w:p>
                <w:p>
                  <w:pPr>
                    <w:pStyle w:val="119"/>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宋体" w:cs="Times New Roman"/>
                      <w:b w:val="0"/>
                      <w:bCs/>
                      <w:i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4、推进包装印刷、工业涂装、家具制造等重点行业源头、过程和末端全过程综合控制，实施VOCs排放总量控制</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全面推广使用低 VOCs含量涂料、油墨、胶粘剂、清洗剂等原辅材料</w:t>
                  </w:r>
                  <w:r>
                    <w:rPr>
                      <w:rFonts w:hint="default" w:ascii="Times New Roman" w:hAnsi="Times New Roman" w:eastAsia="宋体" w:cs="Times New Roman"/>
                      <w:b w:val="0"/>
                      <w:bCs/>
                      <w:iCs/>
                      <w:color w:val="000000" w:themeColor="text1"/>
                      <w:kern w:val="2"/>
                      <w:sz w:val="21"/>
                      <w:szCs w:val="21"/>
                      <w:highlight w:val="none"/>
                      <w:u w:val="none"/>
                      <w:lang w:val="en-US" w:eastAsia="zh-CN" w:bidi="ar-SA"/>
                      <w14:textFill>
                        <w14:solidFill>
                          <w14:schemeClr w14:val="tx1"/>
                        </w14:solidFill>
                      </w14:textFill>
                    </w:rPr>
                    <w:t>。</w:t>
                  </w:r>
                </w:p>
              </w:tc>
              <w:tc>
                <w:tcPr>
                  <w:tcW w:w="2153"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ascii="Times New Roman" w:hAnsi="Times New Roman" w:eastAsia="宋体" w:cs="Times New Roman"/>
                      <w:bCs/>
                      <w:snapToGrid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kern w:val="0"/>
                      <w:sz w:val="21"/>
                      <w:szCs w:val="21"/>
                      <w:highlight w:val="none"/>
                      <w:u w:val="none"/>
                      <w:lang w:val="en-US" w:eastAsia="zh-CN"/>
                      <w14:textFill>
                        <w14:solidFill>
                          <w14:schemeClr w14:val="tx1"/>
                        </w14:solidFill>
                      </w14:textFill>
                    </w:rPr>
                    <w:t>1、</w:t>
                  </w:r>
                  <w:r>
                    <w:rPr>
                      <w:rFonts w:hint="default" w:ascii="Times New Roman" w:hAnsi="Times New Roman" w:eastAsia="宋体" w:cs="Times New Roman"/>
                      <w:bCs w:val="0"/>
                      <w:color w:val="000000" w:themeColor="text1"/>
                      <w:sz w:val="21"/>
                      <w:szCs w:val="21"/>
                      <w:highlight w:val="none"/>
                      <w:u w:val="none"/>
                      <w:lang w:val="en-US" w:eastAsia="zh-CN"/>
                      <w14:textFill>
                        <w14:solidFill>
                          <w14:schemeClr w14:val="tx1"/>
                        </w14:solidFill>
                      </w14:textFill>
                    </w:rPr>
                    <w:t>本项目雨污分流，</w:t>
                  </w:r>
                  <w:r>
                    <w:rPr>
                      <w:rFonts w:hint="default" w:ascii="Times New Roman" w:hAnsi="Times New Roman" w:cs="Times New Roman"/>
                      <w:color w:val="000000" w:themeColor="text1"/>
                      <w14:textFill>
                        <w14:solidFill>
                          <w14:schemeClr w14:val="tx1"/>
                        </w14:solidFill>
                      </w14:textFill>
                    </w:rPr>
                    <w:t>本项目生活污水经化粪池处理后排入漯河经济技术产业集聚区污水处理厂处理</w:t>
                  </w:r>
                  <w:r>
                    <w:rPr>
                      <w:rFonts w:hint="default" w:ascii="Times New Roman" w:hAnsi="Times New Roman" w:eastAsia="宋体" w:cs="Times New Roman"/>
                      <w:bCs/>
                      <w:snapToGrid w:val="0"/>
                      <w:color w:val="000000" w:themeColor="text1"/>
                      <w:kern w:val="0"/>
                      <w:sz w:val="21"/>
                      <w:szCs w:val="21"/>
                      <w:highlight w:val="none"/>
                      <w:u w:val="none"/>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ascii="Times New Roman" w:hAnsi="Times New Roman" w:eastAsia="宋体" w:cs="Times New Roman"/>
                      <w:b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kern w:val="0"/>
                      <w:sz w:val="21"/>
                      <w:szCs w:val="21"/>
                      <w:highlight w:val="none"/>
                      <w:u w:val="none"/>
                      <w:lang w:val="en-US" w:eastAsia="zh-CN"/>
                      <w14:textFill>
                        <w14:solidFill>
                          <w14:schemeClr w14:val="tx1"/>
                        </w14:solidFill>
                      </w14:textFill>
                    </w:rPr>
                    <w:t>2、</w:t>
                  </w:r>
                  <w:r>
                    <w:rPr>
                      <w:rFonts w:hint="default" w:ascii="Times New Roman" w:hAnsi="Times New Roman" w:cs="Times New Roman"/>
                      <w:color w:val="000000" w:themeColor="text1"/>
                      <w14:textFill>
                        <w14:solidFill>
                          <w14:schemeClr w14:val="tx1"/>
                        </w14:solidFill>
                      </w14:textFill>
                    </w:rPr>
                    <w:t>本项目生活污水经化粪池处理后排入漯河经济技术产业集聚区污水处理厂处理</w:t>
                  </w:r>
                  <w:r>
                    <w:rPr>
                      <w:rFonts w:hint="default" w:ascii="Times New Roman" w:hAnsi="Times New Roman" w:eastAsia="宋体" w:cs="Times New Roman"/>
                      <w:bCs w:val="0"/>
                      <w:color w:val="000000" w:themeColor="text1"/>
                      <w:sz w:val="21"/>
                      <w:szCs w:val="21"/>
                      <w:highlight w:val="none"/>
                      <w:u w:val="none"/>
                      <w:lang w:val="en-US" w:eastAsia="zh-CN"/>
                      <w14:textFill>
                        <w14:solidFill>
                          <w14:schemeClr w14:val="tx1"/>
                        </w14:solidFill>
                      </w14:textFill>
                    </w:rPr>
                    <w:t>，废水排放满足相应标准；</w:t>
                  </w:r>
                </w:p>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本项目不使用高污染燃料</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14:textFill>
                        <w14:solidFill>
                          <w14:schemeClr w14:val="tx1"/>
                        </w14:solidFill>
                      </w14:textFill>
                    </w:rPr>
                    <w:t>本项目</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为加油站</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改扩建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项目，</w:t>
                  </w:r>
                  <w:r>
                    <w:rPr>
                      <w:rFonts w:hint="default" w:ascii="Times New Roman" w:hAnsi="Times New Roman" w:eastAsia="宋体" w:cs="Times New Roman"/>
                      <w:color w:val="000000" w:themeColor="text1"/>
                      <w:sz w:val="21"/>
                      <w:szCs w:val="21"/>
                      <w:highlight w:val="none"/>
                      <w14:textFill>
                        <w14:solidFill>
                          <w14:schemeClr w14:val="tx1"/>
                        </w14:solidFill>
                      </w14:textFill>
                    </w:rPr>
                    <w:t>卸油、储油、加油等挥发油气，以非甲烷总烃计，经油气回收设施处理</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9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00" w:lineRule="exact"/>
                    <w:jc w:val="center"/>
                    <w:textAlignment w:val="auto"/>
                    <w:rPr>
                      <w:rFonts w:hint="default" w:ascii="Times New Roman" w:hAnsi="Times New Roman" w:eastAsia="宋体" w:cs="Times New Roman"/>
                      <w:b w:val="0"/>
                      <w:bCs/>
                      <w:color w:val="000000" w:themeColor="text1"/>
                      <w:sz w:val="21"/>
                      <w:szCs w:val="21"/>
                      <w:highlight w:val="none"/>
                      <w:u w:val="none"/>
                      <w14:textFill>
                        <w14:solidFill>
                          <w14:schemeClr w14:val="tx1"/>
                        </w14:solidFill>
                      </w14:textFill>
                    </w:rPr>
                  </w:pPr>
                  <w:r>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0" w:type="dxa"/>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default" w:ascii="Times New Roman" w:hAnsi="Times New Roman" w:eastAsia="宋体" w:cs="Times New Roman"/>
                      <w:b w:val="0"/>
                      <w:bCs/>
                      <w:color w:val="000000" w:themeColor="text1"/>
                      <w:sz w:val="21"/>
                      <w:szCs w:val="21"/>
                      <w:highlight w:val="none"/>
                      <w:u w:val="none"/>
                      <w:lang w:eastAsia="zh-CN"/>
                      <w14:textFill>
                        <w14:solidFill>
                          <w14:schemeClr w14:val="tx1"/>
                        </w14:solidFill>
                      </w14:textFill>
                    </w:rPr>
                  </w:pPr>
                </w:p>
              </w:tc>
              <w:tc>
                <w:tcPr>
                  <w:tcW w:w="866" w:type="dxa"/>
                  <w:tcBorders>
                    <w:tl2br w:val="nil"/>
                    <w:tr2bl w:val="nil"/>
                  </w:tcBorders>
                  <w:noWrap w:val="0"/>
                  <w:vAlign w:val="center"/>
                </w:tcPr>
                <w:p>
                  <w:pPr>
                    <w:pStyle w:val="119"/>
                    <w:keepNext w:val="0"/>
                    <w:keepLines w:val="0"/>
                    <w:pageBreakBefore w:val="0"/>
                    <w:widowControl w:val="0"/>
                    <w:kinsoku/>
                    <w:wordWrap/>
                    <w:overflowPunct/>
                    <w:topLinePunct w:val="0"/>
                    <w:autoSpaceDE/>
                    <w:autoSpaceDN/>
                    <w:bidi w:val="0"/>
                    <w:spacing w:line="400" w:lineRule="exact"/>
                    <w:jc w:val="center"/>
                    <w:textAlignment w:val="auto"/>
                    <w:rPr>
                      <w:rFonts w:hint="default" w:ascii="Times New Roman" w:hAnsi="Times New Roman" w:eastAsia="宋体" w:cs="Times New Roman"/>
                      <w:b w:val="0"/>
                      <w:bCs/>
                      <w:i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val="0"/>
                      <w:bCs/>
                      <w:iCs/>
                      <w:color w:val="000000" w:themeColor="text1"/>
                      <w:kern w:val="2"/>
                      <w:sz w:val="21"/>
                      <w:szCs w:val="21"/>
                      <w:highlight w:val="none"/>
                      <w:u w:val="none"/>
                      <w:lang w:val="en-US" w:eastAsia="zh-CN" w:bidi="ar-SA"/>
                      <w14:textFill>
                        <w14:solidFill>
                          <w14:schemeClr w14:val="tx1"/>
                        </w14:solidFill>
                      </w14:textFill>
                    </w:rPr>
                    <w:t>环境风险防控</w:t>
                  </w:r>
                </w:p>
              </w:tc>
              <w:tc>
                <w:tcPr>
                  <w:tcW w:w="4604" w:type="dxa"/>
                  <w:tcBorders>
                    <w:tl2br w:val="nil"/>
                    <w:tr2bl w:val="nil"/>
                  </w:tcBorders>
                  <w:noWrap w:val="0"/>
                  <w:vAlign w:val="center"/>
                </w:tcPr>
                <w:p>
                  <w:pPr>
                    <w:pStyle w:val="119"/>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1、园区管理部门应制定完善的事故风险应急预案，建立风险防范体系，具备事故应急能力，并定期进行演练。</w:t>
                  </w:r>
                </w:p>
                <w:p>
                  <w:pPr>
                    <w:pStyle w:val="119"/>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宋体" w:cs="Times New Roman"/>
                      <w:b w:val="0"/>
                      <w:bCs/>
                      <w:i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2、园区内企业按照《企业事业单位突发环境事件应急预案备案管理办法（试行）》的要求，相关企业事业单位应制定完善的环境应急预案，报环境管理部门备案管理，并落实有关要求</w:t>
                  </w:r>
                  <w:r>
                    <w:rPr>
                      <w:rFonts w:hint="default" w:ascii="Times New Roman" w:hAnsi="Times New Roman" w:eastAsia="宋体" w:cs="Times New Roman"/>
                      <w:b w:val="0"/>
                      <w:bCs/>
                      <w:iCs/>
                      <w:color w:val="000000" w:themeColor="text1"/>
                      <w:kern w:val="2"/>
                      <w:sz w:val="21"/>
                      <w:szCs w:val="21"/>
                      <w:highlight w:val="none"/>
                      <w:u w:val="none"/>
                      <w:lang w:val="en-US" w:eastAsia="zh-CN" w:bidi="ar-SA"/>
                      <w14:textFill>
                        <w14:solidFill>
                          <w14:schemeClr w14:val="tx1"/>
                        </w14:solidFill>
                      </w14:textFill>
                    </w:rPr>
                    <w:t>。</w:t>
                  </w:r>
                </w:p>
              </w:tc>
              <w:tc>
                <w:tcPr>
                  <w:tcW w:w="2153"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ascii="Times New Roman" w:hAnsi="Times New Roman" w:eastAsia="宋体" w:cs="Times New Roman"/>
                      <w:b w:val="0"/>
                      <w:bCs/>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企业按照《企业事业单位突发环境事件应急预案备案管理办法（试行）》的要求，制定完善的环境应急预案，报环境管理部门备案管理，并落实有关要求</w:t>
                  </w:r>
                  <w:r>
                    <w:rPr>
                      <w:rFonts w:hint="default" w:ascii="Times New Roman" w:hAnsi="Times New Roman" w:cs="Times New Roman"/>
                      <w:color w:val="000000" w:themeColor="text1"/>
                      <w:lang w:eastAsia="zh-CN"/>
                      <w14:textFill>
                        <w14:solidFill>
                          <w14:schemeClr w14:val="tx1"/>
                        </w14:solidFill>
                      </w14:textFill>
                    </w:rPr>
                    <w:t>。</w:t>
                  </w:r>
                </w:p>
              </w:tc>
              <w:tc>
                <w:tcPr>
                  <w:tcW w:w="9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00" w:lineRule="exact"/>
                    <w:jc w:val="center"/>
                    <w:textAlignment w:val="auto"/>
                    <w:rPr>
                      <w:rFonts w:hint="default" w:ascii="Times New Roman" w:hAnsi="Times New Roman" w:eastAsia="宋体" w:cs="Times New Roman"/>
                      <w:b w:val="0"/>
                      <w:bCs/>
                      <w:color w:val="000000" w:themeColor="text1"/>
                      <w:sz w:val="21"/>
                      <w:szCs w:val="21"/>
                      <w:highlight w:val="none"/>
                      <w:u w:val="none"/>
                      <w14:textFill>
                        <w14:solidFill>
                          <w14:schemeClr w14:val="tx1"/>
                        </w14:solidFill>
                      </w14:textFill>
                    </w:rPr>
                  </w:pPr>
                  <w:r>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0" w:type="dxa"/>
                  <w:vMerge w:val="continue"/>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default" w:ascii="Times New Roman" w:hAnsi="Times New Roman" w:eastAsia="宋体" w:cs="Times New Roman"/>
                      <w:b w:val="0"/>
                      <w:bCs/>
                      <w:color w:val="000000" w:themeColor="text1"/>
                      <w:sz w:val="21"/>
                      <w:szCs w:val="21"/>
                      <w:highlight w:val="none"/>
                      <w:u w:val="none"/>
                      <w:lang w:eastAsia="zh-CN"/>
                      <w14:textFill>
                        <w14:solidFill>
                          <w14:schemeClr w14:val="tx1"/>
                        </w14:solidFill>
                      </w14:textFill>
                    </w:rPr>
                  </w:pPr>
                </w:p>
              </w:tc>
              <w:tc>
                <w:tcPr>
                  <w:tcW w:w="866" w:type="dxa"/>
                  <w:tcBorders>
                    <w:tl2br w:val="nil"/>
                    <w:tr2bl w:val="nil"/>
                  </w:tcBorders>
                  <w:noWrap w:val="0"/>
                  <w:vAlign w:val="center"/>
                </w:tcPr>
                <w:p>
                  <w:pPr>
                    <w:pStyle w:val="119"/>
                    <w:keepNext w:val="0"/>
                    <w:keepLines w:val="0"/>
                    <w:pageBreakBefore w:val="0"/>
                    <w:widowControl w:val="0"/>
                    <w:kinsoku/>
                    <w:wordWrap/>
                    <w:overflowPunct/>
                    <w:topLinePunct w:val="0"/>
                    <w:autoSpaceDE/>
                    <w:autoSpaceDN/>
                    <w:bidi w:val="0"/>
                    <w:spacing w:line="400" w:lineRule="exact"/>
                    <w:jc w:val="center"/>
                    <w:textAlignment w:val="auto"/>
                    <w:rPr>
                      <w:rFonts w:hint="default" w:ascii="Times New Roman" w:hAnsi="Times New Roman" w:eastAsia="宋体" w:cs="Times New Roman"/>
                      <w:b w:val="0"/>
                      <w:bCs/>
                      <w:i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val="0"/>
                      <w:bCs/>
                      <w:iCs/>
                      <w:color w:val="000000" w:themeColor="text1"/>
                      <w:kern w:val="2"/>
                      <w:sz w:val="21"/>
                      <w:szCs w:val="21"/>
                      <w:highlight w:val="none"/>
                      <w:u w:val="none"/>
                      <w:lang w:val="en-US" w:eastAsia="zh-CN" w:bidi="ar-SA"/>
                      <w14:textFill>
                        <w14:solidFill>
                          <w14:schemeClr w14:val="tx1"/>
                        </w14:solidFill>
                      </w14:textFill>
                    </w:rPr>
                    <w:t>资源开发效率</w:t>
                  </w:r>
                </w:p>
              </w:tc>
              <w:tc>
                <w:tcPr>
                  <w:tcW w:w="4604" w:type="dxa"/>
                  <w:tcBorders>
                    <w:tl2br w:val="nil"/>
                    <w:tr2bl w:val="nil"/>
                  </w:tcBorders>
                  <w:noWrap w:val="0"/>
                  <w:vAlign w:val="center"/>
                </w:tcPr>
                <w:p>
                  <w:pPr>
                    <w:pStyle w:val="119"/>
                    <w:keepNext w:val="0"/>
                    <w:keepLines w:val="0"/>
                    <w:pageBreakBefore w:val="0"/>
                    <w:widowControl w:val="0"/>
                    <w:kinsoku/>
                    <w:wordWrap/>
                    <w:overflowPunct/>
                    <w:topLinePunct w:val="0"/>
                    <w:autoSpaceDE/>
                    <w:autoSpaceDN/>
                    <w:bidi w:val="0"/>
                    <w:spacing w:line="400" w:lineRule="exact"/>
                    <w:textAlignment w:val="auto"/>
                    <w:rPr>
                      <w:rFonts w:hint="default" w:ascii="Times New Roman" w:hAnsi="Times New Roman" w:eastAsia="宋体" w:cs="Times New Roman"/>
                      <w:b w:val="0"/>
                      <w:bCs/>
                      <w:iCs/>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依托产业集聚区污水处理厂建设再生水回用配套设施，提高再生水利用率</w:t>
                  </w:r>
                  <w:r>
                    <w:rPr>
                      <w:rFonts w:hint="default" w:ascii="Times New Roman" w:hAnsi="Times New Roman" w:eastAsia="宋体" w:cs="Times New Roman"/>
                      <w:b w:val="0"/>
                      <w:bCs/>
                      <w:iCs/>
                      <w:color w:val="000000" w:themeColor="text1"/>
                      <w:kern w:val="2"/>
                      <w:sz w:val="21"/>
                      <w:szCs w:val="21"/>
                      <w:highlight w:val="none"/>
                      <w:u w:val="none"/>
                      <w:lang w:val="en-US" w:eastAsia="zh-CN" w:bidi="ar-SA"/>
                      <w14:textFill>
                        <w14:solidFill>
                          <w14:schemeClr w14:val="tx1"/>
                        </w14:solidFill>
                      </w14:textFill>
                    </w:rPr>
                    <w:t>。</w:t>
                  </w:r>
                </w:p>
              </w:tc>
              <w:tc>
                <w:tcPr>
                  <w:tcW w:w="2153" w:type="dxa"/>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val="0"/>
                    <w:snapToGrid w:val="0"/>
                    <w:spacing w:line="400" w:lineRule="exact"/>
                    <w:jc w:val="both"/>
                    <w:textAlignment w:val="auto"/>
                    <w:rPr>
                      <w:rFonts w:hint="default" w:ascii="Times New Roman" w:hAnsi="Times New Roman" w:eastAsia="宋体" w:cs="Times New Roman"/>
                      <w:b w:val="0"/>
                      <w:bCs/>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项目运营过程用水主要为生活用水，生活污水经化粪池处理后排入漯河经济技术产业集聚区污水处理厂处理，不涉及再生水</w:t>
                  </w:r>
                  <w:r>
                    <w:rPr>
                      <w:rFonts w:hint="default" w:ascii="Times New Roman" w:hAnsi="Times New Roman" w:eastAsia="宋体" w:cs="Times New Roman"/>
                      <w:bCs w:val="0"/>
                      <w:color w:val="000000" w:themeColor="text1"/>
                      <w:sz w:val="21"/>
                      <w:szCs w:val="21"/>
                      <w:highlight w:val="none"/>
                      <w:u w:val="none"/>
                      <w:lang w:val="en-US" w:eastAsia="zh-CN"/>
                      <w14:textFill>
                        <w14:solidFill>
                          <w14:schemeClr w14:val="tx1"/>
                        </w14:solidFill>
                      </w14:textFill>
                    </w:rPr>
                    <w:t>。</w:t>
                  </w:r>
                </w:p>
              </w:tc>
              <w:tc>
                <w:tcPr>
                  <w:tcW w:w="9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00" w:lineRule="exact"/>
                    <w:jc w:val="center"/>
                    <w:textAlignment w:val="auto"/>
                    <w:rPr>
                      <w:rFonts w:hint="default" w:ascii="Times New Roman" w:hAnsi="Times New Roman" w:eastAsia="宋体" w:cs="Times New Roman"/>
                      <w:b w:val="0"/>
                      <w:bCs/>
                      <w:color w:val="000000" w:themeColor="text1"/>
                      <w:sz w:val="21"/>
                      <w:szCs w:val="21"/>
                      <w:highlight w:val="none"/>
                      <w:u w:val="none"/>
                      <w14:textFill>
                        <w14:solidFill>
                          <w14:schemeClr w14:val="tx1"/>
                        </w14:solidFill>
                      </w14:textFill>
                    </w:rPr>
                  </w:pPr>
                  <w:r>
                    <w:rPr>
                      <w:rFonts w:hint="default" w:ascii="Times New Roman" w:hAnsi="Times New Roman" w:cs="Times New Roman"/>
                      <w:b w:val="0"/>
                      <w:bCs/>
                      <w:color w:val="000000" w:themeColor="text1"/>
                      <w:sz w:val="21"/>
                      <w:szCs w:val="21"/>
                      <w:highlight w:val="none"/>
                      <w:u w:val="none"/>
                      <w:lang w:val="en-US" w:eastAsia="zh-CN"/>
                      <w14:textFill>
                        <w14:solidFill>
                          <w14:schemeClr w14:val="tx1"/>
                        </w14:solidFill>
                      </w14:textFill>
                    </w:rPr>
                    <w:t>相符</w:t>
                  </w:r>
                </w:p>
              </w:tc>
            </w:tr>
          </w:tbl>
          <w:p>
            <w:pPr>
              <w:pStyle w:val="35"/>
              <w:keepNext w:val="0"/>
              <w:keepLines w:val="0"/>
              <w:pageBreakBefore w:val="0"/>
              <w:kinsoku/>
              <w:wordWrap/>
              <w:overflowPunct/>
              <w:topLinePunct w:val="0"/>
              <w:autoSpaceDE/>
              <w:autoSpaceDN/>
              <w:bidi w:val="0"/>
              <w:adjustRightInd/>
              <w:snapToGrid/>
              <w:spacing w:after="0" w:line="480" w:lineRule="exact"/>
              <w:ind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val="0"/>
                <w:bCs/>
                <w:color w:val="000000" w:themeColor="text1"/>
                <w:kern w:val="2"/>
                <w:sz w:val="24"/>
                <w:szCs w:val="24"/>
                <w:highlight w:val="none"/>
                <w:u w:val="none"/>
                <w:lang w:val="en-US" w:eastAsia="zh-CN" w:bidi="ar-SA"/>
                <w14:textFill>
                  <w14:solidFill>
                    <w14:schemeClr w14:val="tx1"/>
                  </w14:solidFill>
                </w14:textFill>
              </w:rPr>
              <w:t>综上</w:t>
            </w:r>
            <w:r>
              <w:rPr>
                <w:rFonts w:hint="default" w:ascii="Times New Roman" w:hAnsi="Times New Roman" w:eastAsia="宋体" w:cs="Times New Roman"/>
                <w:b w:val="0"/>
                <w:bCs/>
                <w:color w:val="000000" w:themeColor="text1"/>
                <w:kern w:val="2"/>
                <w:sz w:val="24"/>
                <w:szCs w:val="24"/>
                <w:highlight w:val="none"/>
                <w:u w:val="none"/>
                <w:lang w:val="en-US" w:eastAsia="zh-CN" w:bidi="ar-SA"/>
                <w14:textFill>
                  <w14:solidFill>
                    <w14:schemeClr w14:val="tx1"/>
                  </w14:solidFill>
                </w14:textFill>
              </w:rPr>
              <w:t>所述，</w:t>
            </w:r>
            <w:r>
              <w:rPr>
                <w:rFonts w:hint="default" w:ascii="Times New Roman" w:hAnsi="Times New Roman" w:cs="Times New Roman"/>
                <w:color w:val="000000" w:themeColor="text1"/>
                <w:sz w:val="24"/>
                <w:szCs w:val="24"/>
                <w:highlight w:val="none"/>
                <w14:textFill>
                  <w14:solidFill>
                    <w14:schemeClr w14:val="tx1"/>
                  </w14:solidFill>
                </w14:textFill>
              </w:rPr>
              <w:t>本项目建设符合</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漯河市生态环境保护委员会办公室文件《关于印发漯河市生态环境准入清单（2023年版）的通知》（漯环委办〔2023〕46号）</w:t>
            </w:r>
            <w:r>
              <w:rPr>
                <w:rFonts w:hint="default" w:ascii="Times New Roman" w:hAnsi="Times New Roman" w:eastAsia="宋体" w:cs="Times New Roman"/>
                <w:color w:val="000000" w:themeColor="text1"/>
                <w:sz w:val="24"/>
                <w:szCs w:val="24"/>
                <w:highlight w:val="none"/>
                <w14:textFill>
                  <w14:solidFill>
                    <w14:schemeClr w14:val="tx1"/>
                  </w14:solidFill>
                </w14:textFill>
              </w:rPr>
              <w:t>中“漯河经济技术开发区（ZH41110420002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重点管控单元）生态环境准入清单”</w:t>
            </w:r>
            <w:r>
              <w:rPr>
                <w:rFonts w:hint="default" w:ascii="Times New Roman" w:hAnsi="Times New Roman" w:cs="Times New Roman"/>
                <w:color w:val="000000" w:themeColor="text1"/>
                <w:sz w:val="24"/>
                <w:szCs w:val="24"/>
                <w:highlight w:val="none"/>
                <w14:textFill>
                  <w14:solidFill>
                    <w14:schemeClr w14:val="tx1"/>
                  </w14:solidFill>
                </w14:textFill>
              </w:rPr>
              <w:t>管控要求</w:t>
            </w:r>
            <w:r>
              <w:rPr>
                <w:rFonts w:hint="default" w:ascii="Times New Roman" w:hAnsi="Times New Roman" w:cs="Times New Roman"/>
                <w:color w:val="000000" w:themeColor="text1"/>
                <w:sz w:val="24"/>
                <w:szCs w:val="24"/>
                <w14:textFill>
                  <w14:solidFill>
                    <w14:schemeClr w14:val="tx1"/>
                  </w14:solidFill>
                </w14:textFill>
              </w:rPr>
              <w:t>。</w:t>
            </w:r>
          </w:p>
          <w:p>
            <w:pPr>
              <w:keepNext w:val="0"/>
              <w:keepLines w:val="0"/>
              <w:pageBreakBefore w:val="0"/>
              <w:widowControl/>
              <w:suppressLineNumbers w:val="0"/>
              <w:kinsoku/>
              <w:wordWrap/>
              <w:overflowPunct/>
              <w:topLinePunct w:val="0"/>
              <w:autoSpaceDE/>
              <w:autoSpaceDN/>
              <w:bidi w:val="0"/>
              <w:adjustRightInd/>
              <w:snapToGrid/>
              <w:spacing w:line="480" w:lineRule="exact"/>
              <w:ind w:firstLine="482" w:firstLineChars="200"/>
              <w:jc w:val="left"/>
              <w:textAlignment w:val="auto"/>
              <w:rPr>
                <w:rFonts w:hint="default" w:ascii="Times New Roman" w:hAnsi="Times New Roman" w:eastAsia="宋体" w:cs="Times New Roman"/>
                <w:b/>
                <w:bCs w:val="0"/>
                <w:color w:val="000000" w:themeColor="text1"/>
                <w:kern w:val="28"/>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bCs w:val="0"/>
                <w:color w:val="000000" w:themeColor="text1"/>
                <w:kern w:val="28"/>
                <w:sz w:val="24"/>
                <w:szCs w:val="24"/>
                <w:highlight w:val="none"/>
                <w:u w:val="none"/>
                <w:lang w:val="en-US" w:eastAsia="zh-CN" w:bidi="ar-SA"/>
                <w14:textFill>
                  <w14:solidFill>
                    <w14:schemeClr w14:val="tx1"/>
                  </w14:solidFill>
                </w14:textFill>
              </w:rPr>
              <w:t>4</w:t>
            </w:r>
            <w:r>
              <w:rPr>
                <w:rFonts w:hint="default" w:ascii="Times New Roman" w:hAnsi="Times New Roman" w:cs="Times New Roman"/>
                <w:b/>
                <w:bCs w:val="0"/>
                <w:color w:val="000000" w:themeColor="text1"/>
                <w:kern w:val="28"/>
                <w:sz w:val="24"/>
                <w:szCs w:val="24"/>
                <w:highlight w:val="none"/>
                <w:u w:val="none"/>
                <w:lang w:val="en-US" w:eastAsia="zh-CN" w:bidi="ar-SA"/>
                <w14:textFill>
                  <w14:solidFill>
                    <w14:schemeClr w14:val="tx1"/>
                  </w14:solidFill>
                </w14:textFill>
              </w:rPr>
              <w:t>、</w:t>
            </w:r>
            <w:r>
              <w:rPr>
                <w:rFonts w:hint="default" w:ascii="Times New Roman" w:hAnsi="Times New Roman" w:eastAsia="宋体" w:cs="Times New Roman"/>
                <w:b/>
                <w:bCs w:val="0"/>
                <w:color w:val="000000" w:themeColor="text1"/>
                <w:kern w:val="28"/>
                <w:sz w:val="24"/>
                <w:szCs w:val="24"/>
                <w:highlight w:val="none"/>
                <w:u w:val="none"/>
                <w:lang w:val="en-US" w:eastAsia="zh-CN" w:bidi="ar-SA"/>
                <w14:textFill>
                  <w14:solidFill>
                    <w14:schemeClr w14:val="tx1"/>
                  </w14:solidFill>
                </w14:textFill>
              </w:rPr>
              <w:t>项目与</w:t>
            </w:r>
            <w:r>
              <w:rPr>
                <w:rFonts w:hint="default" w:ascii="Times New Roman" w:hAnsi="Times New Roman" w:eastAsia="宋体" w:cs="Times New Roman"/>
                <w:b/>
                <w:bCs/>
                <w:color w:val="000000" w:themeColor="text1"/>
                <w:sz w:val="24"/>
                <w:szCs w:val="24"/>
                <w:highlight w:val="none"/>
                <w:u w:val="none"/>
                <w:lang w:val="en-US" w:eastAsia="zh-CN"/>
                <w14:textFill>
                  <w14:solidFill>
                    <w14:schemeClr w14:val="tx1"/>
                  </w14:solidFill>
                </w14:textFill>
              </w:rPr>
              <w:t>《关于印发漯河市2023年蓝天保卫战实施方案和漯河市2023年移动源污染监管工作实施方案的通知》漯环委办[2023]18号</w:t>
            </w:r>
            <w:r>
              <w:rPr>
                <w:rFonts w:hint="default" w:ascii="Times New Roman" w:hAnsi="Times New Roman" w:eastAsia="宋体" w:cs="Times New Roman"/>
                <w:b/>
                <w:bCs w:val="0"/>
                <w:color w:val="000000" w:themeColor="text1"/>
                <w:kern w:val="28"/>
                <w:sz w:val="24"/>
                <w:szCs w:val="24"/>
                <w:highlight w:val="none"/>
                <w:u w:val="none"/>
                <w:lang w:val="en-US" w:eastAsia="zh-CN" w:bidi="ar-SA"/>
                <w14:textFill>
                  <w14:solidFill>
                    <w14:schemeClr w14:val="tx1"/>
                  </w14:solidFill>
                </w14:textFill>
              </w:rPr>
              <w:t>相符性分析</w:t>
            </w:r>
          </w:p>
          <w:p>
            <w:pPr>
              <w:keepNext w:val="0"/>
              <w:keepLines w:val="0"/>
              <w:pageBreakBefore w:val="0"/>
              <w:widowControl/>
              <w:suppressLineNumbers w:val="0"/>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eastAsia="宋体" w:cs="Times New Roman"/>
                <w:b w:val="0"/>
                <w:bCs/>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u w:val="none"/>
                <w:lang w:val="en-US" w:eastAsia="zh-CN" w:bidi="ar-SA"/>
                <w14:textFill>
                  <w14:solidFill>
                    <w14:schemeClr w14:val="tx1"/>
                  </w14:solidFill>
                </w14:textFill>
              </w:rPr>
              <w:t>本项目与漯河市生态环境保护委员会办公室文件《关于印发漯河市2023年蓝天保卫战实施方案和漯河市2023年移动源污染监管工作实施方案的通知》漯环委办[2023]18号相符性见下表。</w:t>
            </w:r>
          </w:p>
          <w:p>
            <w:pPr>
              <w:pStyle w:val="15"/>
              <w:keepNext w:val="0"/>
              <w:keepLines w:val="0"/>
              <w:pageBreakBefore w:val="0"/>
              <w:widowControl w:val="0"/>
              <w:kinsoku/>
              <w:wordWrap/>
              <w:overflowPunct/>
              <w:topLinePunct w:val="0"/>
              <w:autoSpaceDE/>
              <w:autoSpaceDN/>
              <w:bidi w:val="0"/>
              <w:spacing w:line="400" w:lineRule="exact"/>
              <w:ind w:left="0" w:firstLine="482"/>
              <w:textAlignment w:val="auto"/>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t xml:space="preserve">  </w:t>
            </w: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表4          项目</w:t>
            </w:r>
            <w:r>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t xml:space="preserve">与漯环委办[2023]18号相符性分析 </w:t>
            </w:r>
          </w:p>
          <w:tbl>
            <w:tblPr>
              <w:tblStyle w:val="37"/>
              <w:tblW w:w="914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57" w:type="dxa"/>
                <w:left w:w="28" w:type="dxa"/>
                <w:bottom w:w="57" w:type="dxa"/>
                <w:right w:w="28" w:type="dxa"/>
              </w:tblCellMar>
            </w:tblPr>
            <w:tblGrid>
              <w:gridCol w:w="743"/>
              <w:gridCol w:w="6093"/>
              <w:gridCol w:w="1530"/>
              <w:gridCol w:w="7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19" w:hRule="atLeast"/>
                <w:jc w:val="center"/>
              </w:trPr>
              <w:tc>
                <w:tcPr>
                  <w:tcW w:w="3737"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b/>
                      <w:bCs w:val="0"/>
                      <w:color w:val="000000" w:themeColor="text1"/>
                      <w:kern w:val="0"/>
                      <w:sz w:val="21"/>
                      <w:szCs w:val="21"/>
                      <w:highlight w:val="none"/>
                      <w:u w:val="none"/>
                      <w:lang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u w:val="none"/>
                      <w:lang w:val="en-US" w:eastAsia="zh-CN"/>
                      <w14:textFill>
                        <w14:solidFill>
                          <w14:schemeClr w14:val="tx1"/>
                        </w14:solidFill>
                      </w14:textFill>
                    </w:rPr>
                    <w:t>漯河市2023年蓝天保卫战实施方案</w:t>
                  </w:r>
                </w:p>
              </w:tc>
              <w:tc>
                <w:tcPr>
                  <w:tcW w:w="83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b/>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bCs w:val="0"/>
                      <w:color w:val="000000" w:themeColor="text1"/>
                      <w:kern w:val="0"/>
                      <w:sz w:val="21"/>
                      <w:szCs w:val="21"/>
                      <w:highlight w:val="none"/>
                      <w:u w:val="none"/>
                      <w14:textFill>
                        <w14:solidFill>
                          <w14:schemeClr w14:val="tx1"/>
                        </w14:solidFill>
                      </w14:textFill>
                    </w:rPr>
                    <w:t>本项目情况</w:t>
                  </w:r>
                </w:p>
              </w:tc>
              <w:tc>
                <w:tcPr>
                  <w:tcW w:w="42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b/>
                      <w:bCs w:val="0"/>
                      <w:iCs/>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bCs w:val="0"/>
                      <w:iCs/>
                      <w:color w:val="000000" w:themeColor="text1"/>
                      <w:kern w:val="0"/>
                      <w:sz w:val="21"/>
                      <w:szCs w:val="21"/>
                      <w:highlight w:val="none"/>
                      <w:u w:val="none"/>
                      <w14:textFill>
                        <w14:solidFill>
                          <w14:schemeClr w14:val="tx1"/>
                        </w14:solidFill>
                      </w14:textFill>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28" w:type="dxa"/>
                  <w:bottom w:w="57" w:type="dxa"/>
                  <w:right w:w="28" w:type="dxa"/>
                </w:tblCellMar>
              </w:tblPrEx>
              <w:trPr>
                <w:trHeight w:val="425" w:hRule="atLeast"/>
                <w:jc w:val="center"/>
              </w:trPr>
              <w:tc>
                <w:tcPr>
                  <w:tcW w:w="406"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t>（一） 持续推进产业结构优化调整</w:t>
                  </w:r>
                </w:p>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leftChars="0" w:right="0" w:rightChars="0"/>
                    <w:jc w:val="center"/>
                    <w:textAlignment w:val="auto"/>
                    <w:rPr>
                      <w:rFonts w:hint="default" w:ascii="Times New Roman" w:hAnsi="Times New Roman" w:eastAsia="宋体" w:cs="Times New Roman"/>
                      <w:b w:val="0"/>
                      <w:bCs w:val="0"/>
                      <w:color w:val="000000" w:themeColor="text1"/>
                      <w:spacing w:val="4"/>
                      <w:kern w:val="0"/>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 xml:space="preserve"> </w:t>
                  </w:r>
                </w:p>
              </w:tc>
              <w:tc>
                <w:tcPr>
                  <w:tcW w:w="333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both"/>
                    <w:textAlignment w:val="auto"/>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t>1．加快传统产业集群升级改造。组织对包装印刷、家具制造等行业产业集群开展排查摸底，2023年6月15日前建立重点行业产业集群及园区清单台账，研究制定“一群一策”整治提升方案，从生产工艺、产能规模、能耗水平、燃料类型、污染治理和区域环境综合整治等方面明确升级改造标准，支持建设集中供热（气）中心、活性炭集中再生处理中心、有机溶剂回收处置中心，培育一批绿色工厂、绿色工业园区，不断优化产业结构，推进工业企业绿色低碳高质量发展。发挥集中喷涂中心效能，喷涂中心辐射服务范围内逐步取消使用溶剂型涂料的钣喷车间。</w:t>
                  </w:r>
                </w:p>
              </w:tc>
              <w:tc>
                <w:tcPr>
                  <w:tcW w:w="83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both"/>
                    <w:textAlignment w:val="auto"/>
                    <w:rPr>
                      <w:rFonts w:hint="default" w:ascii="Times New Roman" w:hAnsi="Times New Roman" w:eastAsia="宋体" w:cs="Times New Roman"/>
                      <w:color w:val="000000" w:themeColor="text1"/>
                      <w:spacing w:val="4"/>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Cs w:val="0"/>
                      <w:color w:val="000000" w:themeColor="text1"/>
                      <w:sz w:val="21"/>
                      <w:szCs w:val="21"/>
                      <w:highlight w:val="none"/>
                      <w:u w:val="none"/>
                      <w14:textFill>
                        <w14:solidFill>
                          <w14:schemeClr w14:val="tx1"/>
                        </w14:solidFill>
                      </w14:textFill>
                    </w:rPr>
                    <w:t>本项目属于</w:t>
                  </w:r>
                  <w:r>
                    <w:rPr>
                      <w:rFonts w:hint="default" w:ascii="Times New Roman" w:hAnsi="Times New Roman" w:cs="Times New Roman"/>
                      <w:bCs w:val="0"/>
                      <w:color w:val="000000" w:themeColor="text1"/>
                      <w:sz w:val="21"/>
                      <w:szCs w:val="21"/>
                      <w:highlight w:val="none"/>
                      <w:u w:val="none"/>
                      <w:lang w:val="en-US" w:eastAsia="zh-CN"/>
                      <w14:textFill>
                        <w14:solidFill>
                          <w14:schemeClr w14:val="tx1"/>
                        </w14:solidFill>
                      </w14:textFill>
                    </w:rPr>
                    <w:t>加油站改造项目</w:t>
                  </w:r>
                  <w:r>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t>，符合“三线一单”，不属于重点产业集群项目。</w:t>
                  </w:r>
                </w:p>
              </w:tc>
              <w:tc>
                <w:tcPr>
                  <w:tcW w:w="42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bCs/>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Cs/>
                      <w:iCs/>
                      <w:color w:val="000000" w:themeColor="text1"/>
                      <w:kern w:val="0"/>
                      <w:sz w:val="21"/>
                      <w:szCs w:val="21"/>
                      <w:highlight w:val="none"/>
                      <w:u w:val="none"/>
                      <w14:textFill>
                        <w14:solidFill>
                          <w14:schemeClr w14:val="tx1"/>
                        </w14:solidFill>
                      </w14:textFill>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28" w:type="dxa"/>
                  <w:bottom w:w="57" w:type="dxa"/>
                  <w:right w:w="28" w:type="dxa"/>
                </w:tblCellMar>
              </w:tblPrEx>
              <w:trPr>
                <w:trHeight w:val="90" w:hRule="atLeast"/>
                <w:jc w:val="center"/>
              </w:trPr>
              <w:tc>
                <w:tcPr>
                  <w:tcW w:w="406"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leftChars="0" w:right="0" w:rightChars="0"/>
                    <w:jc w:val="center"/>
                    <w:textAlignment w:val="auto"/>
                    <w:rPr>
                      <w:rFonts w:hint="default" w:ascii="Times New Roman" w:hAnsi="Times New Roman" w:eastAsia="宋体" w:cs="Times New Roman"/>
                      <w:b w:val="0"/>
                      <w:bCs w:val="0"/>
                      <w:color w:val="000000" w:themeColor="text1"/>
                      <w:spacing w:val="4"/>
                      <w:kern w:val="0"/>
                      <w:sz w:val="21"/>
                      <w:szCs w:val="21"/>
                      <w:highlight w:val="none"/>
                      <w:u w:val="none"/>
                      <w:lang w:val="en-US" w:eastAsia="zh-CN" w:bidi="ar-SA"/>
                      <w14:textFill>
                        <w14:solidFill>
                          <w14:schemeClr w14:val="tx1"/>
                        </w14:solidFill>
                      </w14:textFill>
                    </w:rPr>
                  </w:pPr>
                </w:p>
              </w:tc>
              <w:tc>
                <w:tcPr>
                  <w:tcW w:w="333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leftChars="0" w:right="0" w:rightChars="0"/>
                    <w:jc w:val="both"/>
                    <w:textAlignment w:val="auto"/>
                    <w:rPr>
                      <w:rFonts w:hint="default" w:ascii="Times New Roman" w:hAnsi="Times New Roman" w:eastAsia="宋体" w:cs="Times New Roman"/>
                      <w:b w:val="0"/>
                      <w:bCs w:val="0"/>
                      <w:color w:val="000000" w:themeColor="text1"/>
                      <w:spacing w:val="4"/>
                      <w:kern w:val="0"/>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t>2．依法依规淘汰落后低效产能。按照《河南省淘汰落后产能综合标准体系》，将大气污染物排放强度高、治理难度大以及产能过剩行业的工艺和装备纳入淘汰范围。2023年6月15日前制定漯河市2023年落后产能淘汰退出工作方案，严格执行能耗、环保、质量、安全、技术等法规标准，明确落后产能淘汰目标任务，组织开展排查整治专项行动，对落后产能实施动态“清零”。</w:t>
                  </w:r>
                </w:p>
              </w:tc>
              <w:tc>
                <w:tcPr>
                  <w:tcW w:w="83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leftChars="0" w:right="0" w:rightChars="0"/>
                    <w:jc w:val="both"/>
                    <w:textAlignment w:val="auto"/>
                    <w:rPr>
                      <w:rFonts w:hint="default" w:ascii="Times New Roman" w:hAnsi="Times New Roman" w:eastAsia="宋体" w:cs="Times New Roman"/>
                      <w:b w:val="0"/>
                      <w:bCs w:val="0"/>
                      <w:color w:val="000000" w:themeColor="text1"/>
                      <w:spacing w:val="4"/>
                      <w:kern w:val="0"/>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Cs w:val="0"/>
                      <w:color w:val="000000" w:themeColor="text1"/>
                      <w:sz w:val="21"/>
                      <w:szCs w:val="21"/>
                      <w:highlight w:val="none"/>
                      <w:u w:val="none"/>
                      <w14:textFill>
                        <w14:solidFill>
                          <w14:schemeClr w14:val="tx1"/>
                        </w14:solidFill>
                      </w14:textFill>
                    </w:rPr>
                    <w:t>本项目属于</w:t>
                  </w:r>
                  <w:r>
                    <w:rPr>
                      <w:rFonts w:hint="default" w:ascii="Times New Roman" w:hAnsi="Times New Roman" w:cs="Times New Roman"/>
                      <w:bCs w:val="0"/>
                      <w:color w:val="000000" w:themeColor="text1"/>
                      <w:sz w:val="21"/>
                      <w:szCs w:val="21"/>
                      <w:highlight w:val="none"/>
                      <w:u w:val="none"/>
                      <w:lang w:val="en-US" w:eastAsia="zh-CN"/>
                      <w14:textFill>
                        <w14:solidFill>
                          <w14:schemeClr w14:val="tx1"/>
                        </w14:solidFill>
                      </w14:textFill>
                    </w:rPr>
                    <w:t>加油站改造项目</w:t>
                  </w:r>
                  <w:r>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t>，不属于应依法依规淘汰落后低效产能项目。</w:t>
                  </w:r>
                </w:p>
              </w:tc>
              <w:tc>
                <w:tcPr>
                  <w:tcW w:w="42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bCs/>
                      <w:iCs/>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Cs/>
                      <w:iCs/>
                      <w:color w:val="000000" w:themeColor="text1"/>
                      <w:kern w:val="0"/>
                      <w:sz w:val="21"/>
                      <w:szCs w:val="21"/>
                      <w:highlight w:val="none"/>
                      <w:u w:val="none"/>
                      <w14:textFill>
                        <w14:solidFill>
                          <w14:schemeClr w14:val="tx1"/>
                        </w14:solidFill>
                      </w14:textFill>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28" w:type="dxa"/>
                  <w:bottom w:w="57" w:type="dxa"/>
                  <w:right w:w="28" w:type="dxa"/>
                </w:tblCellMar>
              </w:tblPrEx>
              <w:trPr>
                <w:trHeight w:val="1295" w:hRule="atLeast"/>
                <w:jc w:val="center"/>
              </w:trPr>
              <w:tc>
                <w:tcPr>
                  <w:tcW w:w="406"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leftChars="0" w:right="0" w:rightChars="0"/>
                    <w:jc w:val="center"/>
                    <w:textAlignment w:val="auto"/>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pPr>
                </w:p>
              </w:tc>
              <w:tc>
                <w:tcPr>
                  <w:tcW w:w="333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leftChars="0" w:right="0" w:rightChars="0"/>
                    <w:jc w:val="both"/>
                    <w:textAlignment w:val="auto"/>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t xml:space="preserve">3. 推进重污染企业退城搬迁。全面排查不符合城市建设规划、行业发展规划、生态环境功能定位的重污染企业，结合空气质量高值热点情况，按照省工信部门要求完善重污染企业退城搬迁工作台账。  </w:t>
                  </w:r>
                </w:p>
              </w:tc>
              <w:tc>
                <w:tcPr>
                  <w:tcW w:w="83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leftChars="0" w:right="0" w:rightChars="0"/>
                    <w:jc w:val="both"/>
                    <w:textAlignment w:val="auto"/>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Cs w:val="0"/>
                      <w:color w:val="000000" w:themeColor="text1"/>
                      <w:sz w:val="21"/>
                      <w:szCs w:val="21"/>
                      <w:highlight w:val="none"/>
                      <w:u w:val="none"/>
                      <w14:textFill>
                        <w14:solidFill>
                          <w14:schemeClr w14:val="tx1"/>
                        </w14:solidFill>
                      </w14:textFill>
                    </w:rPr>
                    <w:t>本项目</w:t>
                  </w:r>
                  <w:r>
                    <w:rPr>
                      <w:rFonts w:hint="default" w:ascii="Times New Roman" w:hAnsi="Times New Roman" w:eastAsia="宋体" w:cs="Times New Roman"/>
                      <w:bCs w:val="0"/>
                      <w:color w:val="000000" w:themeColor="text1"/>
                      <w:sz w:val="21"/>
                      <w:szCs w:val="21"/>
                      <w:highlight w:val="none"/>
                      <w:u w:val="none"/>
                      <w:lang w:val="en-US" w:eastAsia="zh-CN"/>
                      <w14:textFill>
                        <w14:solidFill>
                          <w14:schemeClr w14:val="tx1"/>
                        </w14:solidFill>
                      </w14:textFill>
                    </w:rPr>
                    <w:t>符合产业集聚区的准入条件</w:t>
                  </w:r>
                </w:p>
              </w:tc>
              <w:tc>
                <w:tcPr>
                  <w:tcW w:w="42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bCs/>
                      <w:iCs/>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Cs/>
                      <w:iCs/>
                      <w:color w:val="000000" w:themeColor="text1"/>
                      <w:kern w:val="0"/>
                      <w:sz w:val="21"/>
                      <w:szCs w:val="21"/>
                      <w:highlight w:val="none"/>
                      <w:u w:val="none"/>
                      <w14:textFill>
                        <w14:solidFill>
                          <w14:schemeClr w14:val="tx1"/>
                        </w14:solidFill>
                      </w14:textFill>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28" w:type="dxa"/>
                  <w:bottom w:w="57" w:type="dxa"/>
                  <w:right w:w="28" w:type="dxa"/>
                </w:tblCellMar>
              </w:tblPrEx>
              <w:trPr>
                <w:trHeight w:val="90" w:hRule="atLeast"/>
                <w:jc w:val="center"/>
              </w:trPr>
              <w:tc>
                <w:tcPr>
                  <w:tcW w:w="3737"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leftChars="0" w:right="0" w:rightChars="0"/>
                    <w:jc w:val="center"/>
                    <w:textAlignment w:val="auto"/>
                    <w:rPr>
                      <w:rFonts w:hint="default" w:ascii="Times New Roman" w:hAnsi="Times New Roman" w:eastAsia="宋体" w:cs="Times New Roman"/>
                      <w:b/>
                      <w:bCs w:val="0"/>
                      <w:color w:val="000000" w:themeColor="text1"/>
                      <w:kern w:val="0"/>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u w:val="none"/>
                      <w:lang w:val="en-US" w:eastAsia="zh-CN"/>
                      <w14:textFill>
                        <w14:solidFill>
                          <w14:schemeClr w14:val="tx1"/>
                        </w14:solidFill>
                      </w14:textFill>
                    </w:rPr>
                    <w:t>漯河市2023年移动源污染监管工作实施方案</w:t>
                  </w:r>
                </w:p>
              </w:tc>
              <w:tc>
                <w:tcPr>
                  <w:tcW w:w="83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leftChars="0" w:right="0" w:rightChars="0"/>
                    <w:jc w:val="center"/>
                    <w:textAlignment w:val="auto"/>
                    <w:rPr>
                      <w:rFonts w:hint="default" w:ascii="Times New Roman" w:hAnsi="Times New Roman" w:eastAsia="宋体" w:cs="Times New Roman"/>
                      <w:b/>
                      <w:bCs w:val="0"/>
                      <w:color w:val="000000" w:themeColor="text1"/>
                      <w:kern w:val="0"/>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bCs w:val="0"/>
                      <w:color w:val="000000" w:themeColor="text1"/>
                      <w:kern w:val="0"/>
                      <w:sz w:val="21"/>
                      <w:szCs w:val="21"/>
                      <w:highlight w:val="none"/>
                      <w:u w:val="none"/>
                      <w14:textFill>
                        <w14:solidFill>
                          <w14:schemeClr w14:val="tx1"/>
                        </w14:solidFill>
                      </w14:textFill>
                    </w:rPr>
                    <w:t>本项目情况</w:t>
                  </w:r>
                </w:p>
              </w:tc>
              <w:tc>
                <w:tcPr>
                  <w:tcW w:w="42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leftChars="0" w:right="0" w:rightChars="0"/>
                    <w:jc w:val="center"/>
                    <w:textAlignment w:val="auto"/>
                    <w:rPr>
                      <w:rFonts w:hint="default" w:ascii="Times New Roman" w:hAnsi="Times New Roman" w:eastAsia="宋体" w:cs="Times New Roman"/>
                      <w:b/>
                      <w:bCs w:val="0"/>
                      <w:iCs/>
                      <w:color w:val="000000" w:themeColor="text1"/>
                      <w:kern w:val="0"/>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bCs w:val="0"/>
                      <w:iCs/>
                      <w:color w:val="000000" w:themeColor="text1"/>
                      <w:kern w:val="0"/>
                      <w:sz w:val="21"/>
                      <w:szCs w:val="21"/>
                      <w:highlight w:val="none"/>
                      <w:u w:val="none"/>
                      <w14:textFill>
                        <w14:solidFill>
                          <w14:schemeClr w14:val="tx1"/>
                        </w14:solidFill>
                      </w14:textFill>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28" w:type="dxa"/>
                  <w:bottom w:w="57" w:type="dxa"/>
                  <w:right w:w="28" w:type="dxa"/>
                </w:tblCellMar>
              </w:tblPrEx>
              <w:trPr>
                <w:trHeight w:val="425" w:hRule="atLeast"/>
                <w:jc w:val="center"/>
              </w:trPr>
              <w:tc>
                <w:tcPr>
                  <w:tcW w:w="406"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t>（四）加大油气污染防治力度</w:t>
                  </w:r>
                </w:p>
              </w:tc>
              <w:tc>
                <w:tcPr>
                  <w:tcW w:w="333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left"/>
                    <w:textAlignment w:val="auto"/>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t>1.组织开展油气污染防治监督检查。2023年5月15日前，各县区组织开展辖区内汽油储油库、加油站和油罐车全覆盖专项检查工作，确保全市汽油储油库、加油站和油罐车油气回收装置稳定正常运行；2023年6月底前，各县区完成辖区内所有汽油储油库、60%以上的加油站和油罐车监督性抽测，对未按规定安装和正常使用油气回收装置的，依法予以查处。各县区对汽车罐车密封性能定期进行检测，严厉查处在卸油、发油、运输、停泊过程中破坏汽车罐车密闭性的行为。落实油品经营单位油气排放控制的主体责任，完善油气回收装置使用维保制度、安全管理制度、日常检查和定期自检制度等，确保油气回收装置正常运行。</w:t>
                  </w:r>
                </w:p>
              </w:tc>
              <w:tc>
                <w:tcPr>
                  <w:tcW w:w="83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leftChars="0" w:right="0" w:rightChars="0"/>
                    <w:jc w:val="both"/>
                    <w:textAlignment w:val="auto"/>
                    <w:rPr>
                      <w:rFonts w:hint="default" w:ascii="Times New Roman" w:hAnsi="Times New Roman" w:eastAsia="宋体" w:cs="Times New Roman"/>
                      <w:b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本项目</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为加油站</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改扩建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项目，</w:t>
                  </w:r>
                  <w:r>
                    <w:rPr>
                      <w:rFonts w:hint="default" w:ascii="Times New Roman" w:hAnsi="Times New Roman" w:eastAsia="宋体" w:cs="Times New Roman"/>
                      <w:color w:val="000000" w:themeColor="text1"/>
                      <w:sz w:val="21"/>
                      <w:szCs w:val="21"/>
                      <w:highlight w:val="none"/>
                      <w14:textFill>
                        <w14:solidFill>
                          <w14:schemeClr w14:val="tx1"/>
                        </w14:solidFill>
                      </w14:textFill>
                    </w:rPr>
                    <w:t>卸油、储油、加油等挥发油气，以非甲烷总烃计，经油气回收设施处理</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42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bCs/>
                      <w:iCs/>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Cs/>
                      <w:iCs/>
                      <w:color w:val="000000" w:themeColor="text1"/>
                      <w:kern w:val="0"/>
                      <w:sz w:val="21"/>
                      <w:szCs w:val="21"/>
                      <w:highlight w:val="none"/>
                      <w:u w:val="none"/>
                      <w14:textFill>
                        <w14:solidFill>
                          <w14:schemeClr w14:val="tx1"/>
                        </w14:solidFill>
                      </w14:textFill>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28" w:type="dxa"/>
                  <w:bottom w:w="57" w:type="dxa"/>
                  <w:right w:w="28" w:type="dxa"/>
                </w:tblCellMar>
              </w:tblPrEx>
              <w:trPr>
                <w:trHeight w:val="2321" w:hRule="atLeast"/>
                <w:jc w:val="center"/>
              </w:trPr>
              <w:tc>
                <w:tcPr>
                  <w:tcW w:w="406"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pPr>
                </w:p>
              </w:tc>
              <w:tc>
                <w:tcPr>
                  <w:tcW w:w="333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left"/>
                    <w:textAlignment w:val="auto"/>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t>2．实施夏秋季错时装卸油及倡导错峰加油。2023年5月至9月期间，各县区实施夏秋季错时装卸油，倡导错峰加油。2023年4月底前，各县区出台相关工作方案对夏秋季错时装卸油及倡导错峰加油工作进行安排部署，通过宣传倡导、价格优惠、提供赠品等措施，避开臭氧污染高峰时段加油，减少高温和强日照天气状况下装卸油及加油过程挥发性有机物排放。</w:t>
                  </w:r>
                </w:p>
              </w:tc>
              <w:tc>
                <w:tcPr>
                  <w:tcW w:w="83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leftChars="0" w:right="0" w:rightChars="0"/>
                    <w:jc w:val="both"/>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企业建成后，严格落实</w:t>
                  </w:r>
                  <w:r>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t>夏秋季错时装卸油，错峰加油政策。</w:t>
                  </w:r>
                </w:p>
              </w:tc>
              <w:tc>
                <w:tcPr>
                  <w:tcW w:w="42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bCs/>
                      <w:iCs/>
                      <w:color w:val="000000" w:themeColor="text1"/>
                      <w:kern w:val="0"/>
                      <w:sz w:val="21"/>
                      <w:szCs w:val="21"/>
                      <w:highlight w:val="none"/>
                      <w:u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28" w:type="dxa"/>
                  <w:bottom w:w="57" w:type="dxa"/>
                  <w:right w:w="28" w:type="dxa"/>
                </w:tblCellMar>
              </w:tblPrEx>
              <w:trPr>
                <w:trHeight w:val="1222" w:hRule="atLeast"/>
                <w:jc w:val="center"/>
              </w:trPr>
              <w:tc>
                <w:tcPr>
                  <w:tcW w:w="406"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pPr>
                </w:p>
              </w:tc>
              <w:tc>
                <w:tcPr>
                  <w:tcW w:w="333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left"/>
                    <w:textAlignment w:val="auto"/>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t>3.持续推进油气回收信息系统建设。按照省生态环境厅统一安排部署，建设油气回收信息系统平台，开展与试点储油库、加油站、油罐车的数据对接上传工作，并根据工作需求完善储油库、加油站、油罐车在线监测系统相关功能。</w:t>
                  </w:r>
                </w:p>
              </w:tc>
              <w:tc>
                <w:tcPr>
                  <w:tcW w:w="83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leftChars="0" w:right="0" w:rightChars="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企业建成后，应根据</w:t>
                  </w:r>
                  <w:r>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t>省生态环境厅统一安排部署，落实数据对接上传工作。</w:t>
                  </w:r>
                </w:p>
              </w:tc>
              <w:tc>
                <w:tcPr>
                  <w:tcW w:w="42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bCs/>
                      <w:iCs/>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Cs/>
                      <w:iCs/>
                      <w:color w:val="000000" w:themeColor="text1"/>
                      <w:kern w:val="0"/>
                      <w:sz w:val="21"/>
                      <w:szCs w:val="21"/>
                      <w:highlight w:val="none"/>
                      <w:u w:val="none"/>
                      <w14:textFill>
                        <w14:solidFill>
                          <w14:schemeClr w14:val="tx1"/>
                        </w14:solidFill>
                      </w14:textFill>
                    </w:rPr>
                    <w:t>相符</w:t>
                  </w:r>
                </w:p>
              </w:tc>
            </w:tr>
          </w:tbl>
          <w:p>
            <w:pPr>
              <w:keepNext w:val="0"/>
              <w:keepLines w:val="0"/>
              <w:pageBreakBefore w:val="0"/>
              <w:widowControl/>
              <w:suppressLineNumbers w:val="0"/>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eastAsia="宋体" w:cs="Times New Roman"/>
                <w:b/>
                <w:bCs/>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综上所述，本项目满足</w:t>
            </w:r>
            <w:r>
              <w:rPr>
                <w:rFonts w:hint="default" w:ascii="Times New Roman" w:hAnsi="Times New Roman" w:eastAsia="宋体" w:cs="Times New Roman"/>
                <w:b w:val="0"/>
                <w:bCs/>
                <w:color w:val="000000" w:themeColor="text1"/>
                <w:kern w:val="2"/>
                <w:sz w:val="24"/>
                <w:szCs w:val="24"/>
                <w:highlight w:val="none"/>
                <w:u w:val="none"/>
                <w:lang w:val="en-US" w:eastAsia="zh-CN" w:bidi="ar-SA"/>
                <w14:textFill>
                  <w14:solidFill>
                    <w14:schemeClr w14:val="tx1"/>
                  </w14:solidFill>
                </w14:textFill>
              </w:rPr>
              <w:t>漯河市生态环境保护委员会办公室文件《关于印发漯河市2023年蓝天保卫战实施方案和漯河市2023年移动源污染监管工作实施方案的通知》漯环委办[2023]18号</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相关要求。</w:t>
            </w:r>
          </w:p>
          <w:p>
            <w:pPr>
              <w:keepNext w:val="0"/>
              <w:keepLines w:val="0"/>
              <w:pageBreakBefore w:val="0"/>
              <w:widowControl/>
              <w:suppressLineNumbers w:val="0"/>
              <w:kinsoku/>
              <w:wordWrap/>
              <w:overflowPunct/>
              <w:topLinePunct w:val="0"/>
              <w:autoSpaceDE/>
              <w:autoSpaceDN/>
              <w:bidi w:val="0"/>
              <w:adjustRightInd/>
              <w:snapToGrid/>
              <w:spacing w:line="480" w:lineRule="exact"/>
              <w:ind w:firstLine="482" w:firstLineChars="200"/>
              <w:jc w:val="left"/>
              <w:textAlignment w:val="auto"/>
              <w:rPr>
                <w:rFonts w:hint="default" w:ascii="Times New Roman" w:hAnsi="Times New Roman" w:eastAsia="宋体" w:cs="Times New Roman"/>
                <w:b/>
                <w:bCs w:val="0"/>
                <w:color w:val="000000" w:themeColor="text1"/>
                <w:kern w:val="28"/>
                <w:sz w:val="24"/>
                <w:szCs w:val="20"/>
                <w:highlight w:val="none"/>
                <w:u w:val="none"/>
                <w:lang w:val="en-US" w:eastAsia="zh-CN" w:bidi="ar-SA"/>
                <w14:textFill>
                  <w14:solidFill>
                    <w14:schemeClr w14:val="tx1"/>
                  </w14:solidFill>
                </w14:textFill>
              </w:rPr>
            </w:pPr>
            <w:r>
              <w:rPr>
                <w:rFonts w:hint="default" w:ascii="Times New Roman" w:hAnsi="Times New Roman" w:eastAsia="宋体" w:cs="Times New Roman"/>
                <w:b/>
                <w:bCs w:val="0"/>
                <w:color w:val="000000" w:themeColor="text1"/>
                <w:kern w:val="28"/>
                <w:sz w:val="24"/>
                <w:szCs w:val="20"/>
                <w:highlight w:val="none"/>
                <w:u w:val="none"/>
                <w:lang w:val="en-US" w:eastAsia="zh-CN" w:bidi="ar-SA"/>
                <w14:textFill>
                  <w14:solidFill>
                    <w14:schemeClr w14:val="tx1"/>
                  </w14:solidFill>
                </w14:textFill>
              </w:rPr>
              <w:t>5</w:t>
            </w:r>
            <w:r>
              <w:rPr>
                <w:rFonts w:hint="default" w:ascii="Times New Roman" w:hAnsi="Times New Roman" w:cs="Times New Roman"/>
                <w:b/>
                <w:bCs w:val="0"/>
                <w:color w:val="000000" w:themeColor="text1"/>
                <w:kern w:val="28"/>
                <w:sz w:val="24"/>
                <w:szCs w:val="20"/>
                <w:highlight w:val="none"/>
                <w:u w:val="none"/>
                <w:lang w:val="en-US" w:eastAsia="zh-CN" w:bidi="ar-SA"/>
                <w14:textFill>
                  <w14:solidFill>
                    <w14:schemeClr w14:val="tx1"/>
                  </w14:solidFill>
                </w14:textFill>
              </w:rPr>
              <w:t>、</w:t>
            </w:r>
            <w:r>
              <w:rPr>
                <w:rFonts w:hint="default" w:ascii="Times New Roman" w:hAnsi="Times New Roman" w:eastAsia="宋体" w:cs="Times New Roman"/>
                <w:b/>
                <w:bCs w:val="0"/>
                <w:color w:val="000000" w:themeColor="text1"/>
                <w:kern w:val="28"/>
                <w:sz w:val="24"/>
                <w:szCs w:val="20"/>
                <w:highlight w:val="none"/>
                <w:u w:val="none"/>
                <w:lang w:val="en-US" w:eastAsia="zh-CN" w:bidi="ar-SA"/>
                <w14:textFill>
                  <w14:solidFill>
                    <w14:schemeClr w14:val="tx1"/>
                  </w14:solidFill>
                </w14:textFill>
              </w:rPr>
              <w:t>项目与</w:t>
            </w:r>
            <w:r>
              <w:rPr>
                <w:rFonts w:hint="default" w:ascii="Times New Roman" w:hAnsi="Times New Roman" w:eastAsia="宋体" w:cs="Times New Roman"/>
                <w:b/>
                <w:bCs/>
                <w:color w:val="000000" w:themeColor="text1"/>
                <w:sz w:val="24"/>
                <w:szCs w:val="24"/>
                <w:highlight w:val="none"/>
                <w:u w:val="none"/>
                <w:lang w:val="en-US" w:eastAsia="zh-CN"/>
                <w14:textFill>
                  <w14:solidFill>
                    <w14:schemeClr w14:val="tx1"/>
                  </w14:solidFill>
                </w14:textFill>
              </w:rPr>
              <w:t>《关于印发漯河市2023年水污染防治攻坚战实施方案的通知》漯环委办[2023]26号</w:t>
            </w:r>
            <w:r>
              <w:rPr>
                <w:rFonts w:hint="default" w:ascii="Times New Roman" w:hAnsi="Times New Roman" w:eastAsia="宋体" w:cs="Times New Roman"/>
                <w:b/>
                <w:bCs w:val="0"/>
                <w:color w:val="000000" w:themeColor="text1"/>
                <w:kern w:val="28"/>
                <w:sz w:val="24"/>
                <w:szCs w:val="20"/>
                <w:highlight w:val="none"/>
                <w:u w:val="none"/>
                <w:lang w:val="en-US" w:eastAsia="zh-CN" w:bidi="ar-SA"/>
                <w14:textFill>
                  <w14:solidFill>
                    <w14:schemeClr w14:val="tx1"/>
                  </w14:solidFill>
                </w14:textFill>
              </w:rPr>
              <w:t>相符性分析</w:t>
            </w:r>
          </w:p>
          <w:p>
            <w:pPr>
              <w:keepNext w:val="0"/>
              <w:keepLines w:val="0"/>
              <w:pageBreakBefore w:val="0"/>
              <w:widowControl/>
              <w:suppressLineNumbers w:val="0"/>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u w:val="none"/>
                <w:lang w:val="en-US" w:eastAsia="zh-CN" w:bidi="ar-SA"/>
                <w14:textFill>
                  <w14:solidFill>
                    <w14:schemeClr w14:val="tx1"/>
                  </w14:solidFill>
                </w14:textFill>
              </w:rPr>
              <w:t>本项目与漯河市生态环境保护委员会办公室文件《关于印发漯河市2023年水污染防治攻坚战实施方案的通知》漯环委办[2023]26号相符性见下表</w:t>
            </w:r>
          </w:p>
          <w:p>
            <w:pPr>
              <w:pStyle w:val="15"/>
              <w:keepNext w:val="0"/>
              <w:keepLines w:val="0"/>
              <w:pageBreakBefore w:val="0"/>
              <w:widowControl w:val="0"/>
              <w:kinsoku/>
              <w:wordWrap/>
              <w:overflowPunct/>
              <w:topLinePunct w:val="0"/>
              <w:autoSpaceDE/>
              <w:autoSpaceDN/>
              <w:bidi w:val="0"/>
              <w:spacing w:line="400" w:lineRule="exact"/>
              <w:ind w:left="0" w:firstLine="482"/>
              <w:textAlignment w:val="auto"/>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t xml:space="preserve">   </w:t>
            </w: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表5         项目</w:t>
            </w:r>
            <w:r>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t xml:space="preserve">与漯环委办[2023]26号相符性分析 </w:t>
            </w:r>
          </w:p>
          <w:tbl>
            <w:tblPr>
              <w:tblStyle w:val="37"/>
              <w:tblW w:w="911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57" w:type="dxa"/>
                <w:left w:w="28" w:type="dxa"/>
                <w:bottom w:w="57" w:type="dxa"/>
                <w:right w:w="28" w:type="dxa"/>
              </w:tblCellMar>
            </w:tblPr>
            <w:tblGrid>
              <w:gridCol w:w="6777"/>
              <w:gridCol w:w="1541"/>
              <w:gridCol w:w="7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28" w:type="dxa"/>
                  <w:bottom w:w="57" w:type="dxa"/>
                  <w:right w:w="28" w:type="dxa"/>
                </w:tblCellMar>
              </w:tblPrEx>
              <w:trPr>
                <w:trHeight w:val="119" w:hRule="atLeast"/>
                <w:jc w:val="center"/>
              </w:trPr>
              <w:tc>
                <w:tcPr>
                  <w:tcW w:w="37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b/>
                      <w:bCs w:val="0"/>
                      <w:color w:val="000000" w:themeColor="text1"/>
                      <w:kern w:val="0"/>
                      <w:sz w:val="21"/>
                      <w:szCs w:val="21"/>
                      <w:highlight w:val="none"/>
                      <w:u w:val="none"/>
                      <w:lang w:eastAsia="zh-CN"/>
                      <w14:textFill>
                        <w14:solidFill>
                          <w14:schemeClr w14:val="tx1"/>
                        </w14:solidFill>
                      </w14:textFill>
                    </w:rPr>
                  </w:pPr>
                  <w:r>
                    <w:rPr>
                      <w:rFonts w:hint="default" w:ascii="Times New Roman" w:hAnsi="Times New Roman" w:eastAsia="宋体" w:cs="Times New Roman"/>
                      <w:b/>
                      <w:bCs w:val="0"/>
                      <w:color w:val="000000" w:themeColor="text1"/>
                      <w:kern w:val="0"/>
                      <w:sz w:val="21"/>
                      <w:szCs w:val="21"/>
                      <w:highlight w:val="none"/>
                      <w:u w:val="none"/>
                      <w:lang w:val="en-US" w:eastAsia="zh-CN"/>
                      <w14:textFill>
                        <w14:solidFill>
                          <w14:schemeClr w14:val="tx1"/>
                        </w14:solidFill>
                      </w14:textFill>
                    </w:rPr>
                    <w:t>漯环委办[2023]26号</w:t>
                  </w:r>
                </w:p>
              </w:tc>
              <w:tc>
                <w:tcPr>
                  <w:tcW w:w="84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b/>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bCs w:val="0"/>
                      <w:color w:val="000000" w:themeColor="text1"/>
                      <w:kern w:val="0"/>
                      <w:sz w:val="21"/>
                      <w:szCs w:val="21"/>
                      <w:highlight w:val="none"/>
                      <w:u w:val="none"/>
                      <w14:textFill>
                        <w14:solidFill>
                          <w14:schemeClr w14:val="tx1"/>
                        </w14:solidFill>
                      </w14:textFill>
                    </w:rPr>
                    <w:t>本项目情况</w:t>
                  </w:r>
                </w:p>
              </w:tc>
              <w:tc>
                <w:tcPr>
                  <w:tcW w:w="43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b/>
                      <w:bCs w:val="0"/>
                      <w:iCs/>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bCs w:val="0"/>
                      <w:iCs/>
                      <w:color w:val="000000" w:themeColor="text1"/>
                      <w:kern w:val="0"/>
                      <w:sz w:val="21"/>
                      <w:szCs w:val="21"/>
                      <w:highlight w:val="none"/>
                      <w:u w:val="none"/>
                      <w14:textFill>
                        <w14:solidFill>
                          <w14:schemeClr w14:val="tx1"/>
                        </w14:solidFill>
                      </w14:textFill>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28" w:type="dxa"/>
                  <w:bottom w:w="57" w:type="dxa"/>
                  <w:right w:w="28" w:type="dxa"/>
                </w:tblCellMar>
              </w:tblPrEx>
              <w:trPr>
                <w:trHeight w:val="337" w:hRule="atLeast"/>
                <w:jc w:val="center"/>
              </w:trPr>
              <w:tc>
                <w:tcPr>
                  <w:tcW w:w="37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leftChars="0" w:right="0" w:rightChars="0"/>
                    <w:jc w:val="both"/>
                    <w:textAlignment w:val="auto"/>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t>10.加强工业园区水污染治理。开展园区污水处理排查整治，重点排查园区是否落实规划环评提出的污水集中收集处理和水环境风险防控措施；排查园区污水管网，是否实现全覆盖和污水应收尽收，是否存在老旧破损、混接错接等情况；排查园区污水集中处理设施，是否存在进水浓度异常、出水超标和未按排污许可证执行等情况。各县区要根据排查情况，建立问题台账，明确责任单位、整改措施、整改时限并推动整改。涉及医药、化工、皮革及重金属排放等污染较重的园区和企业，统筹初期雨水收集处理设施的规划和建设。</w:t>
                  </w:r>
                </w:p>
              </w:tc>
              <w:tc>
                <w:tcPr>
                  <w:tcW w:w="84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both"/>
                    <w:textAlignment w:val="auto"/>
                    <w:rPr>
                      <w:rFonts w:hint="default" w:ascii="Times New Roman" w:hAnsi="Times New Roman" w:eastAsia="宋体" w:cs="Times New Roman"/>
                      <w:color w:val="000000" w:themeColor="text1"/>
                      <w:spacing w:val="4"/>
                      <w:kern w:val="0"/>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项目运营过程用水主要为生活用水，生活污水经化粪池处理后排入漯河经济技术产业集聚区污水处理厂处理</w:t>
                  </w:r>
                  <w:r>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t>。</w:t>
                  </w:r>
                </w:p>
              </w:tc>
              <w:tc>
                <w:tcPr>
                  <w:tcW w:w="43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bCs/>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Cs/>
                      <w:iCs/>
                      <w:color w:val="000000" w:themeColor="text1"/>
                      <w:kern w:val="0"/>
                      <w:sz w:val="21"/>
                      <w:szCs w:val="21"/>
                      <w:highlight w:val="none"/>
                      <w:u w:val="none"/>
                      <w14:textFill>
                        <w14:solidFill>
                          <w14:schemeClr w14:val="tx1"/>
                        </w14:solidFill>
                      </w14:textFill>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28" w:type="dxa"/>
                  <w:bottom w:w="57" w:type="dxa"/>
                  <w:right w:w="28" w:type="dxa"/>
                </w:tblCellMar>
              </w:tblPrEx>
              <w:trPr>
                <w:trHeight w:val="425" w:hRule="atLeast"/>
                <w:jc w:val="center"/>
              </w:trPr>
              <w:tc>
                <w:tcPr>
                  <w:tcW w:w="371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leftChars="0" w:right="0" w:rightChars="0"/>
                    <w:jc w:val="both"/>
                    <w:textAlignment w:val="auto"/>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t xml:space="preserve">21.加强水环境风险防控。以涉危涉重企业、工业园区等为重点，加强水环境风险日常监管，强化事故调蓄池、应急闸坝等预防性应急设施建设，完善上下游政府及相关部门之间的联防联控、信息共享、闸坝调度机制，落实应急防范措施，重点做好汛前管网腾出容量、汛后应急减污的保障措施。加强澧河饮用水水源地、三里河、唐江河以及其他敏感水体风险防控，提高水环境风险防控和应急处置能力。2023年11月底前，郾城区水环境监管及风险防控能力建设项目完成建设及竣工验收。  </w:t>
                  </w:r>
                </w:p>
              </w:tc>
              <w:tc>
                <w:tcPr>
                  <w:tcW w:w="84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leftChars="0" w:right="0" w:rightChars="0"/>
                    <w:jc w:val="both"/>
                    <w:textAlignment w:val="auto"/>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Cs w:val="0"/>
                      <w:color w:val="000000" w:themeColor="text1"/>
                      <w:sz w:val="21"/>
                      <w:szCs w:val="21"/>
                      <w:highlight w:val="none"/>
                      <w:u w:val="none"/>
                      <w14:textFill>
                        <w14:solidFill>
                          <w14:schemeClr w14:val="tx1"/>
                        </w14:solidFill>
                      </w14:textFill>
                    </w:rPr>
                    <w:t>本项目</w:t>
                  </w:r>
                  <w:r>
                    <w:rPr>
                      <w:rFonts w:hint="default" w:ascii="Times New Roman" w:hAnsi="Times New Roman" w:cs="Times New Roman"/>
                      <w:color w:val="000000" w:themeColor="text1"/>
                      <w:sz w:val="21"/>
                      <w:szCs w:val="21"/>
                      <w:highlight w:val="none"/>
                      <w14:textFill>
                        <w14:solidFill>
                          <w14:schemeClr w14:val="tx1"/>
                        </w14:solidFill>
                      </w14:textFill>
                    </w:rPr>
                    <w:t>建成后将按要求</w:t>
                  </w:r>
                  <w:r>
                    <w:rPr>
                      <w:rFonts w:hint="default" w:ascii="Times New Roman" w:hAnsi="Times New Roman" w:cs="Times New Roman"/>
                      <w:color w:val="000000" w:themeColor="text1"/>
                      <w:kern w:val="0"/>
                      <w:sz w:val="21"/>
                      <w:szCs w:val="21"/>
                      <w:highlight w:val="none"/>
                      <w14:textFill>
                        <w14:solidFill>
                          <w14:schemeClr w14:val="tx1"/>
                        </w14:solidFill>
                      </w14:textFill>
                    </w:rPr>
                    <w:t>制定完善的环境应急预案，</w:t>
                  </w: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落实</w:t>
                  </w:r>
                  <w:r>
                    <w:rPr>
                      <w:rFonts w:hint="default" w:ascii="Times New Roman" w:hAnsi="Times New Roman" w:eastAsia="宋体" w:cs="Times New Roman"/>
                      <w:b w:val="0"/>
                      <w:bCs w:val="0"/>
                      <w:color w:val="000000" w:themeColor="text1"/>
                      <w:spacing w:val="4"/>
                      <w:kern w:val="0"/>
                      <w:sz w:val="21"/>
                      <w:szCs w:val="21"/>
                      <w:highlight w:val="none"/>
                      <w:u w:val="none"/>
                      <w:lang w:val="en-US" w:eastAsia="zh-CN"/>
                      <w14:textFill>
                        <w14:solidFill>
                          <w14:schemeClr w14:val="tx1"/>
                        </w14:solidFill>
                      </w14:textFill>
                    </w:rPr>
                    <w:t>水环境风险防控措施。</w:t>
                  </w:r>
                </w:p>
              </w:tc>
              <w:tc>
                <w:tcPr>
                  <w:tcW w:w="43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00" w:lineRule="exact"/>
                    <w:ind w:left="0" w:right="0"/>
                    <w:jc w:val="center"/>
                    <w:textAlignment w:val="auto"/>
                    <w:rPr>
                      <w:rFonts w:hint="default" w:ascii="Times New Roman" w:hAnsi="Times New Roman" w:eastAsia="宋体" w:cs="Times New Roman"/>
                      <w:bCs/>
                      <w:iCs/>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Cs/>
                      <w:iCs/>
                      <w:color w:val="000000" w:themeColor="text1"/>
                      <w:kern w:val="0"/>
                      <w:sz w:val="21"/>
                      <w:szCs w:val="21"/>
                      <w:highlight w:val="none"/>
                      <w:u w:val="none"/>
                      <w14:textFill>
                        <w14:solidFill>
                          <w14:schemeClr w14:val="tx1"/>
                        </w14:solidFill>
                      </w14:textFill>
                    </w:rPr>
                    <w:t>相符</w:t>
                  </w:r>
                </w:p>
              </w:tc>
            </w:tr>
          </w:tbl>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综上所述，本项目满足</w:t>
            </w:r>
            <w:r>
              <w:rPr>
                <w:rFonts w:hint="default" w:ascii="Times New Roman" w:hAnsi="Times New Roman" w:eastAsia="宋体" w:cs="Times New Roman"/>
                <w:b w:val="0"/>
                <w:bCs/>
                <w:color w:val="000000" w:themeColor="text1"/>
                <w:kern w:val="2"/>
                <w:sz w:val="24"/>
                <w:szCs w:val="24"/>
                <w:highlight w:val="none"/>
                <w:u w:val="none"/>
                <w:lang w:val="en-US" w:eastAsia="zh-CN" w:bidi="ar-SA"/>
                <w14:textFill>
                  <w14:solidFill>
                    <w14:schemeClr w14:val="tx1"/>
                  </w14:solidFill>
                </w14:textFill>
              </w:rPr>
              <w:t>漯河市生态环境保护委员会办公室文件《关于印发漯河市2023年水污染防治攻坚战实施方案的通知》漯环委办[2023]26号</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相关要求。</w:t>
            </w:r>
          </w:p>
          <w:p>
            <w:pPr>
              <w:keepNext w:val="0"/>
              <w:keepLines w:val="0"/>
              <w:pageBreakBefore w:val="0"/>
              <w:widowControl/>
              <w:kinsoku/>
              <w:wordWrap/>
              <w:overflowPunct/>
              <w:topLinePunct w:val="0"/>
              <w:autoSpaceDE/>
              <w:autoSpaceDN/>
              <w:bidi w:val="0"/>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6、</w:t>
            </w:r>
            <w:r>
              <w:rPr>
                <w:rFonts w:hint="default" w:ascii="Times New Roman" w:hAnsi="Times New Roman" w:eastAsia="宋体" w:cs="Times New Roman"/>
                <w:b/>
                <w:bCs/>
                <w:color w:val="000000" w:themeColor="text1"/>
                <w:sz w:val="24"/>
                <w:szCs w:val="24"/>
                <w14:textFill>
                  <w14:solidFill>
                    <w14:schemeClr w14:val="tx1"/>
                  </w14:solidFill>
                </w14:textFill>
              </w:rPr>
              <w:t>与《汽车加油加气加氢站技术标准》（GB 50156-2021）相符性分析</w:t>
            </w:r>
          </w:p>
          <w:p>
            <w:pPr>
              <w:pStyle w:val="35"/>
              <w:keepNext w:val="0"/>
              <w:keepLines w:val="0"/>
              <w:pageBreakBefore w:val="0"/>
              <w:kinsoku/>
              <w:wordWrap/>
              <w:overflowPunct/>
              <w:topLinePunct w:val="0"/>
              <w:autoSpaceDE/>
              <w:autoSpaceDN/>
              <w:bidi w:val="0"/>
              <w:spacing w:after="0" w:line="480" w:lineRule="exact"/>
              <w:ind w:firstLine="480" w:firstLineChars="200"/>
              <w:textAlignment w:val="auto"/>
              <w:rPr>
                <w:rFonts w:hint="default" w:ascii="Times New Roman" w:hAnsi="Times New Roman" w:cs="Times New Roman"/>
                <w:color w:val="000000" w:themeColor="text1"/>
                <w:sz w:val="24"/>
                <w:szCs w:val="24"/>
                <w:u w:val="none"/>
                <w14:textFill>
                  <w14:solidFill>
                    <w14:schemeClr w14:val="tx1"/>
                  </w14:solidFill>
                </w14:textFill>
              </w:rPr>
            </w:pPr>
            <w:r>
              <w:rPr>
                <w:rFonts w:hint="default" w:ascii="Times New Roman" w:hAnsi="Times New Roman" w:cs="Times New Roman"/>
                <w:color w:val="000000" w:themeColor="text1"/>
                <w:sz w:val="24"/>
                <w:szCs w:val="24"/>
                <w:u w:val="none"/>
                <w:lang w:val="en-US" w:eastAsia="zh-CN"/>
                <w14:textFill>
                  <w14:solidFill>
                    <w14:schemeClr w14:val="tx1"/>
                  </w14:solidFill>
                </w14:textFill>
              </w:rPr>
              <w:t>根据现场调查，加油站站址选择</w:t>
            </w:r>
            <w:r>
              <w:rPr>
                <w:rFonts w:hint="default" w:ascii="Times New Roman" w:hAnsi="Times New Roman" w:cs="Times New Roman"/>
                <w:color w:val="000000" w:themeColor="text1"/>
                <w:sz w:val="24"/>
                <w:szCs w:val="24"/>
                <w:u w:val="none"/>
                <w14:textFill>
                  <w14:solidFill>
                    <w14:schemeClr w14:val="tx1"/>
                  </w14:solidFill>
                </w14:textFill>
              </w:rPr>
              <w:t>《汽车加油加气加氢站技术标准》（GB 50156-2021）</w:t>
            </w:r>
            <w:r>
              <w:rPr>
                <w:rFonts w:hint="default" w:ascii="Times New Roman" w:hAnsi="Times New Roman" w:cs="Times New Roman"/>
                <w:color w:val="000000" w:themeColor="text1"/>
                <w:sz w:val="24"/>
                <w:szCs w:val="24"/>
                <w:u w:val="none"/>
                <w:lang w:val="en-US" w:eastAsia="zh-CN"/>
                <w14:textFill>
                  <w14:solidFill>
                    <w14:schemeClr w14:val="tx1"/>
                  </w14:solidFill>
                </w14:textFill>
              </w:rPr>
              <w:t>符合性分析详见下表。</w:t>
            </w:r>
          </w:p>
          <w:p>
            <w:pPr>
              <w:pStyle w:val="15"/>
              <w:keepNext w:val="0"/>
              <w:keepLines w:val="0"/>
              <w:pageBreakBefore w:val="0"/>
              <w:widowControl w:val="0"/>
              <w:kinsoku/>
              <w:wordWrap/>
              <w:overflowPunct/>
              <w:topLinePunct w:val="0"/>
              <w:autoSpaceDE/>
              <w:autoSpaceDN/>
              <w:bidi w:val="0"/>
              <w:spacing w:line="400" w:lineRule="exact"/>
              <w:ind w:left="0" w:firstLine="482"/>
              <w:textAlignment w:val="auto"/>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t>表6        本项目选址与《汽车加油加气加氢站技术标准》的符合性分析</w:t>
            </w:r>
          </w:p>
          <w:tbl>
            <w:tblPr>
              <w:tblStyle w:val="37"/>
              <w:tblW w:w="915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74"/>
              <w:gridCol w:w="3186"/>
              <w:gridCol w:w="4437"/>
              <w:gridCol w:w="85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7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t>序号</w:t>
                  </w:r>
                </w:p>
              </w:tc>
              <w:tc>
                <w:tcPr>
                  <w:tcW w:w="318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t>检查项和内容</w:t>
                  </w:r>
                </w:p>
              </w:tc>
              <w:tc>
                <w:tcPr>
                  <w:tcW w:w="44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t>实际情况</w:t>
                  </w:r>
                </w:p>
              </w:tc>
              <w:tc>
                <w:tcPr>
                  <w:tcW w:w="85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b/>
                      <w:bCs w:val="0"/>
                      <w:iCs/>
                      <w:color w:val="000000" w:themeColor="text1"/>
                      <w:kern w:val="0"/>
                      <w:sz w:val="21"/>
                      <w:szCs w:val="21"/>
                      <w:highlight w:val="none"/>
                      <w:u w:val="none"/>
                      <w14:textFill>
                        <w14:solidFill>
                          <w14:schemeClr w14:val="tx1"/>
                        </w14:solidFill>
                      </w14:textFill>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67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1</w:t>
                  </w:r>
                </w:p>
              </w:tc>
              <w:tc>
                <w:tcPr>
                  <w:tcW w:w="318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汽车加油加气加氢站的站址选择应符合城镇规划、环境保护和防火安全的要求，并选择在交通便利的地方。</w:t>
                  </w:r>
                </w:p>
              </w:tc>
              <w:tc>
                <w:tcPr>
                  <w:tcW w:w="44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项目已取得用不动产权证书，类型为商业用地，选址符合当地规划要求；按照环保要求安装油气回收系统等环保设施，符合环境保护要求；选址满足防火安全要求；项目位于燕山南路与漳江东路交叉口往西北约210米，交通便利。</w:t>
                  </w:r>
                </w:p>
              </w:tc>
              <w:tc>
                <w:tcPr>
                  <w:tcW w:w="85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bCs/>
                      <w:iCs/>
                      <w:color w:val="000000" w:themeColor="text1"/>
                      <w:kern w:val="0"/>
                      <w:sz w:val="21"/>
                      <w:szCs w:val="21"/>
                      <w:highlight w:val="none"/>
                      <w:u w:val="none"/>
                      <w14:textFill>
                        <w14:solidFill>
                          <w14:schemeClr w14:val="tx1"/>
                        </w14:solidFill>
                      </w14:textFill>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 w:hRule="atLeast"/>
                <w:jc w:val="center"/>
              </w:trPr>
              <w:tc>
                <w:tcPr>
                  <w:tcW w:w="67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2</w:t>
                  </w:r>
                </w:p>
              </w:tc>
              <w:tc>
                <w:tcPr>
                  <w:tcW w:w="318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在城市中心区不宜建一级汽车加油加气加氢站、CNG加气母站。</w:t>
                  </w:r>
                </w:p>
              </w:tc>
              <w:tc>
                <w:tcPr>
                  <w:tcW w:w="44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本项目选址位于漯河市经济技术产业集聚区（含漯河经济开发区），且属于三级加油站</w:t>
                  </w:r>
                </w:p>
              </w:tc>
              <w:tc>
                <w:tcPr>
                  <w:tcW w:w="85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bCs/>
                      <w:iCs/>
                      <w:color w:val="000000" w:themeColor="text1"/>
                      <w:kern w:val="0"/>
                      <w:sz w:val="21"/>
                      <w:szCs w:val="21"/>
                      <w:highlight w:val="none"/>
                      <w:u w:val="none"/>
                      <w14:textFill>
                        <w14:solidFill>
                          <w14:schemeClr w14:val="tx1"/>
                        </w14:solidFill>
                      </w14:textFill>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 w:hRule="atLeast"/>
                <w:jc w:val="center"/>
              </w:trPr>
              <w:tc>
                <w:tcPr>
                  <w:tcW w:w="67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3</w:t>
                  </w:r>
                </w:p>
              </w:tc>
              <w:tc>
                <w:tcPr>
                  <w:tcW w:w="318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加油站的油罐、加油机和通气管管口与站外建、构筑物的防火距离不应小于《汽车加油加气加氢站技术标准》（GB50156-2021）表4.0.4表的规定</w:t>
                  </w:r>
                </w:p>
              </w:tc>
              <w:tc>
                <w:tcPr>
                  <w:tcW w:w="44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本项目加油站满足GB50156-2021第4.0.4条规定的外部距离要求。</w:t>
                  </w:r>
                </w:p>
              </w:tc>
              <w:tc>
                <w:tcPr>
                  <w:tcW w:w="85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bCs/>
                      <w:iCs/>
                      <w:color w:val="000000" w:themeColor="text1"/>
                      <w:kern w:val="0"/>
                      <w:sz w:val="21"/>
                      <w:szCs w:val="21"/>
                      <w:highlight w:val="none"/>
                      <w:u w:val="none"/>
                      <w14:textFill>
                        <w14:solidFill>
                          <w14:schemeClr w14:val="tx1"/>
                        </w14:solidFill>
                      </w14:textFill>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 w:hRule="atLeast"/>
                <w:jc w:val="center"/>
              </w:trPr>
              <w:tc>
                <w:tcPr>
                  <w:tcW w:w="67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4</w:t>
                  </w:r>
                </w:p>
              </w:tc>
              <w:tc>
                <w:tcPr>
                  <w:tcW w:w="318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城市建成区内的汽车加油加气加氢站宜靠近城市道路，但不宜选在城市干道的交叉路口附近。</w:t>
                  </w:r>
                </w:p>
              </w:tc>
              <w:tc>
                <w:tcPr>
                  <w:tcW w:w="44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本项目选址靠近南环路（燕山南路与漳江东路交叉口往西北约210米），不属于城市干道的交叉路口。</w:t>
                  </w:r>
                </w:p>
              </w:tc>
              <w:tc>
                <w:tcPr>
                  <w:tcW w:w="85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bCs/>
                      <w:iCs/>
                      <w:color w:val="000000" w:themeColor="text1"/>
                      <w:kern w:val="0"/>
                      <w:sz w:val="21"/>
                      <w:szCs w:val="21"/>
                      <w:highlight w:val="none"/>
                      <w:u w:val="none"/>
                      <w14:textFill>
                        <w14:solidFill>
                          <w14:schemeClr w14:val="tx1"/>
                        </w14:solidFill>
                      </w14:textFill>
                    </w:rPr>
                    <w:t>相符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 w:hRule="atLeast"/>
                <w:jc w:val="center"/>
              </w:trPr>
              <w:tc>
                <w:tcPr>
                  <w:tcW w:w="67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5</w:t>
                  </w:r>
                </w:p>
              </w:tc>
              <w:tc>
                <w:tcPr>
                  <w:tcW w:w="3186"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架空电力线路不应跨越汽车加油加气加氢站的作业区。</w:t>
                  </w:r>
                </w:p>
              </w:tc>
              <w:tc>
                <w:tcPr>
                  <w:tcW w:w="44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cs="Times New Roman"/>
                      <w:color w:val="000000" w:themeColor="text1"/>
                      <w:kern w:val="0"/>
                      <w:sz w:val="21"/>
                      <w:szCs w:val="21"/>
                      <w:lang w:val="en-US" w:eastAsia="zh-CN" w:bidi="ar"/>
                      <w14:textFill>
                        <w14:solidFill>
                          <w14:schemeClr w14:val="tx1"/>
                        </w14:solidFill>
                      </w14:textFill>
                    </w:rPr>
                    <w:t>本</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项目加油作业区无架空电力线路和架空通信线路穿越。</w:t>
                  </w:r>
                </w:p>
              </w:tc>
              <w:tc>
                <w:tcPr>
                  <w:tcW w:w="854"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bCs/>
                      <w:iCs/>
                      <w:color w:val="000000" w:themeColor="text1"/>
                      <w:kern w:val="0"/>
                      <w:sz w:val="21"/>
                      <w:szCs w:val="21"/>
                      <w:highlight w:val="none"/>
                      <w:u w:val="none"/>
                      <w14:textFill>
                        <w14:solidFill>
                          <w14:schemeClr w14:val="tx1"/>
                        </w14:solidFill>
                      </w14:textFill>
                    </w:rPr>
                    <w:t>相符</w:t>
                  </w:r>
                </w:p>
              </w:tc>
            </w:tr>
          </w:tbl>
          <w:p>
            <w:pPr>
              <w:pStyle w:val="15"/>
              <w:keepNext w:val="0"/>
              <w:keepLines w:val="0"/>
              <w:pageBreakBefore w:val="0"/>
              <w:widowControl w:val="0"/>
              <w:kinsoku/>
              <w:wordWrap/>
              <w:overflowPunct/>
              <w:topLinePunct w:val="0"/>
              <w:autoSpaceDE/>
              <w:autoSpaceDN/>
              <w:bidi w:val="0"/>
              <w:spacing w:line="400" w:lineRule="exact"/>
              <w:ind w:left="0" w:firstLine="482"/>
              <w:textAlignment w:val="auto"/>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t>表7        站址与周围居民居住区、工矿企业、交通线等的距离（单位：m）</w:t>
            </w:r>
          </w:p>
          <w:tbl>
            <w:tblPr>
              <w:tblStyle w:val="37"/>
              <w:tblW w:w="917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93"/>
              <w:gridCol w:w="713"/>
              <w:gridCol w:w="903"/>
              <w:gridCol w:w="415"/>
              <w:gridCol w:w="1059"/>
              <w:gridCol w:w="953"/>
              <w:gridCol w:w="1058"/>
              <w:gridCol w:w="909"/>
              <w:gridCol w:w="1024"/>
              <w:gridCol w:w="962"/>
              <w:gridCol w:w="6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dxa"/>
                  <w:vMerge w:val="restart"/>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b/>
                      <w:bCs/>
                      <w:color w:val="000000" w:themeColor="text1"/>
                      <w:sz w:val="21"/>
                      <w:szCs w:val="21"/>
                      <w:u w:val="none" w:color="auto"/>
                      <w14:textFill>
                        <w14:solidFill>
                          <w14:schemeClr w14:val="tx1"/>
                        </w14:solidFill>
                      </w14:textFill>
                    </w:rPr>
                  </w:pPr>
                  <w:bookmarkStart w:id="2" w:name="_Hlk58330851"/>
                  <w:r>
                    <w:rPr>
                      <w:rFonts w:hint="default" w:ascii="Times New Roman" w:hAnsi="Times New Roman" w:cs="Times New Roman"/>
                      <w:b/>
                      <w:bCs/>
                      <w:color w:val="000000" w:themeColor="text1"/>
                      <w:sz w:val="21"/>
                      <w:szCs w:val="21"/>
                      <w:u w:val="none" w:color="auto"/>
                      <w14:textFill>
                        <w14:solidFill>
                          <w14:schemeClr w14:val="tx1"/>
                        </w14:solidFill>
                      </w14:textFill>
                    </w:rPr>
                    <w:t>序号</w:t>
                  </w:r>
                </w:p>
              </w:tc>
              <w:tc>
                <w:tcPr>
                  <w:tcW w:w="2031" w:type="dxa"/>
                  <w:gridSpan w:val="3"/>
                  <w:vMerge w:val="restart"/>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b/>
                      <w:bCs/>
                      <w:color w:val="000000" w:themeColor="text1"/>
                      <w:sz w:val="21"/>
                      <w:szCs w:val="21"/>
                      <w:u w:val="none" w:color="auto"/>
                      <w14:textFill>
                        <w14:solidFill>
                          <w14:schemeClr w14:val="tx1"/>
                        </w14:solidFill>
                      </w14:textFill>
                    </w:rPr>
                  </w:pPr>
                  <w:r>
                    <w:rPr>
                      <w:rFonts w:hint="default" w:ascii="Times New Roman" w:hAnsi="Times New Roman" w:cs="Times New Roman"/>
                      <w:b/>
                      <w:bCs/>
                      <w:color w:val="000000" w:themeColor="text1"/>
                      <w:sz w:val="21"/>
                      <w:szCs w:val="21"/>
                      <w:u w:val="none" w:color="auto"/>
                      <w14:textFill>
                        <w14:solidFill>
                          <w14:schemeClr w14:val="tx1"/>
                        </w14:solidFill>
                      </w14:textFill>
                    </w:rPr>
                    <w:t>名称</w:t>
                  </w:r>
                </w:p>
              </w:tc>
              <w:tc>
                <w:tcPr>
                  <w:tcW w:w="5965" w:type="dxa"/>
                  <w:gridSpan w:val="6"/>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b/>
                      <w:bCs/>
                      <w:color w:val="000000" w:themeColor="text1"/>
                      <w:sz w:val="21"/>
                      <w:szCs w:val="21"/>
                      <w:u w:val="none" w:color="auto"/>
                      <w14:textFill>
                        <w14:solidFill>
                          <w14:schemeClr w14:val="tx1"/>
                        </w14:solidFill>
                      </w14:textFill>
                    </w:rPr>
                    <w:t>站内工艺设备</w:t>
                  </w:r>
                </w:p>
              </w:tc>
              <w:tc>
                <w:tcPr>
                  <w:tcW w:w="684" w:type="dxa"/>
                  <w:vMerge w:val="restart"/>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bCs w:val="0"/>
                      <w:iCs/>
                      <w:color w:val="000000" w:themeColor="text1"/>
                      <w:kern w:val="0"/>
                      <w:sz w:val="21"/>
                      <w:szCs w:val="21"/>
                      <w:highlight w:val="none"/>
                      <w:u w:val="none"/>
                      <w14:textFill>
                        <w14:solidFill>
                          <w14:schemeClr w14:val="tx1"/>
                        </w14:solidFill>
                      </w14:textFill>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493"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b/>
                      <w:bCs/>
                      <w:color w:val="000000" w:themeColor="text1"/>
                      <w:sz w:val="21"/>
                      <w:szCs w:val="21"/>
                      <w:u w:val="none" w:color="auto"/>
                      <w14:textFill>
                        <w14:solidFill>
                          <w14:schemeClr w14:val="tx1"/>
                        </w14:solidFill>
                      </w14:textFill>
                    </w:rPr>
                  </w:pPr>
                </w:p>
              </w:tc>
              <w:tc>
                <w:tcPr>
                  <w:tcW w:w="2031" w:type="dxa"/>
                  <w:gridSpan w:val="3"/>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b/>
                      <w:bCs/>
                      <w:color w:val="000000" w:themeColor="text1"/>
                      <w:sz w:val="21"/>
                      <w:szCs w:val="21"/>
                      <w:u w:val="none" w:color="auto"/>
                      <w14:textFill>
                        <w14:solidFill>
                          <w14:schemeClr w14:val="tx1"/>
                        </w14:solidFill>
                      </w14:textFill>
                    </w:rPr>
                  </w:pPr>
                </w:p>
              </w:tc>
              <w:tc>
                <w:tcPr>
                  <w:tcW w:w="2012" w:type="dxa"/>
                  <w:gridSpan w:val="2"/>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b/>
                      <w:bCs/>
                      <w:color w:val="000000" w:themeColor="text1"/>
                      <w:sz w:val="21"/>
                      <w:szCs w:val="21"/>
                      <w:u w:val="none" w:color="auto"/>
                      <w14:textFill>
                        <w14:solidFill>
                          <w14:schemeClr w14:val="tx1"/>
                        </w14:solidFill>
                      </w14:textFill>
                    </w:rPr>
                  </w:pPr>
                  <w:r>
                    <w:rPr>
                      <w:rFonts w:hint="default" w:ascii="Times New Roman" w:hAnsi="Times New Roman" w:cs="Times New Roman"/>
                      <w:b/>
                      <w:bCs/>
                      <w:color w:val="000000" w:themeColor="text1"/>
                      <w:sz w:val="21"/>
                      <w:szCs w:val="21"/>
                      <w:u w:val="none" w:color="auto"/>
                      <w14:textFill>
                        <w14:solidFill>
                          <w14:schemeClr w14:val="tx1"/>
                        </w14:solidFill>
                      </w14:textFill>
                    </w:rPr>
                    <w:t>埋地油罐</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b/>
                      <w:bCs/>
                      <w:color w:val="000000" w:themeColor="text1"/>
                      <w:sz w:val="21"/>
                      <w:szCs w:val="21"/>
                      <w:u w:val="none" w:color="auto"/>
                      <w14:textFill>
                        <w14:solidFill>
                          <w14:schemeClr w14:val="tx1"/>
                        </w14:solidFill>
                      </w14:textFill>
                    </w:rPr>
                  </w:pPr>
                  <w:r>
                    <w:rPr>
                      <w:rFonts w:hint="default" w:ascii="Times New Roman" w:hAnsi="Times New Roman" w:cs="Times New Roman"/>
                      <w:b/>
                      <w:bCs/>
                      <w:color w:val="000000" w:themeColor="text1"/>
                      <w:sz w:val="21"/>
                      <w:szCs w:val="21"/>
                      <w:u w:val="none" w:color="auto"/>
                      <w14:textFill>
                        <w14:solidFill>
                          <w14:schemeClr w14:val="tx1"/>
                        </w14:solidFill>
                      </w14:textFill>
                    </w:rPr>
                    <w:t>（</w:t>
                  </w:r>
                  <w:r>
                    <w:rPr>
                      <w:rFonts w:hint="default" w:ascii="Times New Roman" w:hAnsi="Times New Roman" w:cs="Times New Roman"/>
                      <w:b/>
                      <w:bCs/>
                      <w:color w:val="000000" w:themeColor="text1"/>
                      <w:sz w:val="21"/>
                      <w:szCs w:val="21"/>
                      <w:u w:val="none" w:color="auto"/>
                      <w:lang w:val="en-US" w:eastAsia="zh-CN"/>
                      <w14:textFill>
                        <w14:solidFill>
                          <w14:schemeClr w14:val="tx1"/>
                        </w14:solidFill>
                      </w14:textFill>
                    </w:rPr>
                    <w:t>三</w:t>
                  </w:r>
                  <w:r>
                    <w:rPr>
                      <w:rFonts w:hint="default" w:ascii="Times New Roman" w:hAnsi="Times New Roman" w:cs="Times New Roman"/>
                      <w:b/>
                      <w:bCs/>
                      <w:color w:val="000000" w:themeColor="text1"/>
                      <w:sz w:val="21"/>
                      <w:szCs w:val="21"/>
                      <w:u w:val="none" w:color="auto"/>
                      <w14:textFill>
                        <w14:solidFill>
                          <w14:schemeClr w14:val="tx1"/>
                        </w14:solidFill>
                      </w14:textFill>
                    </w:rPr>
                    <w:t>级站）</w:t>
                  </w:r>
                </w:p>
              </w:tc>
              <w:tc>
                <w:tcPr>
                  <w:tcW w:w="1967" w:type="dxa"/>
                  <w:gridSpan w:val="2"/>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b/>
                      <w:bCs/>
                      <w:color w:val="000000" w:themeColor="text1"/>
                      <w:sz w:val="21"/>
                      <w:szCs w:val="21"/>
                      <w:u w:val="none" w:color="auto"/>
                      <w14:textFill>
                        <w14:solidFill>
                          <w14:schemeClr w14:val="tx1"/>
                        </w14:solidFill>
                      </w14:textFill>
                    </w:rPr>
                  </w:pPr>
                  <w:r>
                    <w:rPr>
                      <w:rFonts w:hint="default" w:ascii="Times New Roman" w:hAnsi="Times New Roman" w:cs="Times New Roman"/>
                      <w:b/>
                      <w:bCs/>
                      <w:color w:val="000000" w:themeColor="text1"/>
                      <w:sz w:val="21"/>
                      <w:szCs w:val="21"/>
                      <w:u w:val="none" w:color="auto"/>
                      <w14:textFill>
                        <w14:solidFill>
                          <w14:schemeClr w14:val="tx1"/>
                        </w14:solidFill>
                      </w14:textFill>
                    </w:rPr>
                    <w:t>通气管管口</w:t>
                  </w:r>
                </w:p>
              </w:tc>
              <w:tc>
                <w:tcPr>
                  <w:tcW w:w="1986" w:type="dxa"/>
                  <w:gridSpan w:val="2"/>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b/>
                      <w:bCs/>
                      <w:color w:val="000000" w:themeColor="text1"/>
                      <w:sz w:val="21"/>
                      <w:szCs w:val="21"/>
                      <w:u w:val="none" w:color="auto"/>
                      <w14:textFill>
                        <w14:solidFill>
                          <w14:schemeClr w14:val="tx1"/>
                        </w14:solidFill>
                      </w14:textFill>
                    </w:rPr>
                    <w:t>加油机</w:t>
                  </w:r>
                </w:p>
              </w:tc>
              <w:tc>
                <w:tcPr>
                  <w:tcW w:w="684"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493"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p>
              </w:tc>
              <w:tc>
                <w:tcPr>
                  <w:tcW w:w="2031" w:type="dxa"/>
                  <w:gridSpan w:val="3"/>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p>
              </w:tc>
              <w:tc>
                <w:tcPr>
                  <w:tcW w:w="105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b/>
                      <w:bCs/>
                      <w:color w:val="000000" w:themeColor="text1"/>
                      <w:sz w:val="21"/>
                      <w:szCs w:val="21"/>
                      <w:u w:val="none" w:color="auto"/>
                      <w:lang w:val="en-US" w:eastAsia="zh-CN"/>
                      <w14:textFill>
                        <w14:solidFill>
                          <w14:schemeClr w14:val="tx1"/>
                        </w14:solidFill>
                      </w14:textFill>
                    </w:rPr>
                    <w:t>标准值</w:t>
                  </w:r>
                </w:p>
              </w:tc>
              <w:tc>
                <w:tcPr>
                  <w:tcW w:w="95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b/>
                      <w:bCs/>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b/>
                      <w:bCs/>
                      <w:color w:val="000000" w:themeColor="text1"/>
                      <w:sz w:val="21"/>
                      <w:szCs w:val="21"/>
                      <w:u w:val="none" w:color="auto"/>
                      <w:lang w:val="en-US" w:eastAsia="zh-CN"/>
                      <w14:textFill>
                        <w14:solidFill>
                          <w14:schemeClr w14:val="tx1"/>
                        </w14:solidFill>
                      </w14:textFill>
                    </w:rPr>
                    <w:t>设计值</w:t>
                  </w:r>
                </w:p>
              </w:tc>
              <w:tc>
                <w:tcPr>
                  <w:tcW w:w="1058"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eastAsia="宋体" w:cs="Times New Roman"/>
                      <w:b/>
                      <w:bCs/>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b/>
                      <w:bCs/>
                      <w:color w:val="000000" w:themeColor="text1"/>
                      <w:sz w:val="21"/>
                      <w:szCs w:val="21"/>
                      <w:u w:val="none" w:color="auto"/>
                      <w:lang w:val="en-US" w:eastAsia="zh-CN"/>
                      <w14:textFill>
                        <w14:solidFill>
                          <w14:schemeClr w14:val="tx1"/>
                        </w14:solidFill>
                      </w14:textFill>
                    </w:rPr>
                    <w:t>标准值</w:t>
                  </w:r>
                </w:p>
              </w:tc>
              <w:tc>
                <w:tcPr>
                  <w:tcW w:w="90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eastAsia="宋体" w:cs="Times New Roman"/>
                      <w:b/>
                      <w:bCs/>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b/>
                      <w:bCs/>
                      <w:color w:val="000000" w:themeColor="text1"/>
                      <w:sz w:val="21"/>
                      <w:szCs w:val="21"/>
                      <w:u w:val="none" w:color="auto"/>
                      <w:lang w:val="en-US" w:eastAsia="zh-CN"/>
                      <w14:textFill>
                        <w14:solidFill>
                          <w14:schemeClr w14:val="tx1"/>
                        </w14:solidFill>
                      </w14:textFill>
                    </w:rPr>
                    <w:t>设计值</w:t>
                  </w:r>
                </w:p>
              </w:tc>
              <w:tc>
                <w:tcPr>
                  <w:tcW w:w="102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eastAsia="宋体" w:cs="Times New Roman"/>
                      <w:b/>
                      <w:bCs/>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b/>
                      <w:bCs/>
                      <w:color w:val="000000" w:themeColor="text1"/>
                      <w:sz w:val="21"/>
                      <w:szCs w:val="21"/>
                      <w:u w:val="none" w:color="auto"/>
                      <w:lang w:val="en-US" w:eastAsia="zh-CN"/>
                      <w14:textFill>
                        <w14:solidFill>
                          <w14:schemeClr w14:val="tx1"/>
                        </w14:solidFill>
                      </w14:textFill>
                    </w:rPr>
                    <w:t>标准值</w:t>
                  </w:r>
                </w:p>
              </w:tc>
              <w:tc>
                <w:tcPr>
                  <w:tcW w:w="962"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eastAsia="宋体" w:cs="Times New Roman"/>
                      <w:b/>
                      <w:bCs/>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b/>
                      <w:bCs/>
                      <w:color w:val="000000" w:themeColor="text1"/>
                      <w:sz w:val="21"/>
                      <w:szCs w:val="21"/>
                      <w:u w:val="none" w:color="auto"/>
                      <w:lang w:val="en-US" w:eastAsia="zh-CN"/>
                      <w14:textFill>
                        <w14:solidFill>
                          <w14:schemeClr w14:val="tx1"/>
                        </w14:solidFill>
                      </w14:textFill>
                    </w:rPr>
                    <w:t>设计值</w:t>
                  </w:r>
                </w:p>
              </w:tc>
              <w:tc>
                <w:tcPr>
                  <w:tcW w:w="684"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b/>
                      <w:bCs/>
                      <w:color w:val="000000" w:themeColor="text1"/>
                      <w:sz w:val="21"/>
                      <w:szCs w:val="21"/>
                      <w:u w:val="none" w:color="auto"/>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1</w:t>
                  </w:r>
                </w:p>
              </w:tc>
              <w:tc>
                <w:tcPr>
                  <w:tcW w:w="2031" w:type="dxa"/>
                  <w:gridSpan w:val="3"/>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重要公共建筑物</w:t>
                  </w:r>
                </w:p>
              </w:tc>
              <w:tc>
                <w:tcPr>
                  <w:tcW w:w="105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35（25）</w:t>
                  </w:r>
                </w:p>
              </w:tc>
              <w:tc>
                <w:tcPr>
                  <w:tcW w:w="95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1058"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35（25）</w:t>
                  </w:r>
                </w:p>
              </w:tc>
              <w:tc>
                <w:tcPr>
                  <w:tcW w:w="90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102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35（25）</w:t>
                  </w:r>
                </w:p>
              </w:tc>
              <w:tc>
                <w:tcPr>
                  <w:tcW w:w="962"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68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2</w:t>
                  </w:r>
                </w:p>
              </w:tc>
              <w:tc>
                <w:tcPr>
                  <w:tcW w:w="2031" w:type="dxa"/>
                  <w:gridSpan w:val="3"/>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明火或散发火花点</w:t>
                  </w:r>
                </w:p>
              </w:tc>
              <w:tc>
                <w:tcPr>
                  <w:tcW w:w="105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12.5</w:t>
                  </w:r>
                  <w:r>
                    <w:rPr>
                      <w:rFonts w:hint="default" w:ascii="Times New Roman" w:hAnsi="Times New Roman" w:cs="Times New Roman"/>
                      <w:color w:val="000000" w:themeColor="text1"/>
                      <w:sz w:val="21"/>
                      <w:szCs w:val="21"/>
                      <w:u w:val="none" w:color="auto"/>
                      <w14:textFill>
                        <w14:solidFill>
                          <w14:schemeClr w14:val="tx1"/>
                        </w14:solidFill>
                      </w14:textFill>
                    </w:rPr>
                    <w:t>（</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10</w:t>
                  </w:r>
                  <w:r>
                    <w:rPr>
                      <w:rFonts w:hint="default" w:ascii="Times New Roman" w:hAnsi="Times New Roman" w:cs="Times New Roman"/>
                      <w:color w:val="000000" w:themeColor="text1"/>
                      <w:sz w:val="21"/>
                      <w:szCs w:val="21"/>
                      <w:u w:val="none" w:color="auto"/>
                      <w14:textFill>
                        <w14:solidFill>
                          <w14:schemeClr w14:val="tx1"/>
                        </w14:solidFill>
                      </w14:textFill>
                    </w:rPr>
                    <w:t>）</w:t>
                  </w:r>
                </w:p>
              </w:tc>
              <w:tc>
                <w:tcPr>
                  <w:tcW w:w="95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1058"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12.5</w:t>
                  </w:r>
                  <w:r>
                    <w:rPr>
                      <w:rFonts w:hint="default" w:ascii="Times New Roman" w:hAnsi="Times New Roman" w:cs="Times New Roman"/>
                      <w:color w:val="000000" w:themeColor="text1"/>
                      <w:sz w:val="21"/>
                      <w:szCs w:val="21"/>
                      <w:u w:val="none" w:color="auto"/>
                      <w14:textFill>
                        <w14:solidFill>
                          <w14:schemeClr w14:val="tx1"/>
                        </w14:solidFill>
                      </w14:textFill>
                    </w:rPr>
                    <w:t>（</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10</w:t>
                  </w:r>
                  <w:r>
                    <w:rPr>
                      <w:rFonts w:hint="default" w:ascii="Times New Roman" w:hAnsi="Times New Roman" w:cs="Times New Roman"/>
                      <w:color w:val="000000" w:themeColor="text1"/>
                      <w:sz w:val="21"/>
                      <w:szCs w:val="21"/>
                      <w:u w:val="none" w:color="auto"/>
                      <w14:textFill>
                        <w14:solidFill>
                          <w14:schemeClr w14:val="tx1"/>
                        </w14:solidFill>
                      </w14:textFill>
                    </w:rPr>
                    <w:t>）</w:t>
                  </w:r>
                </w:p>
              </w:tc>
              <w:tc>
                <w:tcPr>
                  <w:tcW w:w="90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102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12.5</w:t>
                  </w:r>
                  <w:r>
                    <w:rPr>
                      <w:rFonts w:hint="default" w:ascii="Times New Roman" w:hAnsi="Times New Roman" w:cs="Times New Roman"/>
                      <w:color w:val="000000" w:themeColor="text1"/>
                      <w:sz w:val="21"/>
                      <w:szCs w:val="21"/>
                      <w:u w:val="none" w:color="auto"/>
                      <w14:textFill>
                        <w14:solidFill>
                          <w14:schemeClr w14:val="tx1"/>
                        </w14:solidFill>
                      </w14:textFill>
                    </w:rPr>
                    <w:t>（</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10</w:t>
                  </w:r>
                  <w:r>
                    <w:rPr>
                      <w:rFonts w:hint="default" w:ascii="Times New Roman" w:hAnsi="Times New Roman" w:cs="Times New Roman"/>
                      <w:color w:val="000000" w:themeColor="text1"/>
                      <w:sz w:val="21"/>
                      <w:szCs w:val="21"/>
                      <w:u w:val="none" w:color="auto"/>
                      <w14:textFill>
                        <w14:solidFill>
                          <w14:schemeClr w14:val="tx1"/>
                        </w14:solidFill>
                      </w14:textFill>
                    </w:rPr>
                    <w:t>）</w:t>
                  </w:r>
                </w:p>
              </w:tc>
              <w:tc>
                <w:tcPr>
                  <w:tcW w:w="962"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68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dxa"/>
                  <w:vMerge w:val="restart"/>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3</w:t>
                  </w:r>
                </w:p>
              </w:tc>
              <w:tc>
                <w:tcPr>
                  <w:tcW w:w="713" w:type="dxa"/>
                  <w:vMerge w:val="restart"/>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民用建筑物保护类别</w:t>
                  </w:r>
                </w:p>
              </w:tc>
              <w:tc>
                <w:tcPr>
                  <w:tcW w:w="1318" w:type="dxa"/>
                  <w:gridSpan w:val="2"/>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一类保护物</w:t>
                  </w:r>
                </w:p>
              </w:tc>
              <w:tc>
                <w:tcPr>
                  <w:tcW w:w="105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11</w:t>
                  </w:r>
                  <w:r>
                    <w:rPr>
                      <w:rFonts w:hint="default" w:ascii="Times New Roman" w:hAnsi="Times New Roman" w:cs="Times New Roman"/>
                      <w:color w:val="000000" w:themeColor="text1"/>
                      <w:sz w:val="21"/>
                      <w:szCs w:val="21"/>
                      <w:u w:val="none" w:color="auto"/>
                      <w14:textFill>
                        <w14:solidFill>
                          <w14:schemeClr w14:val="tx1"/>
                        </w14:solidFill>
                      </w14:textFill>
                    </w:rPr>
                    <w:t>（6）</w:t>
                  </w:r>
                </w:p>
              </w:tc>
              <w:tc>
                <w:tcPr>
                  <w:tcW w:w="95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1058"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11</w:t>
                  </w:r>
                  <w:r>
                    <w:rPr>
                      <w:rFonts w:hint="default" w:ascii="Times New Roman" w:hAnsi="Times New Roman" w:cs="Times New Roman"/>
                      <w:color w:val="000000" w:themeColor="text1"/>
                      <w:sz w:val="21"/>
                      <w:szCs w:val="21"/>
                      <w:u w:val="none" w:color="auto"/>
                      <w14:textFill>
                        <w14:solidFill>
                          <w14:schemeClr w14:val="tx1"/>
                        </w14:solidFill>
                      </w14:textFill>
                    </w:rPr>
                    <w:t>（6）</w:t>
                  </w:r>
                </w:p>
              </w:tc>
              <w:tc>
                <w:tcPr>
                  <w:tcW w:w="90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102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11</w:t>
                  </w:r>
                  <w:r>
                    <w:rPr>
                      <w:rFonts w:hint="default" w:ascii="Times New Roman" w:hAnsi="Times New Roman" w:cs="Times New Roman"/>
                      <w:color w:val="000000" w:themeColor="text1"/>
                      <w:sz w:val="21"/>
                      <w:szCs w:val="21"/>
                      <w:u w:val="none" w:color="auto"/>
                      <w14:textFill>
                        <w14:solidFill>
                          <w14:schemeClr w14:val="tx1"/>
                        </w14:solidFill>
                      </w14:textFill>
                    </w:rPr>
                    <w:t>（6）</w:t>
                  </w:r>
                </w:p>
              </w:tc>
              <w:tc>
                <w:tcPr>
                  <w:tcW w:w="962"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68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p>
              </w:tc>
              <w:tc>
                <w:tcPr>
                  <w:tcW w:w="713"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p>
              </w:tc>
              <w:tc>
                <w:tcPr>
                  <w:tcW w:w="1318" w:type="dxa"/>
                  <w:gridSpan w:val="2"/>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二类保护物</w:t>
                  </w:r>
                </w:p>
              </w:tc>
              <w:tc>
                <w:tcPr>
                  <w:tcW w:w="105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8.5</w:t>
                  </w:r>
                  <w:r>
                    <w:rPr>
                      <w:rFonts w:hint="default" w:ascii="Times New Roman" w:hAnsi="Times New Roman" w:cs="Times New Roman"/>
                      <w:color w:val="000000" w:themeColor="text1"/>
                      <w:sz w:val="21"/>
                      <w:szCs w:val="21"/>
                      <w:u w:val="none" w:color="auto"/>
                      <w14:textFill>
                        <w14:solidFill>
                          <w14:schemeClr w14:val="tx1"/>
                        </w14:solidFill>
                      </w14:textFill>
                    </w:rPr>
                    <w:t>（6）</w:t>
                  </w:r>
                </w:p>
              </w:tc>
              <w:tc>
                <w:tcPr>
                  <w:tcW w:w="95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1058"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8.5</w:t>
                  </w:r>
                  <w:r>
                    <w:rPr>
                      <w:rFonts w:hint="default" w:ascii="Times New Roman" w:hAnsi="Times New Roman" w:cs="Times New Roman"/>
                      <w:color w:val="000000" w:themeColor="text1"/>
                      <w:sz w:val="21"/>
                      <w:szCs w:val="21"/>
                      <w:u w:val="none" w:color="auto"/>
                      <w14:textFill>
                        <w14:solidFill>
                          <w14:schemeClr w14:val="tx1"/>
                        </w14:solidFill>
                      </w14:textFill>
                    </w:rPr>
                    <w:t>（6）</w:t>
                  </w:r>
                </w:p>
              </w:tc>
              <w:tc>
                <w:tcPr>
                  <w:tcW w:w="90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102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8.5</w:t>
                  </w:r>
                  <w:r>
                    <w:rPr>
                      <w:rFonts w:hint="default" w:ascii="Times New Roman" w:hAnsi="Times New Roman" w:cs="Times New Roman"/>
                      <w:color w:val="000000" w:themeColor="text1"/>
                      <w:sz w:val="21"/>
                      <w:szCs w:val="21"/>
                      <w:u w:val="none" w:color="auto"/>
                      <w14:textFill>
                        <w14:solidFill>
                          <w14:schemeClr w14:val="tx1"/>
                        </w14:solidFill>
                      </w14:textFill>
                    </w:rPr>
                    <w:t>（6）</w:t>
                  </w:r>
                </w:p>
              </w:tc>
              <w:tc>
                <w:tcPr>
                  <w:tcW w:w="962"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68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2" w:hRule="atLeast"/>
                <w:jc w:val="center"/>
              </w:trPr>
              <w:tc>
                <w:tcPr>
                  <w:tcW w:w="493"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p>
              </w:tc>
              <w:tc>
                <w:tcPr>
                  <w:tcW w:w="713"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p>
              </w:tc>
              <w:tc>
                <w:tcPr>
                  <w:tcW w:w="90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三类保护物</w:t>
                  </w:r>
                </w:p>
              </w:tc>
              <w:tc>
                <w:tcPr>
                  <w:tcW w:w="415"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西侧</w:t>
                  </w:r>
                </w:p>
              </w:tc>
              <w:tc>
                <w:tcPr>
                  <w:tcW w:w="105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7</w:t>
                  </w:r>
                  <w:r>
                    <w:rPr>
                      <w:rFonts w:hint="default" w:ascii="Times New Roman" w:hAnsi="Times New Roman" w:cs="Times New Roman"/>
                      <w:color w:val="000000" w:themeColor="text1"/>
                      <w:sz w:val="21"/>
                      <w:szCs w:val="21"/>
                      <w:u w:val="none" w:color="auto"/>
                      <w14:textFill>
                        <w14:solidFill>
                          <w14:schemeClr w14:val="tx1"/>
                        </w14:solidFill>
                      </w14:textFill>
                    </w:rPr>
                    <w:t>（6）</w:t>
                  </w:r>
                </w:p>
              </w:tc>
              <w:tc>
                <w:tcPr>
                  <w:tcW w:w="95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60.1</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（66.3）</w:t>
                  </w:r>
                </w:p>
              </w:tc>
              <w:tc>
                <w:tcPr>
                  <w:tcW w:w="1058"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7</w:t>
                  </w:r>
                  <w:r>
                    <w:rPr>
                      <w:rFonts w:hint="default" w:ascii="Times New Roman" w:hAnsi="Times New Roman" w:cs="Times New Roman"/>
                      <w:color w:val="000000" w:themeColor="text1"/>
                      <w:sz w:val="21"/>
                      <w:szCs w:val="21"/>
                      <w:u w:val="none" w:color="auto"/>
                      <w14:textFill>
                        <w14:solidFill>
                          <w14:schemeClr w14:val="tx1"/>
                        </w14:solidFill>
                      </w14:textFill>
                    </w:rPr>
                    <w:t>（6）</w:t>
                  </w:r>
                </w:p>
              </w:tc>
              <w:tc>
                <w:tcPr>
                  <w:tcW w:w="90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66.2</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（66.3）</w:t>
                  </w:r>
                </w:p>
              </w:tc>
              <w:tc>
                <w:tcPr>
                  <w:tcW w:w="102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7</w:t>
                  </w:r>
                  <w:r>
                    <w:rPr>
                      <w:rFonts w:hint="default" w:ascii="Times New Roman" w:hAnsi="Times New Roman" w:cs="Times New Roman"/>
                      <w:color w:val="000000" w:themeColor="text1"/>
                      <w:sz w:val="21"/>
                      <w:szCs w:val="21"/>
                      <w:u w:val="none" w:color="auto"/>
                      <w14:textFill>
                        <w14:solidFill>
                          <w14:schemeClr w14:val="tx1"/>
                        </w14:solidFill>
                      </w14:textFill>
                    </w:rPr>
                    <w:t>（6）</w:t>
                  </w:r>
                </w:p>
              </w:tc>
              <w:tc>
                <w:tcPr>
                  <w:tcW w:w="962"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37.6（40.5）</w:t>
                  </w:r>
                </w:p>
              </w:tc>
              <w:tc>
                <w:tcPr>
                  <w:tcW w:w="68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4</w:t>
                  </w:r>
                </w:p>
              </w:tc>
              <w:tc>
                <w:tcPr>
                  <w:tcW w:w="2031" w:type="dxa"/>
                  <w:gridSpan w:val="3"/>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甲、乙类物品生产厂房、库房和甲、乙类液体储罐</w:t>
                  </w:r>
                </w:p>
              </w:tc>
              <w:tc>
                <w:tcPr>
                  <w:tcW w:w="105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12.5</w:t>
                  </w:r>
                  <w:r>
                    <w:rPr>
                      <w:rFonts w:hint="default" w:ascii="Times New Roman" w:hAnsi="Times New Roman" w:cs="Times New Roman"/>
                      <w:color w:val="000000" w:themeColor="text1"/>
                      <w:sz w:val="21"/>
                      <w:szCs w:val="21"/>
                      <w:u w:val="none" w:color="auto"/>
                      <w14:textFill>
                        <w14:solidFill>
                          <w14:schemeClr w14:val="tx1"/>
                        </w14:solidFill>
                      </w14:textFill>
                    </w:rPr>
                    <w:t>（</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9</w:t>
                  </w:r>
                  <w:r>
                    <w:rPr>
                      <w:rFonts w:hint="default" w:ascii="Times New Roman" w:hAnsi="Times New Roman" w:cs="Times New Roman"/>
                      <w:color w:val="000000" w:themeColor="text1"/>
                      <w:sz w:val="21"/>
                      <w:szCs w:val="21"/>
                      <w:u w:val="none" w:color="auto"/>
                      <w14:textFill>
                        <w14:solidFill>
                          <w14:schemeClr w14:val="tx1"/>
                        </w14:solidFill>
                      </w14:textFill>
                    </w:rPr>
                    <w:t>）</w:t>
                  </w:r>
                </w:p>
              </w:tc>
              <w:tc>
                <w:tcPr>
                  <w:tcW w:w="95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1058"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12.5</w:t>
                  </w:r>
                  <w:r>
                    <w:rPr>
                      <w:rFonts w:hint="default" w:ascii="Times New Roman" w:hAnsi="Times New Roman" w:cs="Times New Roman"/>
                      <w:color w:val="000000" w:themeColor="text1"/>
                      <w:sz w:val="21"/>
                      <w:szCs w:val="21"/>
                      <w:u w:val="none" w:color="auto"/>
                      <w14:textFill>
                        <w14:solidFill>
                          <w14:schemeClr w14:val="tx1"/>
                        </w14:solidFill>
                      </w14:textFill>
                    </w:rPr>
                    <w:t>（</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9</w:t>
                  </w:r>
                  <w:r>
                    <w:rPr>
                      <w:rFonts w:hint="default" w:ascii="Times New Roman" w:hAnsi="Times New Roman" w:cs="Times New Roman"/>
                      <w:color w:val="000000" w:themeColor="text1"/>
                      <w:sz w:val="21"/>
                      <w:szCs w:val="21"/>
                      <w:u w:val="none" w:color="auto"/>
                      <w14:textFill>
                        <w14:solidFill>
                          <w14:schemeClr w14:val="tx1"/>
                        </w14:solidFill>
                      </w14:textFill>
                    </w:rPr>
                    <w:t>）</w:t>
                  </w:r>
                </w:p>
              </w:tc>
              <w:tc>
                <w:tcPr>
                  <w:tcW w:w="90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102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12.5</w:t>
                  </w:r>
                  <w:r>
                    <w:rPr>
                      <w:rFonts w:hint="default" w:ascii="Times New Roman" w:hAnsi="Times New Roman" w:cs="Times New Roman"/>
                      <w:color w:val="000000" w:themeColor="text1"/>
                      <w:sz w:val="21"/>
                      <w:szCs w:val="21"/>
                      <w:u w:val="none" w:color="auto"/>
                      <w14:textFill>
                        <w14:solidFill>
                          <w14:schemeClr w14:val="tx1"/>
                        </w14:solidFill>
                      </w14:textFill>
                    </w:rPr>
                    <w:t>（</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9</w:t>
                  </w:r>
                  <w:r>
                    <w:rPr>
                      <w:rFonts w:hint="default" w:ascii="Times New Roman" w:hAnsi="Times New Roman" w:cs="Times New Roman"/>
                      <w:color w:val="000000" w:themeColor="text1"/>
                      <w:sz w:val="21"/>
                      <w:szCs w:val="21"/>
                      <w:u w:val="none" w:color="auto"/>
                      <w14:textFill>
                        <w14:solidFill>
                          <w14:schemeClr w14:val="tx1"/>
                        </w14:solidFill>
                      </w14:textFill>
                    </w:rPr>
                    <w:t>）</w:t>
                  </w:r>
                </w:p>
              </w:tc>
              <w:tc>
                <w:tcPr>
                  <w:tcW w:w="962"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68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5</w:t>
                  </w:r>
                </w:p>
              </w:tc>
              <w:tc>
                <w:tcPr>
                  <w:tcW w:w="2031" w:type="dxa"/>
                  <w:gridSpan w:val="3"/>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其它类物品生产厂房库房和丙类液体储罐以及容积不大于50m</w:t>
                  </w:r>
                  <w:r>
                    <w:rPr>
                      <w:rFonts w:hint="default" w:ascii="Times New Roman" w:hAnsi="Times New Roman" w:cs="Times New Roman"/>
                      <w:color w:val="000000" w:themeColor="text1"/>
                      <w:sz w:val="21"/>
                      <w:szCs w:val="21"/>
                      <w:u w:val="none" w:color="auto"/>
                      <w:vertAlign w:val="superscript"/>
                      <w14:textFill>
                        <w14:solidFill>
                          <w14:schemeClr w14:val="tx1"/>
                        </w14:solidFill>
                      </w14:textFill>
                    </w:rPr>
                    <w:t>3</w:t>
                  </w:r>
                  <w:r>
                    <w:rPr>
                      <w:rFonts w:hint="default" w:ascii="Times New Roman" w:hAnsi="Times New Roman" w:cs="Times New Roman"/>
                      <w:color w:val="000000" w:themeColor="text1"/>
                      <w:sz w:val="21"/>
                      <w:szCs w:val="21"/>
                      <w:u w:val="none" w:color="auto"/>
                      <w14:textFill>
                        <w14:solidFill>
                          <w14:schemeClr w14:val="tx1"/>
                        </w14:solidFill>
                      </w14:textFill>
                    </w:rPr>
                    <w:t>的埋地甲、乙类液体储罐</w:t>
                  </w:r>
                </w:p>
              </w:tc>
              <w:tc>
                <w:tcPr>
                  <w:tcW w:w="105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10.5</w:t>
                  </w:r>
                  <w:r>
                    <w:rPr>
                      <w:rFonts w:hint="default" w:ascii="Times New Roman" w:hAnsi="Times New Roman" w:cs="Times New Roman"/>
                      <w:color w:val="000000" w:themeColor="text1"/>
                      <w:sz w:val="21"/>
                      <w:szCs w:val="21"/>
                      <w:u w:val="none" w:color="auto"/>
                      <w14:textFill>
                        <w14:solidFill>
                          <w14:schemeClr w14:val="tx1"/>
                        </w14:solidFill>
                      </w14:textFill>
                    </w:rPr>
                    <w:t>（9）</w:t>
                  </w:r>
                </w:p>
              </w:tc>
              <w:tc>
                <w:tcPr>
                  <w:tcW w:w="95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72.7（78.7）</w:t>
                  </w:r>
                </w:p>
              </w:tc>
              <w:tc>
                <w:tcPr>
                  <w:tcW w:w="1058"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10.5</w:t>
                  </w:r>
                  <w:r>
                    <w:rPr>
                      <w:rFonts w:hint="default" w:ascii="Times New Roman" w:hAnsi="Times New Roman" w:cs="Times New Roman"/>
                      <w:color w:val="000000" w:themeColor="text1"/>
                      <w:sz w:val="21"/>
                      <w:szCs w:val="21"/>
                      <w:u w:val="none" w:color="auto"/>
                      <w14:textFill>
                        <w14:solidFill>
                          <w14:schemeClr w14:val="tx1"/>
                        </w14:solidFill>
                      </w14:textFill>
                    </w:rPr>
                    <w:t>（9）</w:t>
                  </w:r>
                </w:p>
              </w:tc>
              <w:tc>
                <w:tcPr>
                  <w:tcW w:w="90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79.8（80.1）</w:t>
                  </w:r>
                </w:p>
              </w:tc>
              <w:tc>
                <w:tcPr>
                  <w:tcW w:w="102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10.5</w:t>
                  </w:r>
                  <w:r>
                    <w:rPr>
                      <w:rFonts w:hint="default" w:ascii="Times New Roman" w:hAnsi="Times New Roman" w:cs="Times New Roman"/>
                      <w:color w:val="000000" w:themeColor="text1"/>
                      <w:sz w:val="21"/>
                      <w:szCs w:val="21"/>
                      <w:u w:val="none" w:color="auto"/>
                      <w14:textFill>
                        <w14:solidFill>
                          <w14:schemeClr w14:val="tx1"/>
                        </w14:solidFill>
                      </w14:textFill>
                    </w:rPr>
                    <w:t>（9）</w:t>
                  </w:r>
                </w:p>
              </w:tc>
              <w:tc>
                <w:tcPr>
                  <w:tcW w:w="962"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48.5（47.8）</w:t>
                  </w:r>
                </w:p>
              </w:tc>
              <w:tc>
                <w:tcPr>
                  <w:tcW w:w="68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6</w:t>
                  </w:r>
                </w:p>
              </w:tc>
              <w:tc>
                <w:tcPr>
                  <w:tcW w:w="2031" w:type="dxa"/>
                  <w:gridSpan w:val="3"/>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室外变配电站</w:t>
                  </w:r>
                </w:p>
              </w:tc>
              <w:tc>
                <w:tcPr>
                  <w:tcW w:w="105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12.5</w:t>
                  </w:r>
                  <w:r>
                    <w:rPr>
                      <w:rFonts w:hint="default" w:ascii="Times New Roman" w:hAnsi="Times New Roman" w:cs="Times New Roman"/>
                      <w:color w:val="000000" w:themeColor="text1"/>
                      <w:sz w:val="21"/>
                      <w:szCs w:val="21"/>
                      <w:u w:val="none" w:color="auto"/>
                      <w14:textFill>
                        <w14:solidFill>
                          <w14:schemeClr w14:val="tx1"/>
                        </w14:solidFill>
                      </w14:textFill>
                    </w:rPr>
                    <w:t>（12.5）</w:t>
                  </w:r>
                </w:p>
              </w:tc>
              <w:tc>
                <w:tcPr>
                  <w:tcW w:w="95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1058"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12.5</w:t>
                  </w:r>
                  <w:r>
                    <w:rPr>
                      <w:rFonts w:hint="default" w:ascii="Times New Roman" w:hAnsi="Times New Roman" w:cs="Times New Roman"/>
                      <w:color w:val="000000" w:themeColor="text1"/>
                      <w:sz w:val="21"/>
                      <w:szCs w:val="21"/>
                      <w:u w:val="none" w:color="auto"/>
                      <w14:textFill>
                        <w14:solidFill>
                          <w14:schemeClr w14:val="tx1"/>
                        </w14:solidFill>
                      </w14:textFill>
                    </w:rPr>
                    <w:t>（12.5）</w:t>
                  </w:r>
                </w:p>
              </w:tc>
              <w:tc>
                <w:tcPr>
                  <w:tcW w:w="9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102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12.5</w:t>
                  </w:r>
                  <w:r>
                    <w:rPr>
                      <w:rFonts w:hint="default" w:ascii="Times New Roman" w:hAnsi="Times New Roman" w:cs="Times New Roman"/>
                      <w:color w:val="000000" w:themeColor="text1"/>
                      <w:sz w:val="21"/>
                      <w:szCs w:val="21"/>
                      <w:u w:val="none" w:color="auto"/>
                      <w14:textFill>
                        <w14:solidFill>
                          <w14:schemeClr w14:val="tx1"/>
                        </w14:solidFill>
                      </w14:textFill>
                    </w:rPr>
                    <w:t>（12.5）</w:t>
                  </w:r>
                </w:p>
              </w:tc>
              <w:tc>
                <w:tcPr>
                  <w:tcW w:w="962"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68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7</w:t>
                  </w:r>
                </w:p>
              </w:tc>
              <w:tc>
                <w:tcPr>
                  <w:tcW w:w="2031" w:type="dxa"/>
                  <w:gridSpan w:val="3"/>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地铁、地上城市轨道线路</w:t>
                  </w:r>
                </w:p>
              </w:tc>
              <w:tc>
                <w:tcPr>
                  <w:tcW w:w="105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15.5（15）</w:t>
                  </w:r>
                </w:p>
              </w:tc>
              <w:tc>
                <w:tcPr>
                  <w:tcW w:w="95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1058"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15.5（15）</w:t>
                  </w:r>
                </w:p>
              </w:tc>
              <w:tc>
                <w:tcPr>
                  <w:tcW w:w="90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102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15.5（15）</w:t>
                  </w:r>
                </w:p>
              </w:tc>
              <w:tc>
                <w:tcPr>
                  <w:tcW w:w="962"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68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8</w:t>
                  </w:r>
                </w:p>
              </w:tc>
              <w:tc>
                <w:tcPr>
                  <w:tcW w:w="2031" w:type="dxa"/>
                  <w:gridSpan w:val="3"/>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城市快速路、主干路和高速公路、一级公路、二级公路</w:t>
                  </w:r>
                </w:p>
              </w:tc>
              <w:tc>
                <w:tcPr>
                  <w:tcW w:w="105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5.5（3）</w:t>
                  </w:r>
                </w:p>
              </w:tc>
              <w:tc>
                <w:tcPr>
                  <w:tcW w:w="95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63.9（65.1）</w:t>
                  </w:r>
                </w:p>
              </w:tc>
              <w:tc>
                <w:tcPr>
                  <w:tcW w:w="1058"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5.5（3）</w:t>
                  </w:r>
                </w:p>
              </w:tc>
              <w:tc>
                <w:tcPr>
                  <w:tcW w:w="90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70.6（70.6）</w:t>
                  </w:r>
                </w:p>
              </w:tc>
              <w:tc>
                <w:tcPr>
                  <w:tcW w:w="102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5.5（3）</w:t>
                  </w:r>
                </w:p>
              </w:tc>
              <w:tc>
                <w:tcPr>
                  <w:tcW w:w="962"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51.1（39.2）</w:t>
                  </w:r>
                </w:p>
              </w:tc>
              <w:tc>
                <w:tcPr>
                  <w:tcW w:w="68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9</w:t>
                  </w:r>
                </w:p>
              </w:tc>
              <w:tc>
                <w:tcPr>
                  <w:tcW w:w="2031" w:type="dxa"/>
                  <w:gridSpan w:val="3"/>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城市次干路、支路和三级公路、四级公路</w:t>
                  </w:r>
                </w:p>
              </w:tc>
              <w:tc>
                <w:tcPr>
                  <w:tcW w:w="105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5（3）</w:t>
                  </w:r>
                </w:p>
              </w:tc>
              <w:tc>
                <w:tcPr>
                  <w:tcW w:w="95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1058"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5（3）</w:t>
                  </w:r>
                </w:p>
              </w:tc>
              <w:tc>
                <w:tcPr>
                  <w:tcW w:w="90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102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5（3）</w:t>
                  </w:r>
                </w:p>
              </w:tc>
              <w:tc>
                <w:tcPr>
                  <w:tcW w:w="962"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68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10</w:t>
                  </w:r>
                </w:p>
              </w:tc>
              <w:tc>
                <w:tcPr>
                  <w:tcW w:w="2031" w:type="dxa"/>
                  <w:gridSpan w:val="3"/>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架空通信线</w:t>
                  </w:r>
                </w:p>
              </w:tc>
              <w:tc>
                <w:tcPr>
                  <w:tcW w:w="105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5（3）</w:t>
                  </w:r>
                </w:p>
              </w:tc>
              <w:tc>
                <w:tcPr>
                  <w:tcW w:w="95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1058"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5（3）</w:t>
                  </w:r>
                </w:p>
              </w:tc>
              <w:tc>
                <w:tcPr>
                  <w:tcW w:w="90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102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5（3）</w:t>
                  </w:r>
                </w:p>
              </w:tc>
              <w:tc>
                <w:tcPr>
                  <w:tcW w:w="962"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68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dxa"/>
                  <w:vMerge w:val="restart"/>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11</w:t>
                  </w:r>
                </w:p>
              </w:tc>
              <w:tc>
                <w:tcPr>
                  <w:tcW w:w="713" w:type="dxa"/>
                  <w:vMerge w:val="restart"/>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架空电力线路</w:t>
                  </w:r>
                </w:p>
              </w:tc>
              <w:tc>
                <w:tcPr>
                  <w:tcW w:w="1318" w:type="dxa"/>
                  <w:gridSpan w:val="2"/>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无绝缘层</w:t>
                  </w:r>
                </w:p>
              </w:tc>
              <w:tc>
                <w:tcPr>
                  <w:tcW w:w="105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6.5</w:t>
                  </w:r>
                  <w:r>
                    <w:rPr>
                      <w:rFonts w:hint="default" w:ascii="Times New Roman" w:hAnsi="Times New Roman" w:cs="Times New Roman"/>
                      <w:color w:val="000000" w:themeColor="text1"/>
                      <w:sz w:val="21"/>
                      <w:szCs w:val="21"/>
                      <w:u w:val="none" w:color="auto"/>
                      <w14:textFill>
                        <w14:solidFill>
                          <w14:schemeClr w14:val="tx1"/>
                        </w14:solidFill>
                      </w14:textFill>
                    </w:rPr>
                    <w:t>（</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6.5</w:t>
                  </w:r>
                  <w:r>
                    <w:rPr>
                      <w:rFonts w:hint="default" w:ascii="Times New Roman" w:hAnsi="Times New Roman" w:cs="Times New Roman"/>
                      <w:color w:val="000000" w:themeColor="text1"/>
                      <w:sz w:val="21"/>
                      <w:szCs w:val="21"/>
                      <w:u w:val="none" w:color="auto"/>
                      <w14:textFill>
                        <w14:solidFill>
                          <w14:schemeClr w14:val="tx1"/>
                        </w14:solidFill>
                      </w14:textFill>
                    </w:rPr>
                    <w:t>）</w:t>
                  </w:r>
                </w:p>
              </w:tc>
              <w:tc>
                <w:tcPr>
                  <w:tcW w:w="95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1058"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6.5</w:t>
                  </w:r>
                  <w:r>
                    <w:rPr>
                      <w:rFonts w:hint="default" w:ascii="Times New Roman" w:hAnsi="Times New Roman" w:cs="Times New Roman"/>
                      <w:color w:val="000000" w:themeColor="text1"/>
                      <w:sz w:val="21"/>
                      <w:szCs w:val="21"/>
                      <w:u w:val="none" w:color="auto"/>
                      <w14:textFill>
                        <w14:solidFill>
                          <w14:schemeClr w14:val="tx1"/>
                        </w14:solidFill>
                      </w14:textFill>
                    </w:rPr>
                    <w:t>（</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6.5</w:t>
                  </w:r>
                  <w:r>
                    <w:rPr>
                      <w:rFonts w:hint="default" w:ascii="Times New Roman" w:hAnsi="Times New Roman" w:cs="Times New Roman"/>
                      <w:color w:val="000000" w:themeColor="text1"/>
                      <w:sz w:val="21"/>
                      <w:szCs w:val="21"/>
                      <w:u w:val="none" w:color="auto"/>
                      <w14:textFill>
                        <w14:solidFill>
                          <w14:schemeClr w14:val="tx1"/>
                        </w14:solidFill>
                      </w14:textFill>
                    </w:rPr>
                    <w:t>）</w:t>
                  </w:r>
                </w:p>
              </w:tc>
              <w:tc>
                <w:tcPr>
                  <w:tcW w:w="90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102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6.5</w:t>
                  </w:r>
                  <w:r>
                    <w:rPr>
                      <w:rFonts w:hint="default" w:ascii="Times New Roman" w:hAnsi="Times New Roman" w:cs="Times New Roman"/>
                      <w:color w:val="000000" w:themeColor="text1"/>
                      <w:sz w:val="21"/>
                      <w:szCs w:val="21"/>
                      <w:u w:val="none" w:color="auto"/>
                      <w14:textFill>
                        <w14:solidFill>
                          <w14:schemeClr w14:val="tx1"/>
                        </w14:solidFill>
                      </w14:textFill>
                    </w:rPr>
                    <w:t>（</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6.5</w:t>
                  </w:r>
                  <w:r>
                    <w:rPr>
                      <w:rFonts w:hint="default" w:ascii="Times New Roman" w:hAnsi="Times New Roman" w:cs="Times New Roman"/>
                      <w:color w:val="000000" w:themeColor="text1"/>
                      <w:sz w:val="21"/>
                      <w:szCs w:val="21"/>
                      <w:u w:val="none" w:color="auto"/>
                      <w14:textFill>
                        <w14:solidFill>
                          <w14:schemeClr w14:val="tx1"/>
                        </w14:solidFill>
                      </w14:textFill>
                    </w:rPr>
                    <w:t>）</w:t>
                  </w:r>
                </w:p>
              </w:tc>
              <w:tc>
                <w:tcPr>
                  <w:tcW w:w="962"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无</w:t>
                  </w:r>
                </w:p>
              </w:tc>
              <w:tc>
                <w:tcPr>
                  <w:tcW w:w="68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3"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p>
              </w:tc>
              <w:tc>
                <w:tcPr>
                  <w:tcW w:w="713" w:type="dxa"/>
                  <w:vMerge w:val="continue"/>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p>
              </w:tc>
              <w:tc>
                <w:tcPr>
                  <w:tcW w:w="1318" w:type="dxa"/>
                  <w:gridSpan w:val="2"/>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有绝缘层</w:t>
                  </w:r>
                </w:p>
              </w:tc>
              <w:tc>
                <w:tcPr>
                  <w:tcW w:w="105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5</w:t>
                  </w:r>
                  <w:r>
                    <w:rPr>
                      <w:rFonts w:hint="default" w:ascii="Times New Roman" w:hAnsi="Times New Roman" w:cs="Times New Roman"/>
                      <w:color w:val="000000" w:themeColor="text1"/>
                      <w:sz w:val="21"/>
                      <w:szCs w:val="21"/>
                      <w:u w:val="none" w:color="auto"/>
                      <w14:textFill>
                        <w14:solidFill>
                          <w14:schemeClr w14:val="tx1"/>
                        </w14:solidFill>
                      </w14:textFill>
                    </w:rPr>
                    <w:t>（</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5</w:t>
                  </w:r>
                  <w:r>
                    <w:rPr>
                      <w:rFonts w:hint="default" w:ascii="Times New Roman" w:hAnsi="Times New Roman" w:cs="Times New Roman"/>
                      <w:color w:val="000000" w:themeColor="text1"/>
                      <w:sz w:val="21"/>
                      <w:szCs w:val="21"/>
                      <w:u w:val="none" w:color="auto"/>
                      <w14:textFill>
                        <w14:solidFill>
                          <w14:schemeClr w14:val="tx1"/>
                        </w14:solidFill>
                      </w14:textFill>
                    </w:rPr>
                    <w:t>）</w:t>
                  </w:r>
                </w:p>
              </w:tc>
              <w:tc>
                <w:tcPr>
                  <w:tcW w:w="95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15.0（15.0）</w:t>
                  </w:r>
                </w:p>
              </w:tc>
              <w:tc>
                <w:tcPr>
                  <w:tcW w:w="1058"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5</w:t>
                  </w:r>
                  <w:r>
                    <w:rPr>
                      <w:rFonts w:hint="default" w:ascii="Times New Roman" w:hAnsi="Times New Roman" w:cs="Times New Roman"/>
                      <w:color w:val="000000" w:themeColor="text1"/>
                      <w:sz w:val="21"/>
                      <w:szCs w:val="21"/>
                      <w:u w:val="none" w:color="auto"/>
                      <w14:textFill>
                        <w14:solidFill>
                          <w14:schemeClr w14:val="tx1"/>
                        </w14:solidFill>
                      </w14:textFill>
                    </w:rPr>
                    <w:t>（</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5</w:t>
                  </w:r>
                  <w:r>
                    <w:rPr>
                      <w:rFonts w:hint="default" w:ascii="Times New Roman" w:hAnsi="Times New Roman" w:cs="Times New Roman"/>
                      <w:color w:val="000000" w:themeColor="text1"/>
                      <w:sz w:val="21"/>
                      <w:szCs w:val="21"/>
                      <w:u w:val="none" w:color="auto"/>
                      <w14:textFill>
                        <w14:solidFill>
                          <w14:schemeClr w14:val="tx1"/>
                        </w14:solidFill>
                      </w14:textFill>
                    </w:rPr>
                    <w:t>）</w:t>
                  </w:r>
                </w:p>
              </w:tc>
              <w:tc>
                <w:tcPr>
                  <w:tcW w:w="909"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15.0（15.0）</w:t>
                  </w:r>
                </w:p>
              </w:tc>
              <w:tc>
                <w:tcPr>
                  <w:tcW w:w="102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right="0" w:rightChars="0" w:firstLine="0" w:firstLineChars="0"/>
                    <w:jc w:val="center"/>
                    <w:textAlignment w:val="auto"/>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5</w:t>
                  </w:r>
                  <w:r>
                    <w:rPr>
                      <w:rFonts w:hint="default" w:ascii="Times New Roman" w:hAnsi="Times New Roman" w:cs="Times New Roman"/>
                      <w:color w:val="000000" w:themeColor="text1"/>
                      <w:sz w:val="21"/>
                      <w:szCs w:val="21"/>
                      <w:u w:val="none" w:color="auto"/>
                      <w14:textFill>
                        <w14:solidFill>
                          <w14:schemeClr w14:val="tx1"/>
                        </w14:solidFill>
                      </w14:textFill>
                    </w:rPr>
                    <w:t>（</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5</w:t>
                  </w:r>
                  <w:r>
                    <w:rPr>
                      <w:rFonts w:hint="default" w:ascii="Times New Roman" w:hAnsi="Times New Roman" w:cs="Times New Roman"/>
                      <w:color w:val="000000" w:themeColor="text1"/>
                      <w:sz w:val="21"/>
                      <w:szCs w:val="21"/>
                      <w:u w:val="none" w:color="auto"/>
                      <w14:textFill>
                        <w14:solidFill>
                          <w14:schemeClr w14:val="tx1"/>
                        </w14:solidFill>
                      </w14:textFill>
                    </w:rPr>
                    <w:t>）</w:t>
                  </w:r>
                </w:p>
              </w:tc>
              <w:tc>
                <w:tcPr>
                  <w:tcW w:w="962"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30.3（42.3）</w:t>
                  </w:r>
                </w:p>
              </w:tc>
              <w:tc>
                <w:tcPr>
                  <w:tcW w:w="684"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3" w:type="dxa"/>
                  <w:gridSpan w:val="11"/>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left"/>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注</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u w:val="none" w:color="auto"/>
                      <w14:textFill>
                        <w14:solidFill>
                          <w14:schemeClr w14:val="tx1"/>
                        </w14:solidFill>
                      </w14:textFill>
                    </w:rPr>
                    <w:t>1</w:t>
                  </w:r>
                  <w:r>
                    <w:rPr>
                      <w:rFonts w:hint="default" w:ascii="Times New Roman" w:hAnsi="Times New Roman" w:eastAsia="宋体" w:cs="Times New Roman"/>
                      <w:color w:val="000000" w:themeColor="text1"/>
                      <w:sz w:val="21"/>
                      <w:szCs w:val="21"/>
                      <w:u w:val="none" w:color="auto"/>
                      <w:lang w:eastAsia="zh-CN"/>
                      <w14:textFill>
                        <w14:solidFill>
                          <w14:schemeClr w14:val="tx1"/>
                        </w14:solidFill>
                      </w14:textFill>
                    </w:rPr>
                    <w:t>、</w:t>
                  </w:r>
                  <w:r>
                    <w:rPr>
                      <w:rFonts w:hint="default" w:ascii="Times New Roman" w:hAnsi="Times New Roman" w:eastAsia="宋体" w:cs="Times New Roman"/>
                      <w:color w:val="000000" w:themeColor="text1"/>
                      <w:sz w:val="21"/>
                      <w:szCs w:val="21"/>
                      <w:u w:val="none" w:color="auto"/>
                      <w14:textFill>
                        <w14:solidFill>
                          <w14:schemeClr w14:val="tx1"/>
                        </w14:solidFill>
                      </w14:textFill>
                    </w:rPr>
                    <w:t>站内汽油工艺设备是指设置有卸油和加油油气回收系统的工艺设备。</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left"/>
                    <w:textAlignment w:val="auto"/>
                    <w:rPr>
                      <w:rFonts w:hint="default" w:ascii="Times New Roman" w:hAnsi="Times New Roman" w:eastAsia="宋体"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u w:val="none" w:color="auto"/>
                      <w14:textFill>
                        <w14:solidFill>
                          <w14:schemeClr w14:val="tx1"/>
                        </w14:solidFill>
                      </w14:textFill>
                    </w:rPr>
                    <w:t>二级耐火等级民用建筑物面向加油站一侧的墙为无门窗洞口的实体墙时，油罐、加油机和通</w:t>
                  </w:r>
                </w:p>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left"/>
                    <w:textAlignment w:val="auto"/>
                    <w:rPr>
                      <w:rFonts w:hint="default" w:ascii="Times New Roman" w:hAnsi="Times New Roman" w:cs="Times New Roman"/>
                      <w:color w:val="000000" w:themeColor="text1"/>
                      <w:sz w:val="21"/>
                      <w:szCs w:val="21"/>
                      <w:u w:val="none" w:color="auto"/>
                      <w14:textFill>
                        <w14:solidFill>
                          <w14:schemeClr w14:val="tx1"/>
                        </w14:solidFill>
                      </w14:textFill>
                    </w:rPr>
                  </w:pPr>
                  <w:r>
                    <w:rPr>
                      <w:rFonts w:hint="default" w:ascii="Times New Roman" w:hAnsi="Times New Roman" w:eastAsia="宋体" w:cs="Times New Roman"/>
                      <w:color w:val="000000" w:themeColor="text1"/>
                      <w:sz w:val="21"/>
                      <w:szCs w:val="21"/>
                      <w:u w:val="none" w:color="auto"/>
                      <w14:textFill>
                        <w14:solidFill>
                          <w14:schemeClr w14:val="tx1"/>
                        </w14:solidFill>
                      </w14:textFill>
                    </w:rPr>
                    <w:t>气管管口与该民用建筑物的距离，不应低于本表规定的安全间距的70%，且不应小于6m。</w:t>
                  </w:r>
                </w:p>
              </w:tc>
            </w:tr>
            <w:bookmarkEnd w:id="2"/>
          </w:tbl>
          <w:p>
            <w:pPr>
              <w:keepNext w:val="0"/>
              <w:keepLines w:val="0"/>
              <w:pageBreakBefore w:val="0"/>
              <w:kinsoku/>
              <w:wordWrap/>
              <w:overflowPunct/>
              <w:topLinePunct w:val="0"/>
              <w:autoSpaceDE w:val="0"/>
              <w:autoSpaceDN w:val="0"/>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u w:val="none"/>
                <w14:textFill>
                  <w14:solidFill>
                    <w14:schemeClr w14:val="tx1"/>
                  </w14:solidFill>
                </w14:textFill>
              </w:rPr>
            </w:pPr>
            <w:r>
              <w:rPr>
                <w:rFonts w:hint="default" w:ascii="Times New Roman" w:hAnsi="Times New Roman" w:cs="Times New Roman"/>
                <w:color w:val="000000" w:themeColor="text1"/>
                <w:sz w:val="24"/>
                <w:szCs w:val="24"/>
                <w:u w:val="none"/>
                <w14:textFill>
                  <w14:solidFill>
                    <w14:schemeClr w14:val="tx1"/>
                  </w14:solidFill>
                </w14:textFill>
              </w:rPr>
              <w:t>由</w:t>
            </w:r>
            <w:r>
              <w:rPr>
                <w:rFonts w:hint="default" w:ascii="Times New Roman" w:hAnsi="Times New Roman" w:cs="Times New Roman"/>
                <w:color w:val="000000" w:themeColor="text1"/>
                <w:sz w:val="24"/>
                <w:szCs w:val="24"/>
                <w:u w:val="none"/>
                <w:lang w:val="en-US" w:eastAsia="zh-CN"/>
                <w14:textFill>
                  <w14:solidFill>
                    <w14:schemeClr w14:val="tx1"/>
                  </w14:solidFill>
                </w14:textFill>
              </w:rPr>
              <w:t>上表</w:t>
            </w:r>
            <w:r>
              <w:rPr>
                <w:rFonts w:hint="default" w:ascii="Times New Roman" w:hAnsi="Times New Roman" w:cs="Times New Roman"/>
                <w:color w:val="000000" w:themeColor="text1"/>
                <w:sz w:val="24"/>
                <w:szCs w:val="24"/>
                <w:u w:val="none"/>
                <w14:textFill>
                  <w14:solidFill>
                    <w14:schemeClr w14:val="tx1"/>
                  </w14:solidFill>
                </w14:textFill>
              </w:rPr>
              <w:t>可知，本项目选址符合《汽车加油加气加氢站技术标准》</w:t>
            </w:r>
            <w:r>
              <w:rPr>
                <w:rFonts w:hint="default" w:ascii="Times New Roman" w:hAnsi="Times New Roman" w:cs="Times New Roman"/>
                <w:color w:val="000000" w:themeColor="text1"/>
                <w:sz w:val="24"/>
                <w:szCs w:val="24"/>
                <w:u w:val="none"/>
                <w:lang w:eastAsia="zh-CN"/>
                <w14:textFill>
                  <w14:solidFill>
                    <w14:schemeClr w14:val="tx1"/>
                  </w14:solidFill>
                </w14:textFill>
              </w:rPr>
              <w:t>（</w:t>
            </w:r>
            <w:r>
              <w:rPr>
                <w:rFonts w:hint="default" w:ascii="Times New Roman" w:hAnsi="Times New Roman" w:cs="Times New Roman"/>
                <w:color w:val="000000" w:themeColor="text1"/>
                <w:sz w:val="24"/>
                <w:szCs w:val="24"/>
                <w:u w:val="none"/>
                <w14:textFill>
                  <w14:solidFill>
                    <w14:schemeClr w14:val="tx1"/>
                  </w14:solidFill>
                </w14:textFill>
              </w:rPr>
              <w:t>GB50156-2021</w:t>
            </w:r>
            <w:r>
              <w:rPr>
                <w:rFonts w:hint="default" w:ascii="Times New Roman" w:hAnsi="Times New Roman" w:cs="Times New Roman"/>
                <w:color w:val="000000" w:themeColor="text1"/>
                <w:sz w:val="24"/>
                <w:szCs w:val="24"/>
                <w:u w:val="none"/>
                <w:lang w:eastAsia="zh-CN"/>
                <w14:textFill>
                  <w14:solidFill>
                    <w14:schemeClr w14:val="tx1"/>
                  </w14:solidFill>
                </w14:textFill>
              </w:rPr>
              <w:t>）</w:t>
            </w:r>
            <w:r>
              <w:rPr>
                <w:rFonts w:hint="default" w:ascii="Times New Roman" w:hAnsi="Times New Roman" w:cs="Times New Roman"/>
                <w:color w:val="000000" w:themeColor="text1"/>
                <w:sz w:val="24"/>
                <w:szCs w:val="24"/>
                <w:u w:val="none"/>
                <w14:textFill>
                  <w14:solidFill>
                    <w14:schemeClr w14:val="tx1"/>
                  </w14:solidFill>
                </w14:textFill>
              </w:rPr>
              <w:t>中站址选择的规定要求。</w:t>
            </w:r>
          </w:p>
          <w:p>
            <w:pPr>
              <w:keepNext w:val="0"/>
              <w:keepLines w:val="0"/>
              <w:pageBreakBefore w:val="0"/>
              <w:widowControl/>
              <w:kinsoku/>
              <w:wordWrap/>
              <w:overflowPunct/>
              <w:topLinePunct w:val="0"/>
              <w:autoSpaceDE/>
              <w:autoSpaceDN/>
              <w:bidi w:val="0"/>
              <w:spacing w:line="480" w:lineRule="exact"/>
              <w:ind w:firstLine="482" w:firstLineChars="200"/>
              <w:textAlignment w:val="auto"/>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7、与</w:t>
            </w:r>
            <w:r>
              <w:rPr>
                <w:rFonts w:hint="default" w:ascii="Times New Roman" w:hAnsi="Times New Roman" w:eastAsia="宋体" w:cs="Times New Roman"/>
                <w:b/>
                <w:bCs/>
                <w:color w:val="000000" w:themeColor="text1"/>
                <w:sz w:val="24"/>
                <w:szCs w:val="24"/>
                <w14:textFill>
                  <w14:solidFill>
                    <w14:schemeClr w14:val="tx1"/>
                  </w14:solidFill>
                </w14:textFill>
              </w:rPr>
              <w:t>关于印发《“十三五”挥发性有机物污染防治工作方案》的通知</w:t>
            </w:r>
            <w:r>
              <w:rPr>
                <w:rFonts w:hint="default" w:ascii="Times New Roman" w:hAnsi="Times New Roman" w:eastAsia="宋体" w:cs="Times New Roman"/>
                <w:b/>
                <w:bCs/>
                <w:color w:val="000000" w:themeColor="text1"/>
                <w:sz w:val="24"/>
                <w:szCs w:val="24"/>
                <w:lang w:eastAsia="zh-CN"/>
                <w14:textFill>
                  <w14:solidFill>
                    <w14:schemeClr w14:val="tx1"/>
                  </w14:solidFill>
                </w14:textFill>
              </w:rPr>
              <w:t>（</w:t>
            </w:r>
            <w:r>
              <w:rPr>
                <w:rFonts w:hint="default" w:ascii="Times New Roman" w:hAnsi="Times New Roman" w:eastAsia="宋体" w:cs="Times New Roman"/>
                <w:b/>
                <w:bCs/>
                <w:color w:val="000000" w:themeColor="text1"/>
                <w:sz w:val="24"/>
                <w:szCs w:val="24"/>
                <w14:textFill>
                  <w14:solidFill>
                    <w14:schemeClr w14:val="tx1"/>
                  </w14:solidFill>
                </w14:textFill>
              </w:rPr>
              <w:t>环大气〔2017〕121号</w:t>
            </w:r>
            <w:r>
              <w:rPr>
                <w:rFonts w:hint="default" w:ascii="Times New Roman" w:hAnsi="Times New Roman" w:eastAsia="宋体" w:cs="Times New Roman"/>
                <w:b/>
                <w:bCs/>
                <w:color w:val="000000" w:themeColor="text1"/>
                <w:sz w:val="24"/>
                <w:szCs w:val="24"/>
                <w:lang w:eastAsia="zh-CN"/>
                <w14:textFill>
                  <w14:solidFill>
                    <w14:schemeClr w14:val="tx1"/>
                  </w14:solidFill>
                </w14:textFill>
              </w:rPr>
              <w:t>）</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的相符性分析</w:t>
            </w:r>
          </w:p>
          <w:p>
            <w:pPr>
              <w:keepNext w:val="0"/>
              <w:keepLines w:val="0"/>
              <w:pageBreakBefore w:val="0"/>
              <w:widowControl/>
              <w:kinsoku/>
              <w:wordWrap/>
              <w:overflowPunct/>
              <w:topLinePunct w:val="0"/>
              <w:autoSpaceDE/>
              <w:autoSpaceDN/>
              <w:bidi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根据关于印发《“十三五”挥发性有机物污染防治工作方案》的通知</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环大气〔2017〕121号</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相关要求，项目与该文件的相符性分析见下表。</w:t>
            </w:r>
          </w:p>
          <w:p>
            <w:pPr>
              <w:pStyle w:val="15"/>
              <w:keepNext w:val="0"/>
              <w:keepLines w:val="0"/>
              <w:pageBreakBefore w:val="0"/>
              <w:widowControl w:val="0"/>
              <w:kinsoku/>
              <w:wordWrap/>
              <w:overflowPunct/>
              <w:topLinePunct w:val="0"/>
              <w:autoSpaceDE/>
              <w:autoSpaceDN/>
              <w:bidi w:val="0"/>
              <w:spacing w:line="400" w:lineRule="exact"/>
              <w:ind w:left="0" w:firstLine="482"/>
              <w:textAlignment w:val="auto"/>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t>表8           与《“十三五”挥发性有机物污染防治工作方案》相符性分析</w:t>
            </w:r>
          </w:p>
          <w:tbl>
            <w:tblPr>
              <w:tblStyle w:val="37"/>
              <w:tblW w:w="930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032"/>
              <w:gridCol w:w="2268"/>
              <w:gridCol w:w="88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0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文件</w:t>
                  </w:r>
                  <w:r>
                    <w:rPr>
                      <w:rFonts w:hint="default" w:ascii="Times New Roman" w:hAnsi="Times New Roman" w:eastAsia="宋体" w:cs="Times New Roman"/>
                      <w:b/>
                      <w:bCs/>
                      <w:color w:val="000000" w:themeColor="text1"/>
                      <w:sz w:val="21"/>
                      <w:szCs w:val="21"/>
                      <w14:textFill>
                        <w14:solidFill>
                          <w14:schemeClr w14:val="tx1"/>
                        </w14:solidFill>
                      </w14:textFill>
                    </w:rPr>
                    <w:t>要求</w:t>
                  </w:r>
                </w:p>
              </w:tc>
              <w:tc>
                <w:tcPr>
                  <w:tcW w:w="226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项目建设情况</w:t>
                  </w:r>
                </w:p>
              </w:tc>
              <w:tc>
                <w:tcPr>
                  <w:tcW w:w="88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0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ind w:firstLine="422" w:firstLineChars="20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2.全面加强油品储运销油气回收治理。</w:t>
                  </w:r>
                  <w:r>
                    <w:rPr>
                      <w:rFonts w:hint="default" w:ascii="Times New Roman" w:hAnsi="Times New Roman" w:eastAsia="宋体" w:cs="Times New Roman"/>
                      <w:color w:val="000000" w:themeColor="text1"/>
                      <w:sz w:val="21"/>
                      <w:szCs w:val="21"/>
                      <w14:textFill>
                        <w14:solidFill>
                          <w14:schemeClr w14:val="tx1"/>
                        </w14:solidFill>
                      </w14:textFill>
                    </w:rPr>
                    <w:t>全面加强汽油储运销油气排放控制，重点地区逐步推进港口储存和装卸、油品装船油气回收治理任务。</w:t>
                  </w:r>
                </w:p>
                <w:p>
                  <w:pPr>
                    <w:keepNext w:val="0"/>
                    <w:keepLines w:val="0"/>
                    <w:pageBreakBefore w:val="0"/>
                    <w:widowControl/>
                    <w:kinsoku/>
                    <w:wordWrap/>
                    <w:overflowPunct/>
                    <w:topLinePunct w:val="0"/>
                    <w:autoSpaceDE/>
                    <w:autoSpaceDN/>
                    <w:bidi w:val="0"/>
                    <w:adjustRightInd/>
                    <w:snapToGrid/>
                    <w:spacing w:line="400" w:lineRule="exact"/>
                    <w:ind w:firstLine="420" w:firstLineChars="20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加强汽油储运销油气排放控制。减少油品周转次数。严格按照排放标准要求，加快完成加油站、储油库、油罐车油气回收治理工作，重点地区全面推进行政区域内所有加油站油气回收治理。建设油气回收自动监测系统平台，储油库和年销售汽油量大于5000吨的加油站加快安装油气回收自动监测设备。制定加油站、储油库油气回收自动监测系统技术规范，企业要加强对油气回收系统外观检测和仪器检测，确保油气回收系统正常运转。</w:t>
                  </w:r>
                </w:p>
              </w:tc>
              <w:tc>
                <w:tcPr>
                  <w:tcW w:w="226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ind w:firstLine="420" w:firstLineChars="20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本项目</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为加油站</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改扩建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项目，</w:t>
                  </w:r>
                  <w:r>
                    <w:rPr>
                      <w:rFonts w:hint="default" w:ascii="Times New Roman" w:hAnsi="Times New Roman" w:eastAsia="宋体" w:cs="Times New Roman"/>
                      <w:color w:val="000000" w:themeColor="text1"/>
                      <w:sz w:val="21"/>
                      <w:szCs w:val="21"/>
                      <w:highlight w:val="none"/>
                      <w14:textFill>
                        <w14:solidFill>
                          <w14:schemeClr w14:val="tx1"/>
                        </w14:solidFill>
                      </w14:textFill>
                    </w:rPr>
                    <w:t>卸油、储油、加油等挥发油气，以非甲烷总烃计，经油气回收设施处理</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p>
                  <w:pPr>
                    <w:keepNext w:val="0"/>
                    <w:keepLines w:val="0"/>
                    <w:pageBreakBefore w:val="0"/>
                    <w:widowControl/>
                    <w:kinsoku/>
                    <w:wordWrap/>
                    <w:overflowPunct/>
                    <w:topLinePunct w:val="0"/>
                    <w:autoSpaceDE/>
                    <w:autoSpaceDN/>
                    <w:bidi w:val="0"/>
                    <w:adjustRightInd/>
                    <w:snapToGrid/>
                    <w:spacing w:line="400" w:lineRule="exact"/>
                    <w:ind w:firstLine="420" w:firstLineChars="20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本项目汽油年销售为1100吨，小于</w:t>
                  </w:r>
                  <w:r>
                    <w:rPr>
                      <w:rFonts w:hint="default" w:ascii="Times New Roman" w:hAnsi="Times New Roman" w:eastAsia="宋体" w:cs="Times New Roman"/>
                      <w:color w:val="000000" w:themeColor="text1"/>
                      <w:sz w:val="21"/>
                      <w:szCs w:val="21"/>
                      <w14:textFill>
                        <w14:solidFill>
                          <w14:schemeClr w14:val="tx1"/>
                        </w14:solidFill>
                      </w14:textFill>
                    </w:rPr>
                    <w:t>5000吨</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不需要安装</w:t>
                  </w:r>
                  <w:r>
                    <w:rPr>
                      <w:rFonts w:hint="default" w:ascii="Times New Roman" w:hAnsi="Times New Roman" w:eastAsia="宋体" w:cs="Times New Roman"/>
                      <w:color w:val="000000" w:themeColor="text1"/>
                      <w:sz w:val="21"/>
                      <w:szCs w:val="21"/>
                      <w14:textFill>
                        <w14:solidFill>
                          <w14:schemeClr w14:val="tx1"/>
                        </w14:solidFill>
                      </w14:textFill>
                    </w:rPr>
                    <w:t>油气回收自动监测设备</w:t>
                  </w:r>
                </w:p>
              </w:tc>
              <w:tc>
                <w:tcPr>
                  <w:tcW w:w="88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bl>
          <w:p>
            <w:pPr>
              <w:keepNext w:val="0"/>
              <w:keepLines w:val="0"/>
              <w:pageBreakBefore w:val="0"/>
              <w:widowControl/>
              <w:kinsoku/>
              <w:wordWrap/>
              <w:overflowPunct/>
              <w:topLinePunct w:val="0"/>
              <w:autoSpaceDE/>
              <w:autoSpaceDN/>
              <w:bidi w:val="0"/>
              <w:spacing w:line="480" w:lineRule="exact"/>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因此，本项目的建设符合</w:t>
            </w:r>
            <w:r>
              <w:rPr>
                <w:rFonts w:hint="default" w:ascii="Times New Roman" w:hAnsi="Times New Roman" w:eastAsia="宋体" w:cs="Times New Roman"/>
                <w:color w:val="000000" w:themeColor="text1"/>
                <w:sz w:val="24"/>
                <w:szCs w:val="24"/>
                <w14:textFill>
                  <w14:solidFill>
                    <w14:schemeClr w14:val="tx1"/>
                  </w14:solidFill>
                </w14:textFill>
              </w:rPr>
              <w:t>关于印发《“十三五”挥发性有机物污染防治工作方案》的通知</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环大气〔2017〕121号</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关于汽油储运销的控制要求。</w:t>
            </w:r>
          </w:p>
          <w:p>
            <w:pPr>
              <w:keepNext w:val="0"/>
              <w:keepLines w:val="0"/>
              <w:pageBreakBefore w:val="0"/>
              <w:widowControl/>
              <w:kinsoku/>
              <w:wordWrap/>
              <w:overflowPunct/>
              <w:topLinePunct w:val="0"/>
              <w:autoSpaceDE/>
              <w:autoSpaceDN/>
              <w:bidi w:val="0"/>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lang w:val="en-US" w:eastAsia="zh-CN"/>
                <w14:textFill>
                  <w14:solidFill>
                    <w14:schemeClr w14:val="tx1"/>
                  </w14:solidFill>
                </w14:textFill>
              </w:rPr>
              <w:t>8、</w:t>
            </w:r>
            <w:r>
              <w:rPr>
                <w:rFonts w:hint="default" w:ascii="Times New Roman" w:hAnsi="Times New Roman" w:cs="Times New Roman"/>
                <w:b/>
                <w:bCs/>
                <w:color w:val="000000" w:themeColor="text1"/>
                <w:sz w:val="24"/>
                <w:szCs w:val="24"/>
                <w14:textFill>
                  <w14:solidFill>
                    <w14:schemeClr w14:val="tx1"/>
                  </w14:solidFill>
                </w14:textFill>
              </w:rPr>
              <w:t>与《加油站地下水污染防治技术指南（试行）》相符性分析</w:t>
            </w:r>
          </w:p>
          <w:p>
            <w:pPr>
              <w:keepNext w:val="0"/>
              <w:keepLines w:val="0"/>
              <w:pageBreakBefore w:val="0"/>
              <w:widowControl/>
              <w:kinsoku/>
              <w:wordWrap/>
              <w:overflowPunct/>
              <w:topLinePunct w:val="0"/>
              <w:autoSpaceDE/>
              <w:autoSpaceDN/>
              <w:bidi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根据《加油站地下水污染防治技术指南》（环办水体函[2017]323号）相关要求，项目与该文件的相符性分析见下表。</w:t>
            </w:r>
          </w:p>
          <w:p>
            <w:pPr>
              <w:pStyle w:val="15"/>
              <w:keepNext w:val="0"/>
              <w:keepLines w:val="0"/>
              <w:pageBreakBefore w:val="0"/>
              <w:widowControl w:val="0"/>
              <w:kinsoku/>
              <w:wordWrap/>
              <w:overflowPunct/>
              <w:topLinePunct w:val="0"/>
              <w:autoSpaceDE/>
              <w:autoSpaceDN/>
              <w:bidi w:val="0"/>
              <w:spacing w:line="400" w:lineRule="exact"/>
              <w:ind w:left="0" w:firstLine="482"/>
              <w:textAlignment w:val="auto"/>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t>表9           与《加油站地下水污染防治技术指南》相符性分析</w:t>
            </w:r>
          </w:p>
          <w:tbl>
            <w:tblPr>
              <w:tblStyle w:val="37"/>
              <w:tblW w:w="918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748"/>
              <w:gridCol w:w="3552"/>
              <w:gridCol w:w="88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74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加油站地下水污染防治技术指南要求</w:t>
                  </w:r>
                </w:p>
              </w:tc>
              <w:tc>
                <w:tcPr>
                  <w:tcW w:w="355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项目建设情况</w:t>
                  </w:r>
                </w:p>
              </w:tc>
              <w:tc>
                <w:tcPr>
                  <w:tcW w:w="88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4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为防止加油站油品泄漏，污染土壤和地下水，加油站需要采取防渗漏和防渗漏检测措施。所有加油站的油罐需要更新为双层罐或者设置防渗池，双层罐和防渗池应符合《汽车加油加气站设计与施工规范》（GB50156）的要求。</w:t>
                  </w:r>
                </w:p>
              </w:tc>
              <w:tc>
                <w:tcPr>
                  <w:tcW w:w="355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本项目储罐区、加油区以及输油管道均采取防渗漏措施，储油罐为双层罐，双层罐的设置满足《汽车加油加气加氢站技术标准》（GB50156-2021）相关要求；并配套双层罐测漏系统。</w:t>
                  </w:r>
                </w:p>
              </w:tc>
              <w:tc>
                <w:tcPr>
                  <w:tcW w:w="88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74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埋地油罐采用双层油罐时，可采用双层钢制油罐、双层玻璃纤维增强塑料油罐、内钢外玻璃纤维增强塑料双层油罐。</w:t>
                  </w:r>
                </w:p>
              </w:tc>
              <w:tc>
                <w:tcPr>
                  <w:tcW w:w="355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本项目油罐采用SF双层（内层为钢制，外层为玻璃纤维增强塑料壳体）。</w:t>
                  </w:r>
                </w:p>
              </w:tc>
              <w:tc>
                <w:tcPr>
                  <w:tcW w:w="88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74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装有潜油泵的油罐人孔操作井、卸油口井、加油机底槽等可能发生油品渗漏的部位，也应采取相应的防渗措施。</w:t>
                  </w:r>
                </w:p>
              </w:tc>
              <w:tc>
                <w:tcPr>
                  <w:tcW w:w="355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本项目的油罐人孔操作井、卸油口井、加油机底槽等部位均拟采取了防渗水泥硬化措施。</w:t>
                  </w:r>
                </w:p>
              </w:tc>
              <w:tc>
                <w:tcPr>
                  <w:tcW w:w="88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74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处于地下水饮用水水源保护区和补给径流区的加油站，设两个地下水监测井；在保证安全和正常运营的条件下，地下水监测井尽量设置在加油站场地内，与埋地油罐的距离不应超过30m。处于地下水饮用水水源保护区和补给径流区外的加油站，可设一个地下水监测井；地下水监测井尽量设置在加油站内。</w:t>
                  </w:r>
                </w:p>
              </w:tc>
              <w:tc>
                <w:tcPr>
                  <w:tcW w:w="355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本项目不在饮用水源地保护区范围，不在饮用水源地及补给径流区，设置</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1个</w:t>
                  </w:r>
                  <w:r>
                    <w:rPr>
                      <w:rFonts w:hint="default" w:ascii="Times New Roman" w:hAnsi="Times New Roman" w:eastAsia="宋体" w:cs="Times New Roman"/>
                      <w:color w:val="000000" w:themeColor="text1"/>
                      <w:sz w:val="21"/>
                      <w:szCs w:val="21"/>
                      <w14:textFill>
                        <w14:solidFill>
                          <w14:schemeClr w14:val="tx1"/>
                        </w14:solidFill>
                      </w14:textFill>
                    </w:rPr>
                    <w:t>地下水监测井。</w:t>
                  </w:r>
                </w:p>
              </w:tc>
              <w:tc>
                <w:tcPr>
                  <w:tcW w:w="88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符合</w:t>
                  </w:r>
                </w:p>
              </w:tc>
            </w:tr>
          </w:tbl>
          <w:p>
            <w:pPr>
              <w:pStyle w:val="35"/>
              <w:keepNext w:val="0"/>
              <w:keepLines w:val="0"/>
              <w:pageBreakBefore w:val="0"/>
              <w:kinsoku/>
              <w:wordWrap/>
              <w:overflowPunct/>
              <w:topLinePunct w:val="0"/>
              <w:autoSpaceDE/>
              <w:autoSpaceDN/>
              <w:bidi w:val="0"/>
              <w:adjustRightInd/>
              <w:snapToGrid/>
              <w:spacing w:after="0" w:line="480" w:lineRule="exact"/>
              <w:ind w:firstLineChars="200"/>
              <w:textAlignment w:val="auto"/>
              <w:rPr>
                <w:rFonts w:hint="default" w:ascii="Times New Roman" w:hAnsi="Times New Roman" w:eastAsia="宋体" w:cs="Times New Roman"/>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highlight w:val="none"/>
                <w:u w:val="none"/>
                <w:lang w:val="en-US" w:eastAsia="zh-CN" w:bidi="ar-SA"/>
                <w14:textFill>
                  <w14:solidFill>
                    <w14:schemeClr w14:val="tx1"/>
                  </w14:solidFill>
                </w14:textFill>
              </w:rPr>
              <w:t>由上表可知，本项目满足《加油站地下水污染防治技术指南》（环办水体函[2017]323号）相关要求。</w:t>
            </w:r>
          </w:p>
          <w:p>
            <w:pPr>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bCs/>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u w:val="none"/>
                <w:lang w:val="en-US" w:eastAsia="zh-CN" w:bidi="ar-SA"/>
                <w14:textFill>
                  <w14:solidFill>
                    <w14:schemeClr w14:val="tx1"/>
                  </w14:solidFill>
                </w14:textFill>
              </w:rPr>
              <w:t>9、漯河市饮用水水源保护区相符性分析：</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jc w:val="left"/>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漯河市城市饮用水水源保护区包括澧河饮用水水源保护区、第二水厂地下水水源保护区、第三水厂地下水水源保护区，保护区划分如下：</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jc w:val="left"/>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（1）澧河饮用水水源保护区（根据河南省人民政府关于划定调整取消部分集中式饮用水水源保护区的通知）</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jc w:val="left"/>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调整漯河市澧河地表水饮用水水源保护区。具体范围如下：</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jc w:val="left"/>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一级保护区：澧河取水口上游1000米至下游100米两岸堤防背河堤脚以内的区域。</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jc w:val="left"/>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二级保护区：一级保护区外，澧河取水口上游3000米至下游300米两岸堤防背河堤脚外50米以内的区域。</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jc w:val="left"/>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准保护区：二级保护区外，澧河取水口上游7200米</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乡道054澧河桥</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至下游500米两岸堤防背河堤脚外50米以内的区域；唐河入澧河口至上游2000米</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唐河与马沟连通处</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两岸堤防背河堤脚外50米以内的区域。</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jc w:val="left"/>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本项目在澧河饮用水水源二级保护区东南，距</w:t>
            </w:r>
            <w:r>
              <w:rPr>
                <w:rFonts w:hint="default" w:ascii="Times New Roman" w:hAnsi="Times New Roman" w:cs="Times New Roman"/>
                <w:color w:val="000000" w:themeColor="text1"/>
                <w:sz w:val="24"/>
                <w:highlight w:val="none"/>
                <w14:textFill>
                  <w14:solidFill>
                    <w14:schemeClr w14:val="tx1"/>
                  </w14:solidFill>
                </w14:textFill>
              </w:rPr>
              <w:t>离澧河饮用水水源准保护区最近直线距离为</w:t>
            </w:r>
            <w:r>
              <w:rPr>
                <w:rFonts w:hint="default" w:ascii="Times New Roman" w:hAnsi="Times New Roman" w:cs="Times New Roman"/>
                <w:color w:val="000000" w:themeColor="text1"/>
                <w:sz w:val="24"/>
                <w:highlight w:val="none"/>
                <w:lang w:val="en-US" w:eastAsia="zh-CN"/>
                <w14:textFill>
                  <w14:solidFill>
                    <w14:schemeClr w14:val="tx1"/>
                  </w14:solidFill>
                </w14:textFill>
              </w:rPr>
              <w:t>15.7</w:t>
            </w:r>
            <w:r>
              <w:rPr>
                <w:rFonts w:hint="default" w:ascii="Times New Roman" w:hAnsi="Times New Roman" w:cs="Times New Roman"/>
                <w:color w:val="000000" w:themeColor="text1"/>
                <w:sz w:val="24"/>
                <w:highlight w:val="none"/>
                <w14:textFill>
                  <w14:solidFill>
                    <w14:schemeClr w14:val="tx1"/>
                  </w14:solidFill>
                </w14:textFill>
              </w:rPr>
              <w:t>km，故项目不在澧河饮用水水源保护区范围内，项目建设对澧河饮用水水源地影响较小。</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jc w:val="left"/>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（2）第二水厂地下水水源保护区</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jc w:val="left"/>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①一级保护区以每口开采井为中心，半径为50m圆形区域，一级保护区面积约0.047km</w:t>
            </w:r>
            <w:r>
              <w:rPr>
                <w:rFonts w:hint="default" w:ascii="Times New Roman" w:hAnsi="Times New Roman" w:cs="Times New Roman"/>
                <w:color w:val="000000" w:themeColor="text1"/>
                <w:sz w:val="24"/>
                <w:highlight w:val="none"/>
                <w:vertAlign w:val="super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jc w:val="left"/>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②二级保护区东边界为交通路，西边界为107国道，北边界为湘江路—澧河南堤走向一致，南边界为南环路。第二水厂地下水水井（1#）二级保护区范围为半径500m的圆形区域。二级保护区面积约为6.115km</w:t>
            </w:r>
            <w:r>
              <w:rPr>
                <w:rFonts w:hint="default" w:ascii="Times New Roman" w:hAnsi="Times New Roman" w:cs="Times New Roman"/>
                <w:color w:val="000000" w:themeColor="text1"/>
                <w:sz w:val="24"/>
                <w:highlight w:val="none"/>
                <w:vertAlign w:val="super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jc w:val="left"/>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本项目在第二水厂地下水水源保护区东南，距离第二水厂地下水水源保护区最近直线距离为</w:t>
            </w:r>
            <w:r>
              <w:rPr>
                <w:rFonts w:hint="default" w:ascii="Times New Roman" w:hAnsi="Times New Roman" w:cs="Times New Roman"/>
                <w:color w:val="000000" w:themeColor="text1"/>
                <w:sz w:val="24"/>
                <w:highlight w:val="none"/>
                <w:lang w:val="en-US" w:eastAsia="zh-CN"/>
                <w14:textFill>
                  <w14:solidFill>
                    <w14:schemeClr w14:val="tx1"/>
                  </w14:solidFill>
                </w14:textFill>
              </w:rPr>
              <w:t>3.9</w:t>
            </w:r>
            <w:r>
              <w:rPr>
                <w:rFonts w:hint="default" w:ascii="Times New Roman" w:hAnsi="Times New Roman" w:cs="Times New Roman"/>
                <w:color w:val="000000" w:themeColor="text1"/>
                <w:sz w:val="24"/>
                <w:highlight w:val="none"/>
                <w14:textFill>
                  <w14:solidFill>
                    <w14:schemeClr w14:val="tx1"/>
                  </w14:solidFill>
                </w14:textFill>
              </w:rPr>
              <w:t>km，故本项目选址不在地下水水源保护区范围内，距离地下水水源保护区较远，项目建设对地下水水源影响较小。</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jc w:val="left"/>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（3）第三水厂地下水水源保护区</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jc w:val="left"/>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①一级保护区以每口开采井（8#、10#、12#除外）为中心，半径为50m的圆形区域。8#、10#、12#三口井一级保护区划分为三口井一线向北距离50m、8#井向东径向距离50m、10#井向西径向距离50m、南边为沙河北堤的矩形区域。一级保护区面积约0.122km</w:t>
            </w:r>
            <w:r>
              <w:rPr>
                <w:rFonts w:hint="default" w:ascii="Times New Roman" w:hAnsi="Times New Roman" w:cs="Times New Roman"/>
                <w:color w:val="000000" w:themeColor="text1"/>
                <w:sz w:val="24"/>
                <w:highlight w:val="none"/>
                <w:vertAlign w:val="super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jc w:val="left"/>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②二级保护区东边界为崂山路，北边界为纬二路一线，西边界为107国道，南边界为沙河北河堤。二级保护区面积约8.38km</w:t>
            </w:r>
            <w:r>
              <w:rPr>
                <w:rFonts w:hint="default" w:ascii="Times New Roman" w:hAnsi="Times New Roman" w:cs="Times New Roman"/>
                <w:color w:val="000000" w:themeColor="text1"/>
                <w:sz w:val="24"/>
                <w:highlight w:val="none"/>
                <w:vertAlign w:val="super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w:t>
            </w:r>
          </w:p>
          <w:p>
            <w:pPr>
              <w:keepNext w:val="0"/>
              <w:keepLines w:val="0"/>
              <w:pageBreakBefore w:val="0"/>
              <w:widowControl w:val="0"/>
              <w:kinsoku/>
              <w:wordWrap/>
              <w:overflowPunct/>
              <w:topLinePunct w:val="0"/>
              <w:autoSpaceDE w:val="0"/>
              <w:autoSpaceDN w:val="0"/>
              <w:bidi w:val="0"/>
              <w:adjustRightInd w:val="0"/>
              <w:snapToGrid w:val="0"/>
              <w:spacing w:line="480" w:lineRule="exact"/>
              <w:ind w:firstLine="480" w:firstLineChars="200"/>
              <w:jc w:val="left"/>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项目在第三水厂地下水水源保护区东南侧，距离第三水厂地下水水源保护区最近直线距离为</w:t>
            </w:r>
            <w:r>
              <w:rPr>
                <w:rFonts w:hint="default" w:ascii="Times New Roman" w:hAnsi="Times New Roman" w:cs="Times New Roman"/>
                <w:color w:val="000000" w:themeColor="text1"/>
                <w:sz w:val="24"/>
                <w:highlight w:val="none"/>
                <w:lang w:val="en-US" w:eastAsia="zh-CN"/>
                <w14:textFill>
                  <w14:solidFill>
                    <w14:schemeClr w14:val="tx1"/>
                  </w14:solidFill>
                </w14:textFill>
              </w:rPr>
              <w:t>5.6</w:t>
            </w:r>
            <w:r>
              <w:rPr>
                <w:rFonts w:hint="default" w:ascii="Times New Roman" w:hAnsi="Times New Roman" w:cs="Times New Roman"/>
                <w:color w:val="000000" w:themeColor="text1"/>
                <w:sz w:val="24"/>
                <w:highlight w:val="none"/>
                <w14:textFill>
                  <w14:solidFill>
                    <w14:schemeClr w14:val="tx1"/>
                  </w14:solidFill>
                </w14:textFill>
              </w:rPr>
              <w:t>km，故本项目选址不在地下水水源保护区范围内，距离地下水水源保护区较远，项目建设对地下水水源影响较小。</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000000" w:themeColor="text1"/>
                <w:sz w:val="24"/>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综上，项目建设对澧河饮用水水源和漯河市地下水饮用水水源影响不大</w:t>
            </w:r>
            <w:r>
              <w:rPr>
                <w:rFonts w:hint="default" w:ascii="Times New Roman" w:hAnsi="Times New Roman" w:cs="Times New Roman"/>
                <w:color w:val="000000" w:themeColor="text1"/>
                <w:sz w:val="24"/>
                <w:highlight w:val="none"/>
                <w:u w:val="none"/>
                <w:lang w:val="en-US" w:eastAsia="zh-CN"/>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color w:val="000000" w:themeColor="text1"/>
                <w:sz w:val="24"/>
                <w:highlight w:val="none"/>
                <w:u w:val="none"/>
                <w14:textFill>
                  <w14:solidFill>
                    <w14:schemeClr w14:val="tx1"/>
                  </w14:solidFill>
                </w14:textFill>
              </w:rPr>
            </w:pPr>
            <w:r>
              <w:rPr>
                <w:rFonts w:hint="default" w:ascii="Times New Roman" w:hAnsi="Times New Roman" w:cs="Times New Roman"/>
                <w:b/>
                <w:color w:val="000000" w:themeColor="text1"/>
                <w:sz w:val="24"/>
                <w:szCs w:val="20"/>
                <w:highlight w:val="none"/>
                <w:u w:val="none"/>
                <w:lang w:val="en-US" w:eastAsia="zh-CN"/>
                <w14:textFill>
                  <w14:solidFill>
                    <w14:schemeClr w14:val="tx1"/>
                  </w14:solidFill>
                </w14:textFill>
              </w:rPr>
              <w:t>10、</w:t>
            </w:r>
            <w:r>
              <w:rPr>
                <w:rFonts w:hint="default" w:ascii="Times New Roman" w:hAnsi="Times New Roman" w:eastAsia="宋体" w:cs="Times New Roman"/>
                <w:b/>
                <w:color w:val="000000" w:themeColor="text1"/>
                <w:sz w:val="24"/>
                <w:highlight w:val="none"/>
                <w:u w:val="none"/>
                <w14:textFill>
                  <w14:solidFill>
                    <w14:schemeClr w14:val="tx1"/>
                  </w14:solidFill>
                </w14:textFill>
              </w:rPr>
              <w:t>选址可行性分析</w:t>
            </w:r>
          </w:p>
          <w:p>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snapToGrid w:val="0"/>
                <w:color w:val="000000" w:themeColor="text1"/>
                <w:sz w:val="24"/>
                <w:highlight w:val="none"/>
                <w:u w:val="none"/>
                <w14:textFill>
                  <w14:solidFill>
                    <w14:schemeClr w14:val="tx1"/>
                  </w14:solidFill>
                </w14:textFill>
              </w:rPr>
            </w:pPr>
            <w:r>
              <w:rPr>
                <w:rFonts w:hint="default" w:ascii="Times New Roman" w:hAnsi="Times New Roman" w:cs="Times New Roman"/>
                <w:snapToGrid w:val="0"/>
                <w:color w:val="000000" w:themeColor="text1"/>
                <w:sz w:val="24"/>
                <w:highlight w:val="none"/>
                <w:u w:val="none"/>
                <w14:textFill>
                  <w14:solidFill>
                    <w14:schemeClr w14:val="tx1"/>
                  </w14:solidFill>
                </w14:textFill>
              </w:rPr>
              <w:t>（1）规划相符性分析</w:t>
            </w:r>
            <w:r>
              <w:rPr>
                <w:rFonts w:hint="default" w:ascii="Times New Roman" w:hAnsi="Times New Roman" w:cs="Times New Roman"/>
                <w:snapToGrid w:val="0"/>
                <w:color w:val="000000" w:themeColor="text1"/>
                <w:sz w:val="24"/>
                <w:highlight w:val="none"/>
                <w:u w:val="none"/>
                <w:lang w:eastAsia="zh-CN"/>
                <w14:textFill>
                  <w14:solidFill>
                    <w14:schemeClr w14:val="tx1"/>
                  </w14:solidFill>
                </w14:textFill>
              </w:rPr>
              <w:t>：</w:t>
            </w:r>
            <w:r>
              <w:rPr>
                <w:rFonts w:hint="default" w:ascii="Times New Roman" w:hAnsi="Times New Roman" w:cs="Times New Roman"/>
                <w:color w:val="000000" w:themeColor="text1"/>
                <w:sz w:val="24"/>
                <w:highlight w:val="none"/>
                <w:u w:val="none"/>
                <w:lang w:val="en-US" w:eastAsia="zh-CN"/>
                <w14:textFill>
                  <w14:solidFill>
                    <w14:schemeClr w14:val="tx1"/>
                  </w14:solidFill>
                </w14:textFill>
              </w:rPr>
              <w:t>项目位于河南省漯河市漯河经济技术产业集聚区（含漯河经济开发区）国家漯河经济技术开发区东方红路西，</w:t>
            </w:r>
            <w:r>
              <w:rPr>
                <w:rFonts w:hint="default" w:ascii="Times New Roman" w:hAnsi="Times New Roman" w:eastAsia="宋体" w:cs="Times New Roman"/>
                <w:color w:val="000000" w:themeColor="text1"/>
                <w:sz w:val="24"/>
                <w:szCs w:val="24"/>
                <w:highlight w:val="none"/>
                <w14:textFill>
                  <w14:solidFill>
                    <w14:schemeClr w14:val="tx1"/>
                  </w14:solidFill>
                </w14:textFill>
              </w:rPr>
              <w:t>根据漯河经济技术产业集聚区发展规划产业布局图及总体规划图可知，项目占地为</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商业用地</w:t>
            </w:r>
            <w:r>
              <w:rPr>
                <w:rFonts w:hint="default" w:ascii="Times New Roman" w:hAnsi="Times New Roman" w:eastAsia="宋体" w:cs="Times New Roman"/>
                <w:color w:val="000000" w:themeColor="text1"/>
                <w:sz w:val="24"/>
                <w:szCs w:val="24"/>
                <w:highlight w:val="none"/>
                <w14:textFill>
                  <w14:solidFill>
                    <w14:schemeClr w14:val="tx1"/>
                  </w14:solidFill>
                </w14:textFill>
              </w:rPr>
              <w:t>，项目建设符合漯河经济技术产业集聚区规划</w:t>
            </w:r>
            <w:r>
              <w:rPr>
                <w:rFonts w:hint="default" w:ascii="Times New Roman" w:hAnsi="Times New Roman" w:cs="Times New Roman"/>
                <w:color w:val="000000" w:themeColor="text1"/>
                <w:sz w:val="24"/>
                <w:szCs w:val="20"/>
                <w:highlight w:val="none"/>
                <w:u w:val="none"/>
                <w14:textFill>
                  <w14:solidFill>
                    <w14:schemeClr w14:val="tx1"/>
                  </w14:solidFill>
                </w14:textFill>
              </w:rPr>
              <w:t>。</w:t>
            </w:r>
          </w:p>
          <w:p>
            <w:pPr>
              <w:keepNext w:val="0"/>
              <w:keepLines w:val="0"/>
              <w:pageBreakBefore w:val="0"/>
              <w:kinsoku/>
              <w:wordWrap/>
              <w:overflowPunct/>
              <w:topLinePunct w:val="0"/>
              <w:autoSpaceDE/>
              <w:autoSpaceDN/>
              <w:bidi w:val="0"/>
              <w:spacing w:line="480" w:lineRule="exact"/>
              <w:ind w:firstLine="480" w:firstLineChars="200"/>
              <w:textAlignment w:val="auto"/>
              <w:rPr>
                <w:rFonts w:hint="default" w:ascii="Times New Roman" w:hAnsi="Times New Roman" w:cs="Times New Roman"/>
                <w:color w:val="000000" w:themeColor="text1"/>
                <w:sz w:val="24"/>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4"/>
                <w:highlight w:val="none"/>
                <w:u w:val="none"/>
                <w14:textFill>
                  <w14:solidFill>
                    <w14:schemeClr w14:val="tx1"/>
                  </w14:solidFill>
                </w14:textFill>
              </w:rPr>
              <w:t>（2）饮用水源地保护要求</w:t>
            </w:r>
            <w:r>
              <w:rPr>
                <w:rFonts w:hint="default" w:ascii="Times New Roman" w:hAnsi="Times New Roman" w:cs="Times New Roman"/>
                <w:color w:val="000000" w:themeColor="text1"/>
                <w:sz w:val="24"/>
                <w:highlight w:val="none"/>
                <w:u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u w:val="none"/>
                <w:lang w:val="en-US" w:eastAsia="zh-CN"/>
                <w14:textFill>
                  <w14:solidFill>
                    <w14:schemeClr w14:val="tx1"/>
                  </w14:solidFill>
                </w14:textFill>
              </w:rPr>
              <w:t>项目边界距离</w:t>
            </w:r>
            <w:r>
              <w:rPr>
                <w:rFonts w:hint="default" w:ascii="Times New Roman" w:hAnsi="Times New Roman" w:cs="Times New Roman"/>
                <w:color w:val="000000" w:themeColor="text1"/>
                <w:sz w:val="24"/>
                <w:highlight w:val="none"/>
                <w:u w:val="none"/>
                <w:lang w:val="en-US" w:eastAsia="zh-CN"/>
                <w14:textFill>
                  <w14:solidFill>
                    <w14:schemeClr w14:val="tx1"/>
                  </w14:solidFill>
                </w14:textFill>
              </w:rPr>
              <w:t>最近水厂为</w:t>
            </w:r>
            <w:r>
              <w:rPr>
                <w:rFonts w:hint="default" w:ascii="Times New Roman" w:hAnsi="Times New Roman" w:cs="Times New Roman"/>
                <w:color w:val="000000" w:themeColor="text1"/>
                <w:sz w:val="24"/>
                <w:highlight w:val="none"/>
                <w14:textFill>
                  <w14:solidFill>
                    <w14:schemeClr w14:val="tx1"/>
                  </w14:solidFill>
                </w14:textFill>
              </w:rPr>
              <w:t>第二水厂地下水水源保护区</w:t>
            </w:r>
            <w:r>
              <w:rPr>
                <w:rFonts w:hint="default"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最近直线距离为</w:t>
            </w:r>
            <w:r>
              <w:rPr>
                <w:rFonts w:hint="eastAsia" w:cs="Times New Roman"/>
                <w:color w:val="000000" w:themeColor="text1"/>
                <w:sz w:val="24"/>
                <w:highlight w:val="none"/>
                <w:lang w:val="en-US" w:eastAsia="zh-CN"/>
                <w14:textFill>
                  <w14:solidFill>
                    <w14:schemeClr w14:val="tx1"/>
                  </w14:solidFill>
                </w14:textFill>
              </w:rPr>
              <w:t>3.9</w:t>
            </w:r>
            <w:r>
              <w:rPr>
                <w:rFonts w:hint="default" w:ascii="Times New Roman" w:hAnsi="Times New Roman" w:cs="Times New Roman"/>
                <w:color w:val="000000" w:themeColor="text1"/>
                <w:sz w:val="24"/>
                <w:highlight w:val="none"/>
                <w14:textFill>
                  <w14:solidFill>
                    <w14:schemeClr w14:val="tx1"/>
                  </w14:solidFill>
                </w14:textFill>
              </w:rPr>
              <w:t>k</w:t>
            </w:r>
            <w:r>
              <w:rPr>
                <w:rFonts w:hint="default" w:ascii="Times New Roman" w:hAnsi="Times New Roman" w:cs="Times New Roman"/>
                <w:color w:val="000000" w:themeColor="text1"/>
                <w:sz w:val="24"/>
                <w:highlight w:val="none"/>
                <w:lang w:val="en-US" w:eastAsia="zh-CN"/>
                <w14:textFill>
                  <w14:solidFill>
                    <w14:schemeClr w14:val="tx1"/>
                  </w14:solidFill>
                </w14:textFill>
              </w:rPr>
              <w:t>m，</w:t>
            </w:r>
            <w:r>
              <w:rPr>
                <w:rFonts w:hint="default" w:ascii="Times New Roman" w:hAnsi="Times New Roman" w:cs="Times New Roman"/>
                <w:color w:val="000000" w:themeColor="text1"/>
                <w:sz w:val="24"/>
                <w:highlight w:val="none"/>
                <w:u w:val="none"/>
                <w:lang w:val="en-US" w:eastAsia="zh-CN"/>
                <w14:textFill>
                  <w14:solidFill>
                    <w14:schemeClr w14:val="tx1"/>
                  </w14:solidFill>
                </w14:textFill>
              </w:rPr>
              <w:t>不在水源地保护区内，满足地表水饮用水源保护区相关要求。</w:t>
            </w:r>
          </w:p>
          <w:p>
            <w:pPr>
              <w:keepNext w:val="0"/>
              <w:keepLines w:val="0"/>
              <w:pageBreakBefore w:val="0"/>
              <w:kinsoku/>
              <w:wordWrap/>
              <w:overflowPunct/>
              <w:topLinePunct w:val="0"/>
              <w:autoSpaceDE/>
              <w:autoSpaceDN/>
              <w:bidi w:val="0"/>
              <w:spacing w:line="480" w:lineRule="exact"/>
              <w:ind w:firstLine="480" w:firstLineChars="200"/>
              <w:textAlignment w:val="auto"/>
              <w:rPr>
                <w:rFonts w:hint="default" w:ascii="Times New Roman" w:hAnsi="Times New Roman" w:cs="Times New Roman"/>
                <w:bCs/>
                <w:color w:val="000000" w:themeColor="text1"/>
                <w:sz w:val="24"/>
                <w:highlight w:val="none"/>
                <w:u w:val="none"/>
                <w14:textFill>
                  <w14:solidFill>
                    <w14:schemeClr w14:val="tx1"/>
                  </w14:solidFill>
                </w14:textFill>
              </w:rPr>
            </w:pPr>
            <w:r>
              <w:rPr>
                <w:rFonts w:hint="default" w:ascii="Times New Roman" w:hAnsi="Times New Roman" w:cs="Times New Roman"/>
                <w:color w:val="000000" w:themeColor="text1"/>
                <w:sz w:val="24"/>
                <w:highlight w:val="none"/>
                <w:u w:val="none"/>
                <w:lang w:eastAsia="zh-CN"/>
                <w14:textFill>
                  <w14:solidFill>
                    <w14:schemeClr w14:val="tx1"/>
                  </w14:solidFill>
                </w14:textFill>
              </w:rPr>
              <w:t>（</w:t>
            </w:r>
            <w:r>
              <w:rPr>
                <w:rFonts w:hint="default" w:ascii="Times New Roman" w:hAnsi="Times New Roman" w:cs="Times New Roman"/>
                <w:color w:val="000000" w:themeColor="text1"/>
                <w:sz w:val="24"/>
                <w:highlight w:val="none"/>
                <w:u w:val="none"/>
                <w:lang w:val="en-US" w:eastAsia="zh-CN"/>
                <w14:textFill>
                  <w14:solidFill>
                    <w14:schemeClr w14:val="tx1"/>
                  </w14:solidFill>
                </w14:textFill>
              </w:rPr>
              <w:t>3</w:t>
            </w:r>
            <w:r>
              <w:rPr>
                <w:rFonts w:hint="default" w:ascii="Times New Roman" w:hAnsi="Times New Roman" w:cs="Times New Roman"/>
                <w:color w:val="000000" w:themeColor="text1"/>
                <w:sz w:val="24"/>
                <w:highlight w:val="none"/>
                <w:u w:val="none"/>
                <w:lang w:eastAsia="zh-CN"/>
                <w14:textFill>
                  <w14:solidFill>
                    <w14:schemeClr w14:val="tx1"/>
                  </w14:solidFill>
                </w14:textFill>
              </w:rPr>
              <w:t>）厂址周边环境情况：</w:t>
            </w:r>
            <w:r>
              <w:rPr>
                <w:rFonts w:hint="default" w:ascii="Times New Roman" w:hAnsi="Times New Roman" w:cs="Times New Roman"/>
                <w:bCs/>
                <w:color w:val="000000" w:themeColor="text1"/>
                <w:sz w:val="24"/>
                <w:szCs w:val="20"/>
                <w:highlight w:val="none"/>
                <w:u w:val="none"/>
                <w14:textFill>
                  <w14:solidFill>
                    <w14:schemeClr w14:val="tx1"/>
                  </w14:solidFill>
                </w14:textFill>
              </w:rPr>
              <w:t>项目产生的</w:t>
            </w:r>
            <w:r>
              <w:rPr>
                <w:rFonts w:hint="default" w:ascii="Times New Roman" w:hAnsi="Times New Roman" w:cs="Times New Roman"/>
                <w:bCs/>
                <w:color w:val="000000" w:themeColor="text1"/>
                <w:sz w:val="24"/>
                <w:szCs w:val="20"/>
                <w:highlight w:val="none"/>
                <w:u w:val="none"/>
                <w:lang w:val="en-US" w:eastAsia="zh-CN"/>
                <w14:textFill>
                  <w14:solidFill>
                    <w14:schemeClr w14:val="tx1"/>
                  </w14:solidFill>
                </w14:textFill>
              </w:rPr>
              <w:t>废气、</w:t>
            </w:r>
            <w:r>
              <w:rPr>
                <w:rFonts w:hint="default" w:ascii="Times New Roman" w:hAnsi="Times New Roman" w:cs="Times New Roman"/>
                <w:bCs/>
                <w:color w:val="000000" w:themeColor="text1"/>
                <w:sz w:val="24"/>
                <w:szCs w:val="20"/>
                <w:highlight w:val="none"/>
                <w:u w:val="none"/>
                <w14:textFill>
                  <w14:solidFill>
                    <w14:schemeClr w14:val="tx1"/>
                  </w14:solidFill>
                </w14:textFill>
              </w:rPr>
              <w:t>废水、噪声</w:t>
            </w:r>
            <w:r>
              <w:rPr>
                <w:rFonts w:hint="default" w:ascii="Times New Roman" w:hAnsi="Times New Roman" w:cs="Times New Roman"/>
                <w:bCs/>
                <w:color w:val="000000" w:themeColor="text1"/>
                <w:sz w:val="24"/>
                <w:szCs w:val="20"/>
                <w:highlight w:val="none"/>
                <w:u w:val="none"/>
                <w:lang w:val="en-US" w:eastAsia="zh-CN"/>
                <w14:textFill>
                  <w14:solidFill>
                    <w14:schemeClr w14:val="tx1"/>
                  </w14:solidFill>
                </w14:textFill>
              </w:rPr>
              <w:t>和</w:t>
            </w:r>
            <w:r>
              <w:rPr>
                <w:rFonts w:hint="default" w:ascii="Times New Roman" w:hAnsi="Times New Roman" w:cs="Times New Roman"/>
                <w:bCs/>
                <w:color w:val="000000" w:themeColor="text1"/>
                <w:sz w:val="24"/>
                <w:szCs w:val="20"/>
                <w:highlight w:val="none"/>
                <w:u w:val="none"/>
                <w14:textFill>
                  <w14:solidFill>
                    <w14:schemeClr w14:val="tx1"/>
                  </w14:solidFill>
                </w14:textFill>
              </w:rPr>
              <w:t>固废等环境污染因素在采取相应的防治措施后均可实现达标排放或综合利用。</w:t>
            </w:r>
          </w:p>
          <w:p>
            <w:pPr>
              <w:keepNext w:val="0"/>
              <w:keepLines w:val="0"/>
              <w:pageBreakBefore w:val="0"/>
              <w:kinsoku/>
              <w:wordWrap/>
              <w:overflowPunct/>
              <w:topLinePunct w:val="0"/>
              <w:autoSpaceDE/>
              <w:autoSpaceDN/>
              <w:bidi w:val="0"/>
              <w:spacing w:line="480" w:lineRule="exact"/>
              <w:ind w:firstLine="480" w:firstLineChars="200"/>
              <w:textAlignment w:val="auto"/>
              <w:rPr>
                <w:rFonts w:hint="default" w:ascii="Times New Roman" w:hAnsi="Times New Roman" w:cs="Times New Roman"/>
                <w:snapToGrid w:val="0"/>
                <w:color w:val="000000" w:themeColor="text1"/>
                <w:sz w:val="24"/>
                <w:highlight w:val="none"/>
                <w:u w:val="none"/>
                <w14:textFill>
                  <w14:solidFill>
                    <w14:schemeClr w14:val="tx1"/>
                  </w14:solidFill>
                </w14:textFill>
              </w:rPr>
            </w:pPr>
            <w:r>
              <w:rPr>
                <w:rFonts w:hint="default" w:ascii="Times New Roman" w:hAnsi="Times New Roman" w:cs="Times New Roman"/>
                <w:snapToGrid w:val="0"/>
                <w:color w:val="000000" w:themeColor="text1"/>
                <w:sz w:val="24"/>
                <w:highlight w:val="none"/>
                <w:u w:val="none"/>
                <w14:textFill>
                  <w14:solidFill>
                    <w14:schemeClr w14:val="tx1"/>
                  </w14:solidFill>
                </w14:textFill>
              </w:rPr>
              <w:t>（</w:t>
            </w:r>
            <w:r>
              <w:rPr>
                <w:rFonts w:hint="default" w:ascii="Times New Roman" w:hAnsi="Times New Roman" w:cs="Times New Roman"/>
                <w:snapToGrid w:val="0"/>
                <w:color w:val="000000" w:themeColor="text1"/>
                <w:sz w:val="24"/>
                <w:highlight w:val="none"/>
                <w:u w:val="none"/>
                <w:lang w:val="en-US" w:eastAsia="zh-CN"/>
                <w14:textFill>
                  <w14:solidFill>
                    <w14:schemeClr w14:val="tx1"/>
                  </w14:solidFill>
                </w14:textFill>
              </w:rPr>
              <w:t>4</w:t>
            </w:r>
            <w:r>
              <w:rPr>
                <w:rFonts w:hint="default" w:ascii="Times New Roman" w:hAnsi="Times New Roman" w:cs="Times New Roman"/>
                <w:snapToGrid w:val="0"/>
                <w:color w:val="000000" w:themeColor="text1"/>
                <w:sz w:val="24"/>
                <w:highlight w:val="none"/>
                <w:u w:val="none"/>
                <w14:textFill>
                  <w14:solidFill>
                    <w14:schemeClr w14:val="tx1"/>
                  </w14:solidFill>
                </w14:textFill>
              </w:rPr>
              <w:t>）建设项目场地地质情况</w:t>
            </w:r>
            <w:r>
              <w:rPr>
                <w:rFonts w:hint="default" w:ascii="Times New Roman" w:hAnsi="Times New Roman" w:cs="Times New Roman"/>
                <w:snapToGrid w:val="0"/>
                <w:color w:val="000000" w:themeColor="text1"/>
                <w:sz w:val="24"/>
                <w:highlight w:val="none"/>
                <w:u w:val="none"/>
                <w:lang w:eastAsia="zh-CN"/>
                <w14:textFill>
                  <w14:solidFill>
                    <w14:schemeClr w14:val="tx1"/>
                  </w14:solidFill>
                </w14:textFill>
              </w:rPr>
              <w:t>：</w:t>
            </w:r>
            <w:r>
              <w:rPr>
                <w:rFonts w:hint="default" w:ascii="Times New Roman" w:hAnsi="Times New Roman" w:cs="Times New Roman"/>
                <w:snapToGrid w:val="0"/>
                <w:color w:val="000000" w:themeColor="text1"/>
                <w:sz w:val="24"/>
                <w:highlight w:val="none"/>
                <w:u w:val="none"/>
                <w14:textFill>
                  <w14:solidFill>
                    <w14:schemeClr w14:val="tx1"/>
                  </w14:solidFill>
                </w14:textFill>
              </w:rPr>
              <w:t>建设用地地势较为平坦，厂址区域内无活动性断裂存在和不良地质作用，场地土壤均匀，适宜项目建设。</w:t>
            </w:r>
          </w:p>
          <w:p>
            <w:pPr>
              <w:keepNext w:val="0"/>
              <w:keepLines w:val="0"/>
              <w:pageBreakBefore w:val="0"/>
              <w:kinsoku/>
              <w:wordWrap/>
              <w:overflowPunct/>
              <w:topLinePunct w:val="0"/>
              <w:autoSpaceDE/>
              <w:autoSpaceDN/>
              <w:bidi w:val="0"/>
              <w:snapToGrid w:val="0"/>
              <w:spacing w:line="480" w:lineRule="exact"/>
              <w:ind w:firstLine="480" w:firstLineChars="200"/>
              <w:textAlignment w:val="auto"/>
              <w:rPr>
                <w:rFonts w:hint="default" w:ascii="Times New Roman" w:hAnsi="Times New Roman" w:eastAsia="宋体" w:cs="Times New Roman"/>
                <w:snapToGrid w:val="0"/>
                <w:color w:val="000000" w:themeColor="text1"/>
                <w:sz w:val="24"/>
                <w:highlight w:val="none"/>
                <w:u w:val="none"/>
                <w14:textFill>
                  <w14:solidFill>
                    <w14:schemeClr w14:val="tx1"/>
                  </w14:solidFill>
                </w14:textFill>
              </w:rPr>
            </w:pPr>
            <w:r>
              <w:rPr>
                <w:rFonts w:hint="default" w:ascii="Times New Roman" w:hAnsi="Times New Roman" w:cs="Times New Roman"/>
                <w:snapToGrid w:val="0"/>
                <w:color w:val="000000" w:themeColor="text1"/>
                <w:sz w:val="24"/>
                <w:highlight w:val="none"/>
                <w:u w:val="none"/>
                <w14:textFill>
                  <w14:solidFill>
                    <w14:schemeClr w14:val="tx1"/>
                  </w14:solidFill>
                </w14:textFill>
              </w:rPr>
              <w:t>综上，项目选址合理</w:t>
            </w:r>
            <w:r>
              <w:rPr>
                <w:rFonts w:hint="default" w:ascii="Times New Roman" w:hAnsi="Times New Roman" w:eastAsia="宋体" w:cs="Times New Roman"/>
                <w:snapToGrid w:val="0"/>
                <w:color w:val="000000" w:themeColor="text1"/>
                <w:sz w:val="24"/>
                <w:highlight w:val="none"/>
                <w:u w:val="none"/>
                <w14:textFill>
                  <w14:solidFill>
                    <w14:schemeClr w14:val="tx1"/>
                  </w14:solidFill>
                </w14:textFill>
              </w:rPr>
              <w:t>。</w:t>
            </w:r>
          </w:p>
          <w:p>
            <w:pPr>
              <w:keepNext w:val="0"/>
              <w:keepLines w:val="0"/>
              <w:pageBreakBefore w:val="0"/>
              <w:widowControl w:val="0"/>
              <w:kinsoku/>
              <w:wordWrap/>
              <w:overflowPunct/>
              <w:topLinePunct w:val="0"/>
              <w:autoSpaceDE/>
              <w:autoSpaceDN/>
              <w:bidi w:val="0"/>
              <w:spacing w:line="480" w:lineRule="exact"/>
              <w:ind w:firstLine="482" w:firstLineChars="200"/>
              <w:textAlignment w:val="auto"/>
              <w:rPr>
                <w:rFonts w:hint="default" w:ascii="Times New Roman" w:hAnsi="Times New Roman" w:eastAsia="宋体" w:cs="Times New Roman"/>
                <w:b/>
                <w:color w:val="000000" w:themeColor="text1"/>
                <w:sz w:val="24"/>
                <w:highlight w:val="none"/>
                <w:u w:val="none"/>
                <w14:textFill>
                  <w14:solidFill>
                    <w14:schemeClr w14:val="tx1"/>
                  </w14:solidFill>
                </w14:textFill>
              </w:rPr>
            </w:pPr>
            <w:r>
              <w:rPr>
                <w:rFonts w:hint="default" w:ascii="Times New Roman" w:hAnsi="Times New Roman" w:cs="Times New Roman"/>
                <w:b/>
                <w:color w:val="000000" w:themeColor="text1"/>
                <w:sz w:val="24"/>
                <w:highlight w:val="none"/>
                <w:u w:val="none"/>
                <w:lang w:val="en-US" w:eastAsia="zh-CN"/>
                <w14:textFill>
                  <w14:solidFill>
                    <w14:schemeClr w14:val="tx1"/>
                  </w14:solidFill>
                </w14:textFill>
              </w:rPr>
              <w:t>11、</w:t>
            </w:r>
            <w:r>
              <w:rPr>
                <w:rFonts w:hint="default" w:ascii="Times New Roman" w:hAnsi="Times New Roman" w:eastAsia="宋体" w:cs="Times New Roman"/>
                <w:b/>
                <w:color w:val="000000" w:themeColor="text1"/>
                <w:sz w:val="24"/>
                <w:highlight w:val="none"/>
                <w:u w:val="none"/>
                <w14:textFill>
                  <w14:solidFill>
                    <w14:schemeClr w14:val="tx1"/>
                  </w14:solidFill>
                </w14:textFill>
              </w:rPr>
              <w:t>平面布局合理性分析</w:t>
            </w:r>
          </w:p>
          <w:p>
            <w:pPr>
              <w:keepNext w:val="0"/>
              <w:keepLines w:val="0"/>
              <w:pageBreakBefore w:val="0"/>
              <w:kinsoku/>
              <w:wordWrap/>
              <w:overflowPunct/>
              <w:topLinePunct w:val="0"/>
              <w:autoSpaceDE/>
              <w:autoSpaceDN/>
              <w:bidi w:val="0"/>
              <w:spacing w:line="480" w:lineRule="exact"/>
              <w:ind w:firstLine="480" w:firstLineChars="200"/>
              <w:textAlignment w:val="auto"/>
              <w:rPr>
                <w:rFonts w:hint="default" w:ascii="Times New Roman" w:hAnsi="Times New Roman" w:eastAsia="宋体" w:cs="Times New Roman"/>
                <w:snapToGrid w:val="0"/>
                <w:color w:val="000000" w:themeColor="text1"/>
                <w:sz w:val="24"/>
                <w:highlight w:val="none"/>
                <w:u w:val="none"/>
                <w14:textFill>
                  <w14:solidFill>
                    <w14:schemeClr w14:val="tx1"/>
                  </w14:solidFill>
                </w14:textFill>
              </w:rPr>
            </w:pPr>
            <w:r>
              <w:rPr>
                <w:rFonts w:hint="default" w:ascii="Times New Roman" w:hAnsi="Times New Roman" w:eastAsia="宋体" w:cs="Times New Roman"/>
                <w:snapToGrid w:val="0"/>
                <w:color w:val="000000" w:themeColor="text1"/>
                <w:sz w:val="24"/>
                <w:highlight w:val="none"/>
                <w:u w:val="none"/>
                <w:lang w:val="en-US" w:eastAsia="zh-CN"/>
                <w14:textFill>
                  <w14:solidFill>
                    <w14:schemeClr w14:val="tx1"/>
                  </w14:solidFill>
                </w14:textFill>
              </w:rPr>
              <w:t>项目位于漯河市经济技术产业集聚区（含漯河经济开发区）燕山南路与漳江东路交叉口往西北约210米，根据本项目平面布局图可知，</w:t>
            </w:r>
            <w:r>
              <w:rPr>
                <w:rFonts w:hint="default" w:ascii="Times New Roman" w:hAnsi="Times New Roman" w:eastAsia="宋体" w:cs="Times New Roman"/>
                <w:snapToGrid w:val="0"/>
                <w:color w:val="000000" w:themeColor="text1"/>
                <w:sz w:val="24"/>
                <w:highlight w:val="none"/>
                <w:u w:val="none"/>
                <w14:textFill>
                  <w14:solidFill>
                    <w14:schemeClr w14:val="tx1"/>
                  </w14:solidFill>
                </w14:textFill>
              </w:rPr>
              <w:t>本项目总体布局为坐</w:t>
            </w:r>
            <w:r>
              <w:rPr>
                <w:rFonts w:hint="default" w:ascii="Times New Roman" w:hAnsi="Times New Roman" w:eastAsia="宋体" w:cs="Times New Roman"/>
                <w:snapToGrid w:val="0"/>
                <w:color w:val="000000" w:themeColor="text1"/>
                <w:sz w:val="24"/>
                <w:highlight w:val="none"/>
                <w:u w:val="none"/>
                <w:lang w:val="en-US" w:eastAsia="zh-CN"/>
                <w14:textFill>
                  <w14:solidFill>
                    <w14:schemeClr w14:val="tx1"/>
                  </w14:solidFill>
                </w14:textFill>
              </w:rPr>
              <w:t>南</w:t>
            </w:r>
            <w:r>
              <w:rPr>
                <w:rFonts w:hint="default" w:ascii="Times New Roman" w:hAnsi="Times New Roman" w:eastAsia="宋体" w:cs="Times New Roman"/>
                <w:snapToGrid w:val="0"/>
                <w:color w:val="000000" w:themeColor="text1"/>
                <w:sz w:val="24"/>
                <w:highlight w:val="none"/>
                <w:u w:val="none"/>
                <w14:textFill>
                  <w14:solidFill>
                    <w14:schemeClr w14:val="tx1"/>
                  </w14:solidFill>
                </w14:textFill>
              </w:rPr>
              <w:t>朝</w:t>
            </w:r>
            <w:r>
              <w:rPr>
                <w:rFonts w:hint="default" w:ascii="Times New Roman" w:hAnsi="Times New Roman" w:eastAsia="宋体" w:cs="Times New Roman"/>
                <w:snapToGrid w:val="0"/>
                <w:color w:val="000000" w:themeColor="text1"/>
                <w:sz w:val="24"/>
                <w:highlight w:val="none"/>
                <w:u w:val="none"/>
                <w:lang w:val="en-US" w:eastAsia="zh-CN"/>
                <w14:textFill>
                  <w14:solidFill>
                    <w14:schemeClr w14:val="tx1"/>
                  </w14:solidFill>
                </w14:textFill>
              </w:rPr>
              <w:t>北</w:t>
            </w:r>
            <w:r>
              <w:rPr>
                <w:rFonts w:hint="default" w:ascii="Times New Roman" w:hAnsi="Times New Roman" w:eastAsia="宋体" w:cs="Times New Roman"/>
                <w:snapToGrid w:val="0"/>
                <w:color w:val="000000" w:themeColor="text1"/>
                <w:sz w:val="24"/>
                <w:highlight w:val="none"/>
                <w:u w:val="none"/>
                <w14:textFill>
                  <w14:solidFill>
                    <w14:schemeClr w14:val="tx1"/>
                  </w14:solidFill>
                </w14:textFill>
              </w:rPr>
              <w:t>，罩棚是主要设施，位于站区中部</w:t>
            </w:r>
            <w:r>
              <w:rPr>
                <w:rFonts w:hint="default" w:ascii="Times New Roman" w:hAnsi="Times New Roman" w:eastAsia="宋体" w:cs="Times New Roman"/>
                <w:snapToGrid w:val="0"/>
                <w:color w:val="000000" w:themeColor="text1"/>
                <w:sz w:val="24"/>
                <w:highlight w:val="none"/>
                <w:u w:val="none"/>
                <w:lang w:eastAsia="zh-CN"/>
                <w14:textFill>
                  <w14:solidFill>
                    <w14:schemeClr w14:val="tx1"/>
                  </w14:solidFill>
                </w14:textFill>
              </w:rPr>
              <w:t>；</w:t>
            </w:r>
            <w:r>
              <w:rPr>
                <w:rFonts w:hint="default" w:ascii="Times New Roman" w:hAnsi="Times New Roman" w:eastAsia="宋体" w:cs="Times New Roman"/>
                <w:snapToGrid w:val="0"/>
                <w:color w:val="000000" w:themeColor="text1"/>
                <w:sz w:val="24"/>
                <w:highlight w:val="none"/>
                <w:u w:val="none"/>
                <w14:textFill>
                  <w14:solidFill>
                    <w14:schemeClr w14:val="tx1"/>
                  </w14:solidFill>
                </w14:textFill>
              </w:rPr>
              <w:t>站房布置在罩棚北侧</w:t>
            </w:r>
            <w:r>
              <w:rPr>
                <w:rFonts w:hint="default" w:ascii="Times New Roman" w:hAnsi="Times New Roman" w:eastAsia="宋体" w:cs="Times New Roman"/>
                <w:snapToGrid w:val="0"/>
                <w:color w:val="000000" w:themeColor="text1"/>
                <w:sz w:val="24"/>
                <w:highlight w:val="none"/>
                <w:u w:val="none"/>
                <w:lang w:eastAsia="zh-CN"/>
                <w14:textFill>
                  <w14:solidFill>
                    <w14:schemeClr w14:val="tx1"/>
                  </w14:solidFill>
                </w14:textFill>
              </w:rPr>
              <w:t>；</w:t>
            </w:r>
            <w:r>
              <w:rPr>
                <w:rFonts w:hint="default" w:ascii="Times New Roman" w:hAnsi="Times New Roman" w:eastAsia="宋体" w:cs="Times New Roman"/>
                <w:snapToGrid w:val="0"/>
                <w:color w:val="000000" w:themeColor="text1"/>
                <w:sz w:val="24"/>
                <w:highlight w:val="none"/>
                <w:u w:val="none"/>
                <w14:textFill>
                  <w14:solidFill>
                    <w14:schemeClr w14:val="tx1"/>
                  </w14:solidFill>
                </w14:textFill>
              </w:rPr>
              <w:t>4台加油机布置在罩棚下</w:t>
            </w:r>
            <w:r>
              <w:rPr>
                <w:rFonts w:hint="default" w:ascii="Times New Roman" w:hAnsi="Times New Roman" w:eastAsia="宋体" w:cs="Times New Roman"/>
                <w:snapToGrid w:val="0"/>
                <w:color w:val="000000" w:themeColor="text1"/>
                <w:sz w:val="24"/>
                <w:highlight w:val="none"/>
                <w:u w:val="none"/>
                <w:lang w:eastAsia="zh-CN"/>
                <w14:textFill>
                  <w14:solidFill>
                    <w14:schemeClr w14:val="tx1"/>
                  </w14:solidFill>
                </w14:textFill>
              </w:rPr>
              <w:t>；</w:t>
            </w:r>
            <w:r>
              <w:rPr>
                <w:rFonts w:hint="default" w:ascii="Times New Roman" w:hAnsi="Times New Roman" w:eastAsia="宋体" w:cs="Times New Roman"/>
                <w:snapToGrid w:val="0"/>
                <w:color w:val="000000" w:themeColor="text1"/>
                <w:sz w:val="24"/>
                <w:highlight w:val="none"/>
                <w:u w:val="none"/>
                <w14:textFill>
                  <w14:solidFill>
                    <w14:schemeClr w14:val="tx1"/>
                  </w14:solidFill>
                </w14:textFill>
              </w:rPr>
              <w:t>油罐埋设在站区东北侧，密闭卸油点位于罐区南侧围堰边，油罐通气管口设在罐区里，通气管管口高出地坪4.0m。站内地面除绿化外全采用水泥混凝土地面硬化。埋地油罐及其通气管管口、加油机与站外道路的防火距离均符合《汽车加油加气加氢站技术标准》的要求</w:t>
            </w:r>
            <w:r>
              <w:rPr>
                <w:rFonts w:hint="default" w:ascii="Times New Roman" w:hAnsi="Times New Roman" w:eastAsia="宋体" w:cs="Times New Roman"/>
                <w:snapToGrid w:val="0"/>
                <w:color w:val="000000" w:themeColor="text1"/>
                <w:sz w:val="24"/>
                <w:highlight w:val="none"/>
                <w:u w:val="none"/>
                <w:lang w:eastAsia="zh-CN"/>
                <w14:textFill>
                  <w14:solidFill>
                    <w14:schemeClr w14:val="tx1"/>
                  </w14:solidFill>
                </w14:textFill>
              </w:rPr>
              <w:t>；</w:t>
            </w:r>
            <w:r>
              <w:rPr>
                <w:rFonts w:hint="default" w:ascii="Times New Roman" w:hAnsi="Times New Roman" w:eastAsia="宋体" w:cs="Times New Roman"/>
                <w:snapToGrid w:val="0"/>
                <w:color w:val="000000" w:themeColor="text1"/>
                <w:sz w:val="24"/>
                <w:highlight w:val="none"/>
                <w:u w:val="none"/>
                <w14:textFill>
                  <w14:solidFill>
                    <w14:schemeClr w14:val="tx1"/>
                  </w14:solidFill>
                </w14:textFill>
              </w:rPr>
              <w:t>站内设施</w:t>
            </w:r>
            <w:r>
              <w:rPr>
                <w:rFonts w:hint="default" w:ascii="Times New Roman" w:hAnsi="Times New Roman" w:eastAsia="宋体" w:cs="Times New Roman"/>
                <w:snapToGrid w:val="0"/>
                <w:color w:val="000000" w:themeColor="text1"/>
                <w:sz w:val="24"/>
                <w:highlight w:val="none"/>
                <w:u w:val="none"/>
                <w:lang w:eastAsia="zh-CN"/>
                <w14:textFill>
                  <w14:solidFill>
                    <w14:schemeClr w14:val="tx1"/>
                  </w14:solidFill>
                </w14:textFill>
              </w:rPr>
              <w:t>（</w:t>
            </w:r>
            <w:r>
              <w:rPr>
                <w:rFonts w:hint="default" w:ascii="Times New Roman" w:hAnsi="Times New Roman" w:eastAsia="宋体" w:cs="Times New Roman"/>
                <w:snapToGrid w:val="0"/>
                <w:color w:val="000000" w:themeColor="text1"/>
                <w:sz w:val="24"/>
                <w:highlight w:val="none"/>
                <w:u w:val="none"/>
                <w14:textFill>
                  <w14:solidFill>
                    <w14:schemeClr w14:val="tx1"/>
                  </w14:solidFill>
                </w14:textFill>
              </w:rPr>
              <w:t>包括埋地油罐及其通气管管口、加油机、站房、围墙等</w:t>
            </w:r>
            <w:r>
              <w:rPr>
                <w:rFonts w:hint="default" w:ascii="Times New Roman" w:hAnsi="Times New Roman" w:eastAsia="宋体" w:cs="Times New Roman"/>
                <w:snapToGrid w:val="0"/>
                <w:color w:val="000000" w:themeColor="text1"/>
                <w:sz w:val="24"/>
                <w:highlight w:val="none"/>
                <w:u w:val="none"/>
                <w:lang w:eastAsia="zh-CN"/>
                <w14:textFill>
                  <w14:solidFill>
                    <w14:schemeClr w14:val="tx1"/>
                  </w14:solidFill>
                </w14:textFill>
              </w:rPr>
              <w:t>）</w:t>
            </w:r>
            <w:r>
              <w:rPr>
                <w:rFonts w:hint="default" w:ascii="Times New Roman" w:hAnsi="Times New Roman" w:eastAsia="宋体" w:cs="Times New Roman"/>
                <w:snapToGrid w:val="0"/>
                <w:color w:val="000000" w:themeColor="text1"/>
                <w:sz w:val="24"/>
                <w:highlight w:val="none"/>
                <w:u w:val="none"/>
                <w14:textFill>
                  <w14:solidFill>
                    <w14:schemeClr w14:val="tx1"/>
                  </w14:solidFill>
                </w14:textFill>
              </w:rPr>
              <w:t>之间的防火距离均符合《汽车加油加气加氢站技术标准》要求。加油站总图布置功能分区明确，布局较合理，将加油罩棚、站房分区设置，各功能区相对独立，减少了彼此的干扰。</w:t>
            </w:r>
          </w:p>
          <w:p>
            <w:pPr>
              <w:keepNext w:val="0"/>
              <w:keepLines w:val="0"/>
              <w:pageBreakBefore w:val="0"/>
              <w:kinsoku/>
              <w:wordWrap/>
              <w:overflowPunct/>
              <w:topLinePunct w:val="0"/>
              <w:autoSpaceDE/>
              <w:autoSpaceDN/>
              <w:bidi w:val="0"/>
              <w:spacing w:line="480" w:lineRule="exact"/>
              <w:ind w:firstLine="480" w:firstLineChars="200"/>
              <w:textAlignment w:val="auto"/>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eastAsia="宋体" w:cs="Times New Roman"/>
                <w:snapToGrid w:val="0"/>
                <w:color w:val="000000" w:themeColor="text1"/>
                <w:sz w:val="24"/>
                <w:highlight w:val="none"/>
                <w:u w:val="none"/>
                <w14:textFill>
                  <w14:solidFill>
                    <w14:schemeClr w14:val="tx1"/>
                  </w14:solidFill>
                </w14:textFill>
              </w:rPr>
              <w:t>综上所述，项目平面布置合理可行。</w:t>
            </w:r>
          </w:p>
        </w:tc>
      </w:tr>
    </w:tbl>
    <w:p>
      <w:pPr>
        <w:spacing w:line="360" w:lineRule="auto"/>
        <w:outlineLvl w:val="0"/>
        <w:rPr>
          <w:rFonts w:hint="default" w:ascii="Times New Roman" w:hAnsi="Times New Roman" w:eastAsia="黑体" w:cs="Times New Roman"/>
          <w:color w:val="000000" w:themeColor="text1"/>
          <w:sz w:val="30"/>
          <w14:textFill>
            <w14:solidFill>
              <w14:schemeClr w14:val="tx1"/>
            </w14:solidFill>
          </w14:textFill>
        </w:rPr>
        <w:sectPr>
          <w:footerReference r:id="rId5" w:type="default"/>
          <w:pgSz w:w="11905" w:h="16838"/>
          <w:pgMar w:top="1247" w:right="1247" w:bottom="1247" w:left="1247" w:header="851" w:footer="1077" w:gutter="0"/>
          <w:pgBorders>
            <w:top w:val="none" w:sz="0" w:space="0"/>
            <w:left w:val="none" w:sz="0" w:space="0"/>
            <w:bottom w:val="none" w:sz="0" w:space="0"/>
            <w:right w:val="none" w:sz="0" w:space="0"/>
          </w:pgBorders>
          <w:pgNumType w:start="1"/>
          <w:cols w:space="720" w:num="1"/>
          <w:rtlGutter w:val="0"/>
          <w:docGrid w:linePitch="312" w:charSpace="0"/>
        </w:sectPr>
      </w:pPr>
    </w:p>
    <w:p>
      <w:pPr>
        <w:pStyle w:val="33"/>
        <w:jc w:val="center"/>
        <w:outlineLvl w:val="0"/>
        <w:rPr>
          <w:rFonts w:hint="default" w:ascii="Times New Roman" w:hAnsi="Times New Roman" w:eastAsia="黑体" w:cs="Times New Roman"/>
          <w:snapToGrid w:val="0"/>
          <w:color w:val="000000" w:themeColor="text1"/>
          <w:sz w:val="30"/>
          <w:szCs w:val="30"/>
          <w:vertAlign w:val="baseline"/>
          <w14:textFill>
            <w14:solidFill>
              <w14:schemeClr w14:val="tx1"/>
            </w14:solidFill>
          </w14:textFill>
        </w:rPr>
      </w:pPr>
      <w:r>
        <w:rPr>
          <w:rFonts w:hint="default" w:ascii="Times New Roman" w:hAnsi="Times New Roman" w:eastAsia="黑体" w:cs="Times New Roman"/>
          <w:snapToGrid w:val="0"/>
          <w:color w:val="000000" w:themeColor="text1"/>
          <w:sz w:val="30"/>
          <w:szCs w:val="30"/>
          <w14:textFill>
            <w14:solidFill>
              <w14:schemeClr w14:val="tx1"/>
            </w14:solidFill>
          </w14:textFill>
        </w:rPr>
        <w:t>二、建设项目工程分析</w:t>
      </w:r>
    </w:p>
    <w:tbl>
      <w:tblPr>
        <w:tblStyle w:val="38"/>
        <w:tblW w:w="97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1"/>
        <w:gridCol w:w="91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1" w:type="dxa"/>
            <w:noWrap w:val="0"/>
            <w:vAlign w:val="center"/>
          </w:tcPr>
          <w:p>
            <w:pPr>
              <w:pStyle w:val="33"/>
              <w:keepNext w:val="0"/>
              <w:keepLines w:val="0"/>
              <w:pageBreakBefore w:val="0"/>
              <w:widowControl/>
              <w:kinsoku/>
              <w:wordWrap/>
              <w:overflowPunct/>
              <w:topLinePunct w:val="0"/>
              <w:autoSpaceDE/>
              <w:autoSpaceDN/>
              <w:bidi w:val="0"/>
              <w:adjustRightInd/>
              <w:snapToGrid/>
              <w:spacing w:before="0" w:beforeAutospacing="0" w:after="0" w:afterAutospacing="0" w:line="480" w:lineRule="exact"/>
              <w:jc w:val="center"/>
              <w:textAlignment w:val="auto"/>
              <w:outlineLvl w:val="0"/>
              <w:rPr>
                <w:rFonts w:hint="default" w:ascii="Times New Roman" w:hAnsi="Times New Roman" w:eastAsia="黑体" w:cs="Times New Roman"/>
                <w:snapToGrid w:val="0"/>
                <w:color w:val="000000" w:themeColor="text1"/>
                <w:sz w:val="24"/>
                <w:szCs w:val="24"/>
                <w:vertAlign w:val="baseline"/>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建设内容</w:t>
            </w:r>
          </w:p>
        </w:tc>
        <w:tc>
          <w:tcPr>
            <w:tcW w:w="9161" w:type="dxa"/>
            <w:noWrap w:val="0"/>
            <w:vAlign w:val="center"/>
          </w:tcPr>
          <w:p>
            <w:pPr>
              <w:keepNext w:val="0"/>
              <w:keepLines w:val="0"/>
              <w:pageBreakBefore w:val="0"/>
              <w:widowControl w:val="0"/>
              <w:kinsoku/>
              <w:wordWrap w:val="0"/>
              <w:overflowPunct/>
              <w:topLinePunct w:val="0"/>
              <w:autoSpaceDE/>
              <w:autoSpaceDN/>
              <w:bidi w:val="0"/>
              <w:adjustRightInd/>
              <w:snapToGrid/>
              <w:spacing w:line="480" w:lineRule="exact"/>
              <w:ind w:firstLine="482" w:firstLineChars="200"/>
              <w:jc w:val="both"/>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1、项目由来</w:t>
            </w:r>
          </w:p>
          <w:p>
            <w:pPr>
              <w:keepNext w:val="0"/>
              <w:keepLines w:val="0"/>
              <w:pageBreakBefore w:val="0"/>
              <w:widowControl w:val="0"/>
              <w:kinsoku/>
              <w:wordWrap w:val="0"/>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中国石化销售股份有限公司河南漯河石油分公司</w:t>
            </w:r>
            <w:r>
              <w:rPr>
                <w:rFonts w:hint="default" w:ascii="Times New Roman" w:hAnsi="Times New Roman" w:cs="Times New Roman"/>
                <w:color w:val="000000" w:themeColor="text1"/>
                <w:sz w:val="24"/>
                <w:szCs w:val="24"/>
                <w:lang w:eastAsia="zh-CN"/>
                <w14:textFill>
                  <w14:solidFill>
                    <w14:schemeClr w14:val="tx1"/>
                  </w14:solidFill>
                </w14:textFill>
              </w:rPr>
              <w:t>南环路燕山加油站</w:t>
            </w:r>
            <w:r>
              <w:rPr>
                <w:rFonts w:hint="default" w:ascii="Times New Roman" w:hAnsi="Times New Roman" w:cs="Times New Roman"/>
                <w:color w:val="000000" w:themeColor="text1"/>
                <w:sz w:val="24"/>
                <w:szCs w:val="24"/>
                <w14:textFill>
                  <w14:solidFill>
                    <w14:schemeClr w14:val="tx1"/>
                  </w14:solidFill>
                </w14:textFill>
              </w:rPr>
              <w:t>位于漯河市经济技术产业集聚区（含漯河经济开发区）</w:t>
            </w:r>
            <w:r>
              <w:rPr>
                <w:rFonts w:hint="default" w:ascii="Times New Roman" w:hAnsi="Times New Roman" w:cs="Times New Roman"/>
                <w:color w:val="000000" w:themeColor="text1"/>
                <w:sz w:val="24"/>
                <w:szCs w:val="24"/>
                <w:lang w:eastAsia="zh-CN"/>
                <w14:textFill>
                  <w14:solidFill>
                    <w14:schemeClr w14:val="tx1"/>
                  </w14:solidFill>
                </w14:textFill>
              </w:rPr>
              <w:t>燕山南路与漳江东路交叉口往西北约210米</w:t>
            </w:r>
            <w:r>
              <w:rPr>
                <w:rFonts w:hint="default" w:ascii="Times New Roman" w:hAnsi="Times New Roman" w:cs="Times New Roman"/>
                <w:color w:val="000000" w:themeColor="text1"/>
                <w:sz w:val="24"/>
                <w:szCs w:val="24"/>
                <w14:textFill>
                  <w14:solidFill>
                    <w14:schemeClr w14:val="tx1"/>
                  </w14:solidFill>
                </w14:textFill>
              </w:rPr>
              <w:t>，2011年</w:t>
            </w:r>
            <w:r>
              <w:rPr>
                <w:rFonts w:hint="default" w:ascii="Times New Roman" w:hAnsi="Times New Roman" w:cs="Times New Roman"/>
                <w:color w:val="000000" w:themeColor="text1"/>
                <w:sz w:val="24"/>
                <w:szCs w:val="24"/>
                <w:lang w:val="en-US" w:eastAsia="zh-CN"/>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月取得危险化学品经营许可证，主要经营汽油和柴油，加油站现状包括一座单层砖混结构站房，</w:t>
            </w:r>
            <w:r>
              <w:rPr>
                <w:rFonts w:hint="default" w:ascii="Times New Roman" w:hAnsi="Times New Roman" w:cs="Times New Roman"/>
                <w:color w:val="000000" w:themeColor="text1"/>
                <w:sz w:val="24"/>
                <w:szCs w:val="24"/>
                <w:lang w:val="en-US" w:eastAsia="zh-CN"/>
                <w14:textFill>
                  <w14:solidFill>
                    <w14:schemeClr w14:val="tx1"/>
                  </w14:solidFill>
                </w14:textFill>
              </w:rPr>
              <w:t>1</w:t>
            </w:r>
            <w:r>
              <w:rPr>
                <w:rFonts w:hint="default" w:ascii="Times New Roman" w:hAnsi="Times New Roman" w:cs="Times New Roman"/>
                <w:color w:val="000000" w:themeColor="text1"/>
                <w:sz w:val="24"/>
                <w:szCs w:val="24"/>
                <w14:textFill>
                  <w14:solidFill>
                    <w14:schemeClr w14:val="tx1"/>
                  </w14:solidFill>
                </w14:textFill>
              </w:rPr>
              <w:t>座单层砖混结构</w:t>
            </w:r>
            <w:r>
              <w:rPr>
                <w:rFonts w:hint="default" w:ascii="Times New Roman" w:hAnsi="Times New Roman" w:cs="Times New Roman"/>
                <w:color w:val="000000" w:themeColor="text1"/>
                <w:sz w:val="24"/>
                <w:szCs w:val="24"/>
                <w:lang w:val="en-US" w:eastAsia="zh-CN"/>
                <w14:textFill>
                  <w14:solidFill>
                    <w14:schemeClr w14:val="tx1"/>
                  </w14:solidFill>
                </w14:textFill>
              </w:rPr>
              <w:t>站房</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1</w:t>
            </w:r>
            <w:r>
              <w:rPr>
                <w:rFonts w:hint="default" w:ascii="Times New Roman" w:hAnsi="Times New Roman" w:cs="Times New Roman"/>
                <w:color w:val="000000" w:themeColor="text1"/>
                <w:sz w:val="24"/>
                <w:szCs w:val="24"/>
                <w14:textFill>
                  <w14:solidFill>
                    <w14:schemeClr w14:val="tx1"/>
                  </w14:solidFill>
                </w14:textFill>
              </w:rPr>
              <w:t>座钢网架罩棚，5个</w:t>
            </w:r>
            <w:r>
              <w:rPr>
                <w:rFonts w:hint="default" w:ascii="Times New Roman" w:hAnsi="Times New Roman" w:cs="Times New Roman"/>
                <w:color w:val="000000" w:themeColor="text1"/>
                <w:sz w:val="24"/>
                <w:szCs w:val="24"/>
                <w:lang w:val="en-US" w:eastAsia="zh-CN"/>
                <w14:textFill>
                  <w14:solidFill>
                    <w14:schemeClr w14:val="tx1"/>
                  </w14:solidFill>
                </w14:textFill>
              </w:rPr>
              <w:t>15</w:t>
            </w:r>
            <w:r>
              <w:rPr>
                <w:rFonts w:hint="default" w:ascii="Times New Roman" w:hAnsi="Times New Roman" w:cs="Times New Roman"/>
                <w:color w:val="000000" w:themeColor="text1"/>
                <w:sz w:val="24"/>
                <w:szCs w:val="24"/>
                <w14:textFill>
                  <w14:solidFill>
                    <w14:schemeClr w14:val="tx1"/>
                  </w14:solidFill>
                </w14:textFill>
              </w:rPr>
              <w:t>m³SF双层油罐（</w:t>
            </w:r>
            <w:r>
              <w:rPr>
                <w:rFonts w:hint="default" w:ascii="Times New Roman" w:hAnsi="Times New Roman" w:cs="Times New Roman"/>
                <w:color w:val="000000" w:themeColor="text1"/>
                <w:sz w:val="24"/>
                <w:szCs w:val="24"/>
                <w:lang w:val="en-US" w:eastAsia="zh-CN"/>
                <w14:textFill>
                  <w14:solidFill>
                    <w14:schemeClr w14:val="tx1"/>
                  </w14:solidFill>
                </w14:textFill>
              </w:rPr>
              <w:t>2</w:t>
            </w:r>
            <w:r>
              <w:rPr>
                <w:rFonts w:hint="default" w:ascii="Times New Roman" w:hAnsi="Times New Roman" w:cs="Times New Roman"/>
                <w:color w:val="000000" w:themeColor="text1"/>
                <w:sz w:val="24"/>
                <w:szCs w:val="24"/>
                <w14:textFill>
                  <w14:solidFill>
                    <w14:schemeClr w14:val="tx1"/>
                  </w14:solidFill>
                </w14:textFill>
              </w:rPr>
              <w:t>个汽油罐、</w:t>
            </w:r>
            <w:r>
              <w:rPr>
                <w:rFonts w:hint="default" w:ascii="Times New Roman" w:hAnsi="Times New Roman" w:cs="Times New Roman"/>
                <w:color w:val="000000" w:themeColor="text1"/>
                <w:sz w:val="24"/>
                <w:szCs w:val="24"/>
                <w:lang w:val="en-US" w:eastAsia="zh-CN"/>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个柴油罐），</w:t>
            </w:r>
            <w:r>
              <w:rPr>
                <w:rFonts w:hint="default" w:ascii="Times New Roman" w:hAnsi="Times New Roman" w:cs="Times New Roman"/>
                <w:color w:val="000000" w:themeColor="text1"/>
                <w:sz w:val="24"/>
                <w:szCs w:val="24"/>
                <w:lang w:val="en-US" w:eastAsia="zh-CN"/>
                <w14:textFill>
                  <w14:solidFill>
                    <w14:schemeClr w14:val="tx1"/>
                  </w14:solidFill>
                </w14:textFill>
              </w:rPr>
              <w:t>4</w:t>
            </w:r>
            <w:r>
              <w:rPr>
                <w:rFonts w:hint="default" w:ascii="Times New Roman" w:hAnsi="Times New Roman" w:cs="Times New Roman"/>
                <w:color w:val="000000" w:themeColor="text1"/>
                <w:sz w:val="24"/>
                <w:szCs w:val="24"/>
                <w14:textFill>
                  <w14:solidFill>
                    <w14:schemeClr w14:val="tx1"/>
                  </w14:solidFill>
                </w14:textFill>
              </w:rPr>
              <w:t>台</w:t>
            </w:r>
            <w:r>
              <w:rPr>
                <w:rFonts w:hint="default" w:ascii="Times New Roman" w:hAnsi="Times New Roman" w:cs="Times New Roman"/>
                <w:color w:val="000000" w:themeColor="text1"/>
                <w:sz w:val="24"/>
                <w:szCs w:val="24"/>
                <w:lang w:val="en-US" w:eastAsia="zh-CN"/>
                <w14:textFill>
                  <w14:solidFill>
                    <w14:schemeClr w14:val="tx1"/>
                  </w14:solidFill>
                </w14:textFill>
              </w:rPr>
              <w:t>双枪</w:t>
            </w:r>
            <w:r>
              <w:rPr>
                <w:rFonts w:hint="default" w:ascii="Times New Roman" w:hAnsi="Times New Roman" w:cs="Times New Roman"/>
                <w:color w:val="000000" w:themeColor="text1"/>
                <w:sz w:val="24"/>
                <w:szCs w:val="24"/>
                <w14:textFill>
                  <w14:solidFill>
                    <w14:schemeClr w14:val="tx1"/>
                  </w14:solidFill>
                </w14:textFill>
              </w:rPr>
              <w:t>加油机（</w:t>
            </w:r>
            <w:r>
              <w:rPr>
                <w:rFonts w:hint="default" w:ascii="Times New Roman" w:hAnsi="Times New Roman" w:cs="Times New Roman"/>
                <w:color w:val="000000" w:themeColor="text1"/>
                <w:sz w:val="24"/>
                <w:szCs w:val="24"/>
                <w:lang w:val="en-US" w:eastAsia="zh-CN"/>
                <w14:textFill>
                  <w14:solidFill>
                    <w14:schemeClr w14:val="tx1"/>
                  </w14:solidFill>
                </w14:textFill>
              </w:rPr>
              <w:t>2</w:t>
            </w:r>
            <w:r>
              <w:rPr>
                <w:rFonts w:hint="default" w:ascii="Times New Roman" w:hAnsi="Times New Roman" w:cs="Times New Roman"/>
                <w:color w:val="000000" w:themeColor="text1"/>
                <w:sz w:val="24"/>
                <w:szCs w:val="24"/>
                <w14:textFill>
                  <w14:solidFill>
                    <w14:schemeClr w14:val="tx1"/>
                  </w14:solidFill>
                </w14:textFill>
              </w:rPr>
              <w:t>台柴油加油机、</w:t>
            </w:r>
            <w:r>
              <w:rPr>
                <w:rFonts w:hint="default" w:ascii="Times New Roman" w:hAnsi="Times New Roman" w:cs="Times New Roman"/>
                <w:color w:val="000000" w:themeColor="text1"/>
                <w:sz w:val="24"/>
                <w:szCs w:val="24"/>
                <w:lang w:val="en-US" w:eastAsia="zh-CN"/>
                <w14:textFill>
                  <w14:solidFill>
                    <w14:schemeClr w14:val="tx1"/>
                  </w14:solidFill>
                </w14:textFill>
              </w:rPr>
              <w:t>2</w:t>
            </w:r>
            <w:r>
              <w:rPr>
                <w:rFonts w:hint="default" w:ascii="Times New Roman" w:hAnsi="Times New Roman" w:cs="Times New Roman"/>
                <w:color w:val="000000" w:themeColor="text1"/>
                <w:sz w:val="24"/>
                <w:szCs w:val="24"/>
                <w14:textFill>
                  <w14:solidFill>
                    <w14:schemeClr w14:val="tx1"/>
                  </w14:solidFill>
                </w14:textFill>
              </w:rPr>
              <w:t>台汽油加油机），92#汽油销售规模</w:t>
            </w:r>
            <w:r>
              <w:rPr>
                <w:rFonts w:hint="default" w:ascii="Times New Roman" w:hAnsi="Times New Roman" w:cs="Times New Roman"/>
                <w:color w:val="000000" w:themeColor="text1"/>
                <w:sz w:val="24"/>
                <w:szCs w:val="24"/>
                <w:lang w:val="en-US" w:eastAsia="zh-CN"/>
                <w14:textFill>
                  <w14:solidFill>
                    <w14:schemeClr w14:val="tx1"/>
                  </w14:solidFill>
                </w14:textFill>
              </w:rPr>
              <w:t>5</w:t>
            </w:r>
            <w:r>
              <w:rPr>
                <w:rFonts w:hint="default" w:ascii="Times New Roman" w:hAnsi="Times New Roman" w:cs="Times New Roman"/>
                <w:color w:val="000000" w:themeColor="text1"/>
                <w:sz w:val="24"/>
                <w:szCs w:val="24"/>
                <w14:textFill>
                  <w14:solidFill>
                    <w14:schemeClr w14:val="tx1"/>
                  </w14:solidFill>
                </w14:textFill>
              </w:rPr>
              <w:t>00t/a、95#汽油销售规模</w:t>
            </w:r>
            <w:r>
              <w:rPr>
                <w:rFonts w:hint="default" w:ascii="Times New Roman" w:hAnsi="Times New Roman" w:cs="Times New Roman"/>
                <w:color w:val="000000" w:themeColor="text1"/>
                <w:sz w:val="24"/>
                <w:szCs w:val="24"/>
                <w:lang w:val="en-US" w:eastAsia="zh-CN"/>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00t/a</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0#柴油销售规模500t/a。</w:t>
            </w:r>
          </w:p>
          <w:p>
            <w:pPr>
              <w:keepNext w:val="0"/>
              <w:keepLines w:val="0"/>
              <w:pageBreakBefore w:val="0"/>
              <w:widowControl w:val="0"/>
              <w:kinsoku/>
              <w:wordWrap w:val="0"/>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color w:val="000000" w:themeColor="text1"/>
                <w:sz w:val="24"/>
                <w:szCs w:val="24"/>
                <w:highlight w:val="yellow"/>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为更好的满足经营需求，</w:t>
            </w:r>
            <w:r>
              <w:rPr>
                <w:rFonts w:hint="default" w:ascii="Times New Roman" w:hAnsi="Times New Roman" w:cs="Times New Roman"/>
                <w:color w:val="000000" w:themeColor="text1"/>
                <w:sz w:val="24"/>
                <w:szCs w:val="24"/>
                <w:lang w:eastAsia="zh-CN"/>
                <w14:textFill>
                  <w14:solidFill>
                    <w14:schemeClr w14:val="tx1"/>
                  </w14:solidFill>
                </w14:textFill>
              </w:rPr>
              <w:t>南环路燕山加油站</w:t>
            </w:r>
            <w:r>
              <w:rPr>
                <w:rFonts w:hint="default" w:ascii="Times New Roman" w:hAnsi="Times New Roman" w:cs="Times New Roman"/>
                <w:color w:val="000000" w:themeColor="text1"/>
                <w:sz w:val="24"/>
                <w:szCs w:val="24"/>
                <w14:textFill>
                  <w14:solidFill>
                    <w14:schemeClr w14:val="tx1"/>
                  </w14:solidFill>
                </w14:textFill>
              </w:rPr>
              <w:t>拟拆除站内现有站房、辅房、加油机，杆变等设备设施，其余设施利旧使用，拟投资430万元建设</w:t>
            </w:r>
            <w:r>
              <w:rPr>
                <w:rFonts w:hint="default" w:ascii="Times New Roman" w:hAnsi="Times New Roman" w:cs="Times New Roman"/>
                <w:color w:val="000000" w:themeColor="text1"/>
                <w:sz w:val="24"/>
                <w:szCs w:val="24"/>
                <w:lang w:eastAsia="zh-CN"/>
                <w14:textFill>
                  <w14:solidFill>
                    <w14:schemeClr w14:val="tx1"/>
                  </w14:solidFill>
                </w14:textFill>
              </w:rPr>
              <w:t>中国石化销售股份有限公司河南漯河石油分公司南环路燕山加油站改造项目</w:t>
            </w:r>
            <w:r>
              <w:rPr>
                <w:rFonts w:hint="default" w:ascii="Times New Roman" w:hAnsi="Times New Roman" w:cs="Times New Roman"/>
                <w:color w:val="000000" w:themeColor="text1"/>
                <w:sz w:val="24"/>
                <w:szCs w:val="24"/>
                <w14:textFill>
                  <w14:solidFill>
                    <w14:schemeClr w14:val="tx1"/>
                  </w14:solidFill>
                </w14:textFill>
              </w:rPr>
              <w:t>，改造后油品销售规模为92#汽油600t/a、95#汽油</w:t>
            </w:r>
            <w:r>
              <w:rPr>
                <w:rFonts w:hint="default" w:ascii="Times New Roman" w:hAnsi="Times New Roman" w:cs="Times New Roman"/>
                <w:color w:val="000000" w:themeColor="text1"/>
                <w:sz w:val="24"/>
                <w:szCs w:val="24"/>
                <w:lang w:val="en-US" w:eastAsia="zh-CN"/>
                <w14:textFill>
                  <w14:solidFill>
                    <w14:schemeClr w14:val="tx1"/>
                  </w14:solidFill>
                </w14:textFill>
              </w:rPr>
              <w:t>5</w:t>
            </w:r>
            <w:r>
              <w:rPr>
                <w:rFonts w:hint="default" w:ascii="Times New Roman" w:hAnsi="Times New Roman" w:cs="Times New Roman"/>
                <w:color w:val="000000" w:themeColor="text1"/>
                <w:sz w:val="24"/>
                <w:szCs w:val="24"/>
                <w14:textFill>
                  <w14:solidFill>
                    <w14:schemeClr w14:val="tx1"/>
                  </w14:solidFill>
                </w14:textFill>
              </w:rPr>
              <w:t>00t/a、0#柴油</w:t>
            </w:r>
            <w:r>
              <w:rPr>
                <w:rFonts w:hint="default" w:ascii="Times New Roman" w:hAnsi="Times New Roman" w:cs="Times New Roman"/>
                <w:color w:val="000000" w:themeColor="text1"/>
                <w:sz w:val="24"/>
                <w:szCs w:val="24"/>
                <w:lang w:val="en-US" w:eastAsia="zh-CN"/>
                <w14:textFill>
                  <w14:solidFill>
                    <w14:schemeClr w14:val="tx1"/>
                  </w14:solidFill>
                </w14:textFill>
              </w:rPr>
              <w:t>6</w:t>
            </w:r>
            <w:r>
              <w:rPr>
                <w:rFonts w:hint="default" w:ascii="Times New Roman" w:hAnsi="Times New Roman" w:cs="Times New Roman"/>
                <w:color w:val="000000" w:themeColor="text1"/>
                <w:sz w:val="24"/>
                <w:szCs w:val="24"/>
                <w14:textFill>
                  <w14:solidFill>
                    <w14:schemeClr w14:val="tx1"/>
                  </w14:solidFill>
                </w14:textFill>
              </w:rPr>
              <w:t>00t/a，与改造前相比，新增汽油销售能力</w:t>
            </w:r>
            <w:r>
              <w:rPr>
                <w:rFonts w:hint="default" w:ascii="Times New Roman" w:hAnsi="Times New Roman" w:cs="Times New Roman"/>
                <w:color w:val="000000" w:themeColor="text1"/>
                <w:sz w:val="24"/>
                <w:szCs w:val="24"/>
                <w:lang w:val="en-US" w:eastAsia="zh-CN"/>
                <w14:textFill>
                  <w14:solidFill>
                    <w14:schemeClr w14:val="tx1"/>
                  </w14:solidFill>
                </w14:textFill>
              </w:rPr>
              <w:t>30</w:t>
            </w:r>
            <w:r>
              <w:rPr>
                <w:rFonts w:hint="default" w:ascii="Times New Roman" w:hAnsi="Times New Roman" w:cs="Times New Roman"/>
                <w:color w:val="000000" w:themeColor="text1"/>
                <w:sz w:val="24"/>
                <w:szCs w:val="24"/>
                <w14:textFill>
                  <w14:solidFill>
                    <w14:schemeClr w14:val="tx1"/>
                  </w14:solidFill>
                </w14:textFill>
              </w:rPr>
              <w:t>0t/a。</w:t>
            </w:r>
          </w:p>
          <w:p>
            <w:pPr>
              <w:keepNext w:val="0"/>
              <w:keepLines w:val="0"/>
              <w:pageBreakBefore w:val="0"/>
              <w:widowControl w:val="0"/>
              <w:kinsoku/>
              <w:wordWrap w:val="0"/>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根据《中华人民共和国环境影响评价法》和《建设项目环境保护管理条例》中有关规定，本项目应开展环境影响评价工作。依据生态环境部令第16号《建设项目环境影响评价分类管理名录（2021年版）》的有关规定，本项目属于“五十、社会事业与服务业”中的“119加油、加气站城市建成区新建、扩建加油站；涉及环境敏感区的”，应编制环境影响评价报告表。</w:t>
            </w:r>
          </w:p>
          <w:p>
            <w:pPr>
              <w:pStyle w:val="35"/>
              <w:keepNext w:val="0"/>
              <w:keepLines w:val="0"/>
              <w:pageBreakBefore w:val="0"/>
              <w:widowControl w:val="0"/>
              <w:kinsoku/>
              <w:overflowPunct/>
              <w:topLinePunct w:val="0"/>
              <w:autoSpaceDE/>
              <w:autoSpaceDN/>
              <w:bidi w:val="0"/>
              <w:adjustRightInd/>
              <w:snapToGrid/>
              <w:spacing w:after="0" w:line="480" w:lineRule="exact"/>
              <w:ind w:firstLineChars="200"/>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受中国石化销售股份有限公司河南漯河石油分公司的委托（委托书见附件1），我单位承担了</w:t>
            </w:r>
            <w:r>
              <w:rPr>
                <w:rFonts w:hint="default" w:ascii="Times New Roman" w:hAnsi="Times New Roman" w:cs="Times New Roman"/>
                <w:color w:val="000000" w:themeColor="text1"/>
                <w:sz w:val="24"/>
                <w:szCs w:val="24"/>
                <w:lang w:eastAsia="zh-CN"/>
                <w14:textFill>
                  <w14:solidFill>
                    <w14:schemeClr w14:val="tx1"/>
                  </w14:solidFill>
                </w14:textFill>
              </w:rPr>
              <w:t>“中国石化销售股份有限公司河南漯河石油分公司南环路燕山加油站改造项目”</w:t>
            </w:r>
            <w:r>
              <w:rPr>
                <w:rFonts w:hint="default" w:ascii="Times New Roman" w:hAnsi="Times New Roman" w:cs="Times New Roman"/>
                <w:color w:val="000000" w:themeColor="text1"/>
                <w:sz w:val="24"/>
                <w:szCs w:val="24"/>
                <w14:textFill>
                  <w14:solidFill>
                    <w14:schemeClr w14:val="tx1"/>
                  </w14:solidFill>
                </w14:textFill>
              </w:rPr>
              <w:t>的环境影响评价工作。经过对现场调查，并查阅有关资料，本着</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科学、公正、客观</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的态度，编制了本项目的环境影响报告表。</w:t>
            </w:r>
          </w:p>
          <w:p>
            <w:pPr>
              <w:keepNext w:val="0"/>
              <w:keepLines w:val="0"/>
              <w:pageBreakBefore w:val="0"/>
              <w:widowControl w:val="0"/>
              <w:kinsoku/>
              <w:wordWrap w:val="0"/>
              <w:overflowPunct/>
              <w:topLinePunct w:val="0"/>
              <w:autoSpaceDE/>
              <w:autoSpaceDN/>
              <w:bidi w:val="0"/>
              <w:adjustRightInd/>
              <w:snapToGrid/>
              <w:spacing w:line="480" w:lineRule="exact"/>
              <w:ind w:firstLine="482" w:firstLineChars="200"/>
              <w:jc w:val="both"/>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2、建设内容</w:t>
            </w:r>
          </w:p>
          <w:p>
            <w:pPr>
              <w:keepNext w:val="0"/>
              <w:keepLines w:val="0"/>
              <w:pageBreakBefore w:val="0"/>
              <w:widowControl w:val="0"/>
              <w:kinsoku/>
              <w:wordWrap w:val="0"/>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本项目主要包括主体工程、公用工程和环保工程等。项目具体建设内容见下表。</w:t>
            </w:r>
          </w:p>
          <w:p>
            <w:pPr>
              <w:pStyle w:val="15"/>
              <w:keepNext w:val="0"/>
              <w:keepLines w:val="0"/>
              <w:pageBreakBefore w:val="0"/>
              <w:widowControl w:val="0"/>
              <w:kinsoku/>
              <w:wordWrap/>
              <w:overflowPunct/>
              <w:topLinePunct w:val="0"/>
              <w:autoSpaceDE/>
              <w:autoSpaceDN/>
              <w:bidi w:val="0"/>
              <w:spacing w:line="400" w:lineRule="exact"/>
              <w:ind w:left="0" w:firstLine="482"/>
              <w:textAlignment w:val="auto"/>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t>表10                      本项目主要建设内容一览表</w:t>
            </w:r>
          </w:p>
          <w:tbl>
            <w:tblPr>
              <w:tblStyle w:val="37"/>
              <w:tblW w:w="503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41"/>
              <w:gridCol w:w="715"/>
              <w:gridCol w:w="3083"/>
              <w:gridCol w:w="3634"/>
              <w:gridCol w:w="90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分类</w:t>
                  </w:r>
                </w:p>
              </w:tc>
              <w:tc>
                <w:tcPr>
                  <w:tcW w:w="3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名称</w:t>
                  </w:r>
                </w:p>
              </w:tc>
              <w:tc>
                <w:tcPr>
                  <w:tcW w:w="17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cs="Times New Roman"/>
                      <w:b/>
                      <w:bCs/>
                      <w:color w:val="000000" w:themeColor="text1"/>
                      <w:sz w:val="21"/>
                      <w:szCs w:val="21"/>
                      <w:lang w:val="en-US" w:eastAsia="zh-CN"/>
                      <w14:textFill>
                        <w14:solidFill>
                          <w14:schemeClr w14:val="tx1"/>
                        </w14:solidFill>
                      </w14:textFill>
                    </w:rPr>
                    <w:t>现有工程</w:t>
                  </w:r>
                </w:p>
              </w:tc>
              <w:tc>
                <w:tcPr>
                  <w:tcW w:w="20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改扩建</w:t>
                  </w:r>
                  <w:r>
                    <w:rPr>
                      <w:rFonts w:hint="default" w:ascii="Times New Roman" w:hAnsi="Times New Roman" w:eastAsia="宋体" w:cs="Times New Roman"/>
                      <w:color w:val="000000" w:themeColor="text1"/>
                      <w:sz w:val="21"/>
                      <w:szCs w:val="21"/>
                      <w:highlight w:val="none"/>
                      <w:u w:val="none"/>
                      <w:lang w:eastAsia="zh-CN"/>
                      <w14:textFill>
                        <w14:solidFill>
                          <w14:schemeClr w14:val="tx1"/>
                        </w14:solidFill>
                      </w14:textFill>
                    </w:rPr>
                    <w:t>工程</w:t>
                  </w:r>
                </w:p>
              </w:tc>
              <w:tc>
                <w:tcPr>
                  <w:tcW w:w="5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主体工程</w:t>
                  </w:r>
                </w:p>
              </w:tc>
              <w:tc>
                <w:tcPr>
                  <w:tcW w:w="3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加油罩棚</w:t>
                  </w:r>
                </w:p>
              </w:tc>
              <w:tc>
                <w:tcPr>
                  <w:tcW w:w="17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1座钢架结构，占地面积800</w:t>
                  </w:r>
                  <w:r>
                    <w:rPr>
                      <w:rFonts w:hint="default" w:ascii="Times New Roman" w:hAnsi="Times New Roman" w:cs="Times New Roman"/>
                      <w:color w:val="000000" w:themeColor="text1"/>
                      <w:sz w:val="21"/>
                      <w:szCs w:val="21"/>
                      <w14:textFill>
                        <w14:solidFill>
                          <w14:schemeClr w14:val="tx1"/>
                        </w14:solidFill>
                      </w14:textFill>
                    </w:rPr>
                    <w:t>m</w:t>
                  </w:r>
                  <w:r>
                    <w:rPr>
                      <w:rFonts w:hint="default" w:ascii="Times New Roman" w:hAnsi="Times New Roman" w:cs="Times New Roman"/>
                      <w:color w:val="000000" w:themeColor="text1"/>
                      <w:sz w:val="21"/>
                      <w:szCs w:val="21"/>
                      <w:vertAlign w:val="superscript"/>
                      <w14:textFill>
                        <w14:solidFill>
                          <w14:schemeClr w14:val="tx1"/>
                        </w14:solidFill>
                      </w14:textFill>
                    </w:rPr>
                    <w:t>2</w:t>
                  </w:r>
                </w:p>
              </w:tc>
              <w:tc>
                <w:tcPr>
                  <w:tcW w:w="20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一座</w:t>
                  </w:r>
                  <w:r>
                    <w:rPr>
                      <w:rFonts w:hint="default" w:ascii="Times New Roman" w:hAnsi="Times New Roman" w:cs="Times New Roman"/>
                      <w:color w:val="000000" w:themeColor="text1"/>
                      <w:sz w:val="21"/>
                      <w:szCs w:val="21"/>
                      <w:lang w:val="en-US" w:eastAsia="zh-CN"/>
                      <w14:textFill>
                        <w14:solidFill>
                          <w14:schemeClr w14:val="tx1"/>
                        </w14:solidFill>
                      </w14:textFill>
                    </w:rPr>
                    <w:t>螺栓球网架结构</w:t>
                  </w:r>
                  <w:r>
                    <w:rPr>
                      <w:rFonts w:hint="default" w:ascii="Times New Roman" w:hAnsi="Times New Roman" w:cs="Times New Roman"/>
                      <w:color w:val="000000" w:themeColor="text1"/>
                      <w:sz w:val="21"/>
                      <w:szCs w:val="21"/>
                      <w14:textFill>
                        <w14:solidFill>
                          <w14:schemeClr w14:val="tx1"/>
                        </w14:solidFill>
                      </w14:textFill>
                    </w:rPr>
                    <w:t>罩棚，规格</w:t>
                  </w:r>
                  <w:r>
                    <w:rPr>
                      <w:rFonts w:hint="default" w:ascii="Times New Roman" w:hAnsi="Times New Roman" w:cs="Times New Roman"/>
                      <w:color w:val="000000" w:themeColor="text1"/>
                      <w:sz w:val="21"/>
                      <w:szCs w:val="21"/>
                      <w:lang w:val="en-US" w:eastAsia="zh-CN"/>
                      <w14:textFill>
                        <w14:solidFill>
                          <w14:schemeClr w14:val="tx1"/>
                        </w14:solidFill>
                      </w14:textFill>
                    </w:rPr>
                    <w:t>27.72</w:t>
                  </w:r>
                  <w:r>
                    <w:rPr>
                      <w:rFonts w:hint="default" w:ascii="Times New Roman" w:hAnsi="Times New Roman" w:cs="Times New Roman"/>
                      <w:color w:val="000000" w:themeColor="text1"/>
                      <w:sz w:val="21"/>
                      <w:szCs w:val="21"/>
                      <w14:textFill>
                        <w14:solidFill>
                          <w14:schemeClr w14:val="tx1"/>
                        </w14:solidFill>
                      </w14:textFill>
                    </w:rPr>
                    <w:t>m×2</w:t>
                  </w:r>
                  <w:r>
                    <w:rPr>
                      <w:rFonts w:hint="default" w:ascii="Times New Roman" w:hAnsi="Times New Roman" w:cs="Times New Roman"/>
                      <w:color w:val="000000" w:themeColor="text1"/>
                      <w:sz w:val="21"/>
                      <w:szCs w:val="21"/>
                      <w:lang w:val="en-US" w:eastAsia="zh-CN"/>
                      <w14:textFill>
                        <w14:solidFill>
                          <w14:schemeClr w14:val="tx1"/>
                        </w14:solidFill>
                      </w14:textFill>
                    </w:rPr>
                    <w:t>2.72</w:t>
                  </w:r>
                  <w:r>
                    <w:rPr>
                      <w:rFonts w:hint="default" w:ascii="Times New Roman" w:hAnsi="Times New Roman" w:cs="Times New Roman"/>
                      <w:color w:val="000000" w:themeColor="text1"/>
                      <w:sz w:val="21"/>
                      <w:szCs w:val="21"/>
                      <w14:textFill>
                        <w14:solidFill>
                          <w14:schemeClr w14:val="tx1"/>
                        </w14:solidFill>
                      </w14:textFill>
                    </w:rPr>
                    <w:t>m，水平投影面积</w:t>
                  </w:r>
                  <w:r>
                    <w:rPr>
                      <w:rFonts w:hint="default" w:ascii="Times New Roman" w:hAnsi="Times New Roman" w:cs="Times New Roman"/>
                      <w:color w:val="000000" w:themeColor="text1"/>
                      <w:sz w:val="21"/>
                      <w:szCs w:val="21"/>
                      <w:lang w:val="en-US" w:eastAsia="zh-CN"/>
                      <w14:textFill>
                        <w14:solidFill>
                          <w14:schemeClr w14:val="tx1"/>
                        </w14:solidFill>
                      </w14:textFill>
                    </w:rPr>
                    <w:t>629</w:t>
                  </w:r>
                  <w:r>
                    <w:rPr>
                      <w:rFonts w:hint="default" w:ascii="Times New Roman" w:hAnsi="Times New Roman" w:cs="Times New Roman"/>
                      <w:color w:val="000000" w:themeColor="text1"/>
                      <w:sz w:val="21"/>
                      <w:szCs w:val="21"/>
                      <w14:textFill>
                        <w14:solidFill>
                          <w14:schemeClr w14:val="tx1"/>
                        </w14:solidFill>
                      </w14:textFill>
                    </w:rPr>
                    <w:t>m</w:t>
                  </w:r>
                  <w:r>
                    <w:rPr>
                      <w:rFonts w:hint="default" w:ascii="Times New Roman" w:hAnsi="Times New Roman" w:cs="Times New Roman"/>
                      <w:color w:val="000000" w:themeColor="text1"/>
                      <w:sz w:val="21"/>
                      <w:szCs w:val="21"/>
                      <w:vertAlign w:val="superscript"/>
                      <w14:textFill>
                        <w14:solidFill>
                          <w14:schemeClr w14:val="tx1"/>
                        </w14:solidFill>
                      </w14:textFill>
                    </w:rPr>
                    <w:t>2</w:t>
                  </w:r>
                </w:p>
              </w:tc>
              <w:tc>
                <w:tcPr>
                  <w:tcW w:w="5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本项目新建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3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油罐区</w:t>
                  </w:r>
                </w:p>
              </w:tc>
              <w:tc>
                <w:tcPr>
                  <w:tcW w:w="17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位于加油</w:t>
                  </w:r>
                  <w:r>
                    <w:rPr>
                      <w:rFonts w:hint="default" w:ascii="Times New Roman" w:hAnsi="Times New Roman" w:cs="Times New Roman"/>
                      <w:color w:val="000000" w:themeColor="text1"/>
                      <w:sz w:val="21"/>
                      <w:szCs w:val="21"/>
                      <w:lang w:val="en-US" w:eastAsia="zh-CN"/>
                      <w14:textFill>
                        <w14:solidFill>
                          <w14:schemeClr w14:val="tx1"/>
                        </w14:solidFill>
                      </w14:textFill>
                    </w:rPr>
                    <w:t>站罩棚下</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座</w:t>
                  </w:r>
                  <w:r>
                    <w:rPr>
                      <w:rFonts w:hint="default" w:ascii="Times New Roman" w:hAnsi="Times New Roman" w:cs="Times New Roman"/>
                      <w:color w:val="000000" w:themeColor="text1"/>
                      <w:sz w:val="21"/>
                      <w:szCs w:val="21"/>
                      <w:lang w:val="en-US" w:eastAsia="zh-CN"/>
                      <w14:textFill>
                        <w14:solidFill>
                          <w14:schemeClr w14:val="tx1"/>
                        </w14:solidFill>
                      </w14:textFill>
                    </w:rPr>
                    <w:t>15</w:t>
                  </w:r>
                  <w:r>
                    <w:rPr>
                      <w:rFonts w:hint="default" w:ascii="Times New Roman" w:hAnsi="Times New Roman" w:cs="Times New Roman"/>
                      <w:color w:val="000000" w:themeColor="text1"/>
                      <w:sz w:val="21"/>
                      <w:szCs w:val="21"/>
                      <w14:textFill>
                        <w14:solidFill>
                          <w14:schemeClr w14:val="tx1"/>
                        </w14:solidFill>
                      </w14:textFill>
                    </w:rPr>
                    <w:t>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的</w:t>
                  </w:r>
                  <w:r>
                    <w:rPr>
                      <w:rFonts w:hint="default" w:ascii="Times New Roman" w:hAnsi="Times New Roman" w:cs="Times New Roman"/>
                      <w:color w:val="000000" w:themeColor="text1"/>
                      <w:sz w:val="21"/>
                      <w:szCs w:val="21"/>
                      <w:lang w:val="en-US" w:eastAsia="zh-CN"/>
                      <w14:textFill>
                        <w14:solidFill>
                          <w14:schemeClr w14:val="tx1"/>
                        </w14:solidFill>
                      </w14:textFill>
                    </w:rPr>
                    <w:t>卧式</w:t>
                  </w:r>
                  <w:r>
                    <w:rPr>
                      <w:rFonts w:hint="default" w:ascii="Times New Roman" w:hAnsi="Times New Roman" w:cs="Times New Roman"/>
                      <w:color w:val="000000" w:themeColor="text1"/>
                      <w:sz w:val="21"/>
                      <w:szCs w:val="21"/>
                      <w14:textFill>
                        <w14:solidFill>
                          <w14:schemeClr w14:val="tx1"/>
                        </w14:solidFill>
                      </w14:textFill>
                    </w:rPr>
                    <w:t>汽油罐，</w:t>
                  </w:r>
                  <w:r>
                    <w:rPr>
                      <w:rFonts w:hint="default" w:ascii="Times New Roman" w:hAnsi="Times New Roman" w:cs="Times New Roman"/>
                      <w:color w:val="000000" w:themeColor="text1"/>
                      <w:sz w:val="21"/>
                      <w:szCs w:val="21"/>
                      <w:lang w:val="en-US" w:eastAsia="zh-CN"/>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座</w:t>
                  </w:r>
                  <w:r>
                    <w:rPr>
                      <w:rFonts w:hint="default" w:ascii="Times New Roman" w:hAnsi="Times New Roman" w:cs="Times New Roman"/>
                      <w:color w:val="000000" w:themeColor="text1"/>
                      <w:sz w:val="21"/>
                      <w:szCs w:val="21"/>
                      <w:lang w:val="en-US" w:eastAsia="zh-CN"/>
                      <w14:textFill>
                        <w14:solidFill>
                          <w14:schemeClr w14:val="tx1"/>
                        </w14:solidFill>
                      </w14:textFill>
                    </w:rPr>
                    <w:t>15</w:t>
                  </w:r>
                  <w:r>
                    <w:rPr>
                      <w:rFonts w:hint="default" w:ascii="Times New Roman" w:hAnsi="Times New Roman" w:cs="Times New Roman"/>
                      <w:color w:val="000000" w:themeColor="text1"/>
                      <w:sz w:val="21"/>
                      <w:szCs w:val="21"/>
                      <w14:textFill>
                        <w14:solidFill>
                          <w14:schemeClr w14:val="tx1"/>
                        </w14:solidFill>
                      </w14:textFill>
                    </w:rPr>
                    <w:t>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的</w:t>
                  </w:r>
                  <w:r>
                    <w:rPr>
                      <w:rFonts w:hint="default" w:ascii="Times New Roman" w:hAnsi="Times New Roman" w:cs="Times New Roman"/>
                      <w:color w:val="000000" w:themeColor="text1"/>
                      <w:sz w:val="21"/>
                      <w:szCs w:val="21"/>
                      <w:lang w:val="en-US" w:eastAsia="zh-CN"/>
                      <w14:textFill>
                        <w14:solidFill>
                          <w14:schemeClr w14:val="tx1"/>
                        </w14:solidFill>
                      </w14:textFill>
                    </w:rPr>
                    <w:t>卧式</w:t>
                  </w:r>
                  <w:r>
                    <w:rPr>
                      <w:rFonts w:hint="default" w:ascii="Times New Roman" w:hAnsi="Times New Roman" w:cs="Times New Roman"/>
                      <w:color w:val="000000" w:themeColor="text1"/>
                      <w:sz w:val="21"/>
                      <w:szCs w:val="21"/>
                      <w14:textFill>
                        <w14:solidFill>
                          <w14:schemeClr w14:val="tx1"/>
                        </w14:solidFill>
                      </w14:textFill>
                    </w:rPr>
                    <w:t>柴油罐</w:t>
                  </w:r>
                </w:p>
              </w:tc>
              <w:tc>
                <w:tcPr>
                  <w:tcW w:w="20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位于加油站东</w:t>
                  </w:r>
                  <w:r>
                    <w:rPr>
                      <w:rFonts w:hint="default" w:ascii="Times New Roman" w:hAnsi="Times New Roman" w:cs="Times New Roman"/>
                      <w:color w:val="000000" w:themeColor="text1"/>
                      <w:sz w:val="21"/>
                      <w:szCs w:val="21"/>
                      <w:lang w:val="en-US" w:eastAsia="zh-CN"/>
                      <w14:textFill>
                        <w14:solidFill>
                          <w14:schemeClr w14:val="tx1"/>
                        </w14:solidFill>
                      </w14:textFill>
                    </w:rPr>
                    <w:t>北</w:t>
                  </w:r>
                  <w:r>
                    <w:rPr>
                      <w:rFonts w:hint="default" w:ascii="Times New Roman" w:hAnsi="Times New Roman" w:cs="Times New Roman"/>
                      <w:color w:val="000000" w:themeColor="text1"/>
                      <w:sz w:val="21"/>
                      <w:szCs w:val="21"/>
                      <w14:textFill>
                        <w14:solidFill>
                          <w14:schemeClr w14:val="tx1"/>
                        </w14:solidFill>
                      </w14:textFill>
                    </w:rPr>
                    <w:t>侧，</w:t>
                  </w:r>
                  <w:r>
                    <w:rPr>
                      <w:rFonts w:hint="default" w:ascii="Times New Roman" w:hAnsi="Times New Roman"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座30m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的SF双层汽油油罐，2座30m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的SF双层柴油油罐</w:t>
                  </w:r>
                </w:p>
              </w:tc>
              <w:tc>
                <w:tcPr>
                  <w:tcW w:w="5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本项目新建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3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加油机</w:t>
                  </w:r>
                </w:p>
              </w:tc>
              <w:tc>
                <w:tcPr>
                  <w:tcW w:w="17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2座柴油加油岛，2台双枪加油机，2座乙醇汽油加油岛，2台双枪加油机</w:t>
                  </w:r>
                </w:p>
              </w:tc>
              <w:tc>
                <w:tcPr>
                  <w:tcW w:w="20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2座柴油加油岛，2台双枪单油品自吸泵加油机，2座乙醇汽油加油岛，2台双枪单油品自吸泵加油机</w:t>
                  </w:r>
                </w:p>
              </w:tc>
              <w:tc>
                <w:tcPr>
                  <w:tcW w:w="5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利用现有工程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5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辅助工程</w:t>
                  </w:r>
                </w:p>
              </w:tc>
              <w:tc>
                <w:tcPr>
                  <w:tcW w:w="3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站房</w:t>
                  </w:r>
                </w:p>
              </w:tc>
              <w:tc>
                <w:tcPr>
                  <w:tcW w:w="17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1座砖混结构，占地面积200</w:t>
                  </w:r>
                  <w:r>
                    <w:rPr>
                      <w:rFonts w:hint="default" w:ascii="Times New Roman" w:hAnsi="Times New Roman" w:cs="Times New Roman"/>
                      <w:color w:val="000000" w:themeColor="text1"/>
                      <w:sz w:val="21"/>
                      <w:szCs w:val="21"/>
                      <w14:textFill>
                        <w14:solidFill>
                          <w14:schemeClr w14:val="tx1"/>
                        </w14:solidFill>
                      </w14:textFill>
                    </w:rPr>
                    <w:t>m</w:t>
                  </w:r>
                  <w:r>
                    <w:rPr>
                      <w:rFonts w:hint="default" w:ascii="Times New Roman" w:hAnsi="Times New Roman" w:cs="Times New Roman"/>
                      <w:color w:val="000000" w:themeColor="text1"/>
                      <w:sz w:val="21"/>
                      <w:szCs w:val="21"/>
                      <w:vertAlign w:val="superscript"/>
                      <w14:textFill>
                        <w14:solidFill>
                          <w14:schemeClr w14:val="tx1"/>
                        </w14:solidFill>
                      </w14:textFill>
                    </w:rPr>
                    <w:t>2</w:t>
                  </w:r>
                  <w:r>
                    <w:rPr>
                      <w:rFonts w:hint="default" w:ascii="Times New Roman" w:hAnsi="Times New Roman" w:cs="Times New Roman"/>
                      <w:color w:val="000000" w:themeColor="text1"/>
                      <w:sz w:val="21"/>
                      <w:szCs w:val="21"/>
                      <w:lang w:val="en-US" w:eastAsia="zh-CN"/>
                      <w14:textFill>
                        <w14:solidFill>
                          <w14:schemeClr w14:val="tx1"/>
                        </w14:solidFill>
                      </w14:textFill>
                    </w:rPr>
                    <w:t>，设收费室、值班室、变配电室</w:t>
                  </w:r>
                </w:p>
              </w:tc>
              <w:tc>
                <w:tcPr>
                  <w:tcW w:w="20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新建1座框架结构站房，建筑面积172.97</w:t>
                  </w:r>
                  <w:r>
                    <w:rPr>
                      <w:rFonts w:hint="default" w:ascii="Times New Roman" w:hAnsi="Times New Roman" w:cs="Times New Roman"/>
                      <w:color w:val="000000" w:themeColor="text1"/>
                      <w:sz w:val="21"/>
                      <w:szCs w:val="21"/>
                      <w14:textFill>
                        <w14:solidFill>
                          <w14:schemeClr w14:val="tx1"/>
                        </w14:solidFill>
                      </w14:textFill>
                    </w:rPr>
                    <w:t>m</w:t>
                  </w:r>
                  <w:r>
                    <w:rPr>
                      <w:rFonts w:hint="default" w:ascii="Times New Roman" w:hAnsi="Times New Roman" w:cs="Times New Roman"/>
                      <w:color w:val="000000" w:themeColor="text1"/>
                      <w:sz w:val="21"/>
                      <w:szCs w:val="21"/>
                      <w:vertAlign w:val="superscript"/>
                      <w14:textFill>
                        <w14:solidFill>
                          <w14:schemeClr w14:val="tx1"/>
                        </w14:solidFill>
                      </w14:textFill>
                    </w:rPr>
                    <w:t>2</w:t>
                  </w:r>
                  <w:r>
                    <w:rPr>
                      <w:rFonts w:hint="default" w:ascii="Times New Roman" w:hAnsi="Times New Roman" w:cs="Times New Roman"/>
                      <w:color w:val="000000" w:themeColor="text1"/>
                      <w:sz w:val="21"/>
                      <w:szCs w:val="21"/>
                      <w:lang w:val="en-US" w:eastAsia="zh-CN"/>
                      <w14:textFill>
                        <w14:solidFill>
                          <w14:schemeClr w14:val="tx1"/>
                        </w14:solidFill>
                      </w14:textFill>
                    </w:rPr>
                    <w:t>，设值班室、餐厅、便利店、储藏室、办公室、卫生间、配电间</w:t>
                  </w:r>
                </w:p>
              </w:tc>
              <w:tc>
                <w:tcPr>
                  <w:tcW w:w="5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本项目新建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公用工程</w:t>
                  </w:r>
                </w:p>
              </w:tc>
              <w:tc>
                <w:tcPr>
                  <w:tcW w:w="3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供水</w:t>
                  </w:r>
                </w:p>
              </w:tc>
              <w:tc>
                <w:tcPr>
                  <w:tcW w:w="17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市政供水管网供给，用水量</w:t>
                  </w:r>
                  <w:r>
                    <w:rPr>
                      <w:rFonts w:hint="default" w:ascii="Times New Roman" w:hAnsi="Times New Roman" w:cs="Times New Roman"/>
                      <w:color w:val="000000" w:themeColor="text1"/>
                      <w:sz w:val="21"/>
                      <w:szCs w:val="21"/>
                      <w:lang w:val="en-US" w:eastAsia="zh-CN"/>
                      <w14:textFill>
                        <w14:solidFill>
                          <w14:schemeClr w14:val="tx1"/>
                        </w14:solidFill>
                      </w14:textFill>
                    </w:rPr>
                    <w:t>200</w:t>
                  </w:r>
                  <w:r>
                    <w:rPr>
                      <w:rFonts w:hint="default" w:ascii="Times New Roman" w:hAnsi="Times New Roman" w:cs="Times New Roman"/>
                      <w:color w:val="000000" w:themeColor="text1"/>
                      <w:sz w:val="21"/>
                      <w:szCs w:val="21"/>
                      <w14:textFill>
                        <w14:solidFill>
                          <w14:schemeClr w14:val="tx1"/>
                        </w14:solidFill>
                      </w14:textFill>
                    </w:rPr>
                    <w:t>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/a</w:t>
                  </w:r>
                </w:p>
              </w:tc>
              <w:tc>
                <w:tcPr>
                  <w:tcW w:w="20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市政供水管网供给，用水量</w:t>
                  </w:r>
                  <w:r>
                    <w:rPr>
                      <w:rFonts w:hint="default" w:ascii="Times New Roman" w:hAnsi="Times New Roman" w:cs="Times New Roman"/>
                      <w:color w:val="000000" w:themeColor="text1"/>
                      <w:sz w:val="21"/>
                      <w:szCs w:val="21"/>
                      <w:lang w:val="en-US" w:eastAsia="zh-CN"/>
                      <w14:textFill>
                        <w14:solidFill>
                          <w14:schemeClr w14:val="tx1"/>
                        </w14:solidFill>
                      </w14:textFill>
                    </w:rPr>
                    <w:t>200</w:t>
                  </w:r>
                  <w:r>
                    <w:rPr>
                      <w:rFonts w:hint="default" w:ascii="Times New Roman" w:hAnsi="Times New Roman" w:cs="Times New Roman"/>
                      <w:color w:val="000000" w:themeColor="text1"/>
                      <w:sz w:val="21"/>
                      <w:szCs w:val="21"/>
                      <w14:textFill>
                        <w14:solidFill>
                          <w14:schemeClr w14:val="tx1"/>
                        </w14:solidFill>
                      </w14:textFill>
                    </w:rPr>
                    <w:t>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/a</w:t>
                  </w:r>
                </w:p>
              </w:tc>
              <w:tc>
                <w:tcPr>
                  <w:tcW w:w="5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依托现有工程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35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3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供电</w:t>
                  </w:r>
                </w:p>
              </w:tc>
              <w:tc>
                <w:tcPr>
                  <w:tcW w:w="17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由变电站提供，自建配电室</w:t>
                  </w:r>
                  <w:r>
                    <w:rPr>
                      <w:rFonts w:hint="default" w:ascii="Times New Roman" w:hAnsi="Times New Roman" w:cs="Times New Roman"/>
                      <w:color w:val="000000" w:themeColor="text1"/>
                      <w:sz w:val="21"/>
                      <w:szCs w:val="21"/>
                      <w14:textFill>
                        <w14:solidFill>
                          <w14:schemeClr w14:val="tx1"/>
                        </w14:solidFill>
                      </w14:textFill>
                    </w:rPr>
                    <w:t>，用电量</w:t>
                  </w:r>
                  <w:r>
                    <w:rPr>
                      <w:rFonts w:hint="default" w:ascii="Times New Roman" w:hAnsi="Times New Roman" w:cs="Times New Roman"/>
                      <w:color w:val="000000" w:themeColor="text1"/>
                      <w:sz w:val="21"/>
                      <w:szCs w:val="21"/>
                      <w:lang w:val="en-US" w:eastAsia="zh-CN"/>
                      <w14:textFill>
                        <w14:solidFill>
                          <w14:schemeClr w14:val="tx1"/>
                        </w14:solidFill>
                      </w14:textFill>
                    </w:rPr>
                    <w:t>10</w:t>
                  </w:r>
                  <w:r>
                    <w:rPr>
                      <w:rFonts w:hint="default" w:ascii="Times New Roman" w:hAnsi="Times New Roman" w:cs="Times New Roman"/>
                      <w:color w:val="000000" w:themeColor="text1"/>
                      <w:sz w:val="21"/>
                      <w:szCs w:val="21"/>
                      <w14:textFill>
                        <w14:solidFill>
                          <w14:schemeClr w14:val="tx1"/>
                        </w14:solidFill>
                      </w14:textFill>
                    </w:rPr>
                    <w:t>万kwh/a</w:t>
                  </w:r>
                </w:p>
              </w:tc>
              <w:tc>
                <w:tcPr>
                  <w:tcW w:w="20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由变电站提供，自建配电室</w:t>
                  </w:r>
                  <w:r>
                    <w:rPr>
                      <w:rFonts w:hint="default" w:ascii="Times New Roman" w:hAnsi="Times New Roman" w:cs="Times New Roman"/>
                      <w:color w:val="000000" w:themeColor="text1"/>
                      <w:sz w:val="21"/>
                      <w:szCs w:val="21"/>
                      <w14:textFill>
                        <w14:solidFill>
                          <w14:schemeClr w14:val="tx1"/>
                        </w14:solidFill>
                      </w14:textFill>
                    </w:rPr>
                    <w:t>，用电量</w:t>
                  </w:r>
                  <w:r>
                    <w:rPr>
                      <w:rFonts w:hint="default" w:ascii="Times New Roman" w:hAnsi="Times New Roman" w:cs="Times New Roman"/>
                      <w:color w:val="000000" w:themeColor="text1"/>
                      <w:sz w:val="21"/>
                      <w:szCs w:val="21"/>
                      <w:lang w:val="en-US" w:eastAsia="zh-CN"/>
                      <w14:textFill>
                        <w14:solidFill>
                          <w14:schemeClr w14:val="tx1"/>
                        </w14:solidFill>
                      </w14:textFill>
                    </w:rPr>
                    <w:t>10</w:t>
                  </w:r>
                  <w:r>
                    <w:rPr>
                      <w:rFonts w:hint="default" w:ascii="Times New Roman" w:hAnsi="Times New Roman" w:cs="Times New Roman"/>
                      <w:color w:val="000000" w:themeColor="text1"/>
                      <w:sz w:val="21"/>
                      <w:szCs w:val="21"/>
                      <w14:textFill>
                        <w14:solidFill>
                          <w14:schemeClr w14:val="tx1"/>
                        </w14:solidFill>
                      </w14:textFill>
                    </w:rPr>
                    <w:t>万kwh/a</w:t>
                  </w:r>
                </w:p>
              </w:tc>
              <w:tc>
                <w:tcPr>
                  <w:tcW w:w="5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新建配电室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3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排水</w:t>
                  </w:r>
                </w:p>
              </w:tc>
              <w:tc>
                <w:tcPr>
                  <w:tcW w:w="17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生活污水依托加油站附近公厕处理。经公厕化粪池处理后，有管道进入</w:t>
                  </w:r>
                  <w:r>
                    <w:rPr>
                      <w:rFonts w:hint="default" w:ascii="Times New Roman" w:hAnsi="Times New Roman" w:cs="Times New Roman"/>
                      <w:color w:val="000000" w:themeColor="text1"/>
                      <w14:textFill>
                        <w14:solidFill>
                          <w14:schemeClr w14:val="tx1"/>
                        </w14:solidFill>
                      </w14:textFill>
                    </w:rPr>
                    <w:t>漯河经济技术产业集聚区污水处理厂处理</w:t>
                  </w:r>
                </w:p>
              </w:tc>
              <w:tc>
                <w:tcPr>
                  <w:tcW w:w="20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生活污水经化粪池处理后排入漯河经济技术产业集聚区污水处理厂处理</w:t>
                  </w:r>
                </w:p>
              </w:tc>
              <w:tc>
                <w:tcPr>
                  <w:tcW w:w="5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yellow"/>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35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环保工程</w:t>
                  </w:r>
                </w:p>
              </w:tc>
              <w:tc>
                <w:tcPr>
                  <w:tcW w:w="39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废气治理措施</w:t>
                  </w:r>
                </w:p>
              </w:tc>
              <w:tc>
                <w:tcPr>
                  <w:tcW w:w="17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汽油卸油工序：卸油工序连接</w:t>
                  </w:r>
                  <w:r>
                    <w:rPr>
                      <w:rFonts w:hint="default" w:ascii="Times New Roman" w:hAnsi="Times New Roman"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套卸油油气回收系统（每个汽油油罐设置1套）</w:t>
                  </w:r>
                </w:p>
              </w:tc>
              <w:tc>
                <w:tcPr>
                  <w:tcW w:w="20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汽油卸油工序：卸油工序连接</w:t>
                  </w:r>
                  <w:r>
                    <w:rPr>
                      <w:rFonts w:hint="default" w:ascii="Times New Roman" w:hAnsi="Times New Roman"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套卸油油气回收系统（每个汽油油罐设置1套）</w:t>
                  </w:r>
                </w:p>
              </w:tc>
              <w:tc>
                <w:tcPr>
                  <w:tcW w:w="5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35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3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7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汽油加油工序：加油机设置</w:t>
                  </w:r>
                  <w:r>
                    <w:rPr>
                      <w:rFonts w:hint="default" w:ascii="Times New Roman" w:hAnsi="Times New Roman"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套加油油气回收系统（每台汽油加油机设置1套）</w:t>
                  </w:r>
                </w:p>
              </w:tc>
              <w:tc>
                <w:tcPr>
                  <w:tcW w:w="20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汽油加油工序：加油机设置</w:t>
                  </w:r>
                  <w:r>
                    <w:rPr>
                      <w:rFonts w:hint="default" w:ascii="Times New Roman" w:hAnsi="Times New Roman"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套加油油气回收系统（每台汽油加油机设置1套）</w:t>
                  </w:r>
                </w:p>
              </w:tc>
              <w:tc>
                <w:tcPr>
                  <w:tcW w:w="5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3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废水治理措施</w:t>
                  </w:r>
                </w:p>
              </w:tc>
              <w:tc>
                <w:tcPr>
                  <w:tcW w:w="17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生活污水依托加油站附近公厕处理。经公厕化粪池</w:t>
                  </w:r>
                  <w:r>
                    <w:rPr>
                      <w:rFonts w:hint="default" w:ascii="Times New Roman" w:hAnsi="Times New Roman" w:cs="Times New Roman"/>
                      <w:color w:val="000000" w:themeColor="text1"/>
                      <w:sz w:val="21"/>
                      <w:szCs w:val="21"/>
                      <w14:textFill>
                        <w14:solidFill>
                          <w14:schemeClr w14:val="tx1"/>
                        </w14:solidFill>
                      </w14:textFill>
                    </w:rPr>
                    <w:t>（5m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处理后，有管道进入</w:t>
                  </w:r>
                  <w:r>
                    <w:rPr>
                      <w:rFonts w:hint="default" w:ascii="Times New Roman" w:hAnsi="Times New Roman" w:cs="Times New Roman"/>
                      <w:color w:val="000000" w:themeColor="text1"/>
                      <w14:textFill>
                        <w14:solidFill>
                          <w14:schemeClr w14:val="tx1"/>
                        </w14:solidFill>
                      </w14:textFill>
                    </w:rPr>
                    <w:t>漯河经济技术产业集聚区污水处理厂处理</w:t>
                  </w:r>
                </w:p>
              </w:tc>
              <w:tc>
                <w:tcPr>
                  <w:tcW w:w="20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生活污水经化粪池</w:t>
                  </w:r>
                  <w:r>
                    <w:rPr>
                      <w:rFonts w:hint="default" w:ascii="Times New Roman" w:hAnsi="Times New Roman" w:cs="Times New Roman"/>
                      <w:color w:val="000000" w:themeColor="text1"/>
                      <w:sz w:val="21"/>
                      <w:szCs w:val="21"/>
                      <w14:textFill>
                        <w14:solidFill>
                          <w14:schemeClr w14:val="tx1"/>
                        </w14:solidFill>
                      </w14:textFill>
                    </w:rPr>
                    <w:t>（5m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处理后排入漯河经济技术产业集聚区污水处理厂处理</w:t>
                  </w:r>
                </w:p>
              </w:tc>
              <w:tc>
                <w:tcPr>
                  <w:tcW w:w="5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3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噪声治理措施</w:t>
                  </w:r>
                </w:p>
              </w:tc>
              <w:tc>
                <w:tcPr>
                  <w:tcW w:w="17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基础减震，隔声</w:t>
                  </w:r>
                </w:p>
              </w:tc>
              <w:tc>
                <w:tcPr>
                  <w:tcW w:w="20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基础减震，隔声</w:t>
                  </w:r>
                </w:p>
              </w:tc>
              <w:tc>
                <w:tcPr>
                  <w:tcW w:w="5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新建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39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固废治理措施</w:t>
                  </w:r>
                </w:p>
              </w:tc>
              <w:tc>
                <w:tcPr>
                  <w:tcW w:w="17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油泥：委托有资质单位清理后</w:t>
                  </w:r>
                  <w:r>
                    <w:rPr>
                      <w:rFonts w:hint="default" w:ascii="Times New Roman" w:hAnsi="Times New Roman" w:cs="Times New Roman"/>
                      <w:color w:val="000000" w:themeColor="text1"/>
                      <w:sz w:val="21"/>
                      <w:szCs w:val="21"/>
                      <w:lang w:val="en-US" w:eastAsia="zh-CN"/>
                      <w14:textFill>
                        <w14:solidFill>
                          <w14:schemeClr w14:val="tx1"/>
                        </w14:solidFill>
                      </w14:textFill>
                    </w:rPr>
                    <w:t>直接</w:t>
                  </w:r>
                  <w:r>
                    <w:rPr>
                      <w:rFonts w:hint="default" w:ascii="Times New Roman" w:hAnsi="Times New Roman" w:cs="Times New Roman"/>
                      <w:color w:val="000000" w:themeColor="text1"/>
                      <w:sz w:val="21"/>
                      <w:szCs w:val="21"/>
                      <w14:textFill>
                        <w14:solidFill>
                          <w14:schemeClr w14:val="tx1"/>
                        </w14:solidFill>
                      </w14:textFill>
                    </w:rPr>
                    <w:t>带走处置，不在加油站暂存</w:t>
                  </w:r>
                </w:p>
              </w:tc>
              <w:tc>
                <w:tcPr>
                  <w:tcW w:w="20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油泥：委托有资质单位清理后</w:t>
                  </w:r>
                  <w:r>
                    <w:rPr>
                      <w:rFonts w:hint="default" w:ascii="Times New Roman" w:hAnsi="Times New Roman" w:cs="Times New Roman"/>
                      <w:color w:val="000000" w:themeColor="text1"/>
                      <w:sz w:val="21"/>
                      <w:szCs w:val="21"/>
                      <w:lang w:val="en-US" w:eastAsia="zh-CN"/>
                      <w14:textFill>
                        <w14:solidFill>
                          <w14:schemeClr w14:val="tx1"/>
                        </w14:solidFill>
                      </w14:textFill>
                    </w:rPr>
                    <w:t>直接</w:t>
                  </w:r>
                  <w:r>
                    <w:rPr>
                      <w:rFonts w:hint="default" w:ascii="Times New Roman" w:hAnsi="Times New Roman" w:cs="Times New Roman"/>
                      <w:color w:val="000000" w:themeColor="text1"/>
                      <w:sz w:val="21"/>
                      <w:szCs w:val="21"/>
                      <w14:textFill>
                        <w14:solidFill>
                          <w14:schemeClr w14:val="tx1"/>
                        </w14:solidFill>
                      </w14:textFill>
                    </w:rPr>
                    <w:t>带走处置，不在加油站暂存</w:t>
                  </w:r>
                </w:p>
              </w:tc>
              <w:tc>
                <w:tcPr>
                  <w:tcW w:w="5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3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17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设置垃圾桶，由环卫部门统一清运</w:t>
                  </w:r>
                </w:p>
              </w:tc>
              <w:tc>
                <w:tcPr>
                  <w:tcW w:w="20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设置垃圾桶，由环卫部门统一清运</w:t>
                  </w:r>
                </w:p>
              </w:tc>
              <w:tc>
                <w:tcPr>
                  <w:tcW w:w="5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依托现有工程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3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地下水防治措施</w:t>
                  </w:r>
                </w:p>
              </w:tc>
              <w:tc>
                <w:tcPr>
                  <w:tcW w:w="171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源头控制、站区内分区防渗；双层储油罐、配套相应的双层罐测漏系统；双层输油管道、配套在线渗漏检测系统</w:t>
                  </w:r>
                </w:p>
              </w:tc>
              <w:tc>
                <w:tcPr>
                  <w:tcW w:w="20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源头控制、站区内分区防渗；双层储油罐、配套相应的双层罐测漏系统；双层输油管道、配套在线渗漏检测系统</w:t>
                  </w:r>
                </w:p>
              </w:tc>
              <w:tc>
                <w:tcPr>
                  <w:tcW w:w="5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新建</w:t>
                  </w:r>
                </w:p>
              </w:tc>
            </w:tr>
          </w:tbl>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cs="Times New Roman"/>
                <w:b/>
                <w:snapToGrid w:val="0"/>
                <w:color w:val="000000" w:themeColor="text1"/>
                <w:sz w:val="24"/>
                <w:szCs w:val="24"/>
                <w14:textFill>
                  <w14:solidFill>
                    <w14:schemeClr w14:val="tx1"/>
                  </w14:solidFill>
                </w14:textFill>
              </w:rPr>
            </w:pPr>
            <w:r>
              <w:rPr>
                <w:rFonts w:hint="default" w:ascii="Times New Roman" w:hAnsi="Times New Roman" w:cs="Times New Roman"/>
                <w:b/>
                <w:snapToGrid w:val="0"/>
                <w:color w:val="000000" w:themeColor="text1"/>
                <w:sz w:val="24"/>
                <w:szCs w:val="24"/>
                <w14:textFill>
                  <w14:solidFill>
                    <w14:schemeClr w14:val="tx1"/>
                  </w14:solidFill>
                </w14:textFill>
              </w:rPr>
              <w:t>3、生产规模及产品方案</w:t>
            </w:r>
          </w:p>
          <w:p>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snapToGrid w:val="0"/>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本项目</w:t>
            </w:r>
            <w:r>
              <w:rPr>
                <w:rFonts w:hint="default" w:ascii="Times New Roman" w:hAnsi="Times New Roman" w:cs="Times New Roman"/>
                <w:color w:val="000000" w:themeColor="text1"/>
                <w:sz w:val="24"/>
                <w:szCs w:val="24"/>
                <w14:textFill>
                  <w14:solidFill>
                    <w14:schemeClr w14:val="tx1"/>
                  </w14:solidFill>
                </w14:textFill>
              </w:rPr>
              <w:t>产品方案及销售规模见下表</w:t>
            </w:r>
            <w:r>
              <w:rPr>
                <w:rFonts w:hint="default" w:ascii="Times New Roman" w:hAnsi="Times New Roman" w:cs="Times New Roman"/>
                <w:snapToGrid w:val="0"/>
                <w:color w:val="000000" w:themeColor="text1"/>
                <w:sz w:val="24"/>
                <w:szCs w:val="24"/>
                <w14:textFill>
                  <w14:solidFill>
                    <w14:schemeClr w14:val="tx1"/>
                  </w14:solidFill>
                </w14:textFill>
              </w:rPr>
              <w:t>。</w:t>
            </w:r>
          </w:p>
          <w:p>
            <w:pPr>
              <w:pStyle w:val="15"/>
              <w:keepNext w:val="0"/>
              <w:keepLines w:val="0"/>
              <w:pageBreakBefore w:val="0"/>
              <w:widowControl w:val="0"/>
              <w:kinsoku/>
              <w:wordWrap/>
              <w:overflowPunct/>
              <w:topLinePunct w:val="0"/>
              <w:autoSpaceDE/>
              <w:autoSpaceDN/>
              <w:bidi w:val="0"/>
              <w:spacing w:line="400" w:lineRule="exact"/>
              <w:ind w:left="0" w:firstLine="482"/>
              <w:textAlignment w:val="auto"/>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t>表11           本项目产品方案及销售规模一览表      单位：t/a</w:t>
            </w:r>
          </w:p>
          <w:tbl>
            <w:tblPr>
              <w:tblStyle w:val="38"/>
              <w:tblW w:w="899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00"/>
              <w:gridCol w:w="1742"/>
              <w:gridCol w:w="1560"/>
              <w:gridCol w:w="1567"/>
              <w:gridCol w:w="1308"/>
              <w:gridCol w:w="20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0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序号</w:t>
                  </w:r>
                </w:p>
              </w:tc>
              <w:tc>
                <w:tcPr>
                  <w:tcW w:w="174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产品名称</w:t>
                  </w:r>
                </w:p>
              </w:tc>
              <w:tc>
                <w:tcPr>
                  <w:tcW w:w="4435"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产能</w:t>
                  </w:r>
                </w:p>
              </w:tc>
              <w:tc>
                <w:tcPr>
                  <w:tcW w:w="201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00" w:type="dxa"/>
                  <w:vMerge w:val="continue"/>
                  <w:tcBorders>
                    <w:tl2br w:val="nil"/>
                    <w:tr2bl w:val="nil"/>
                  </w:tcBorders>
                  <w:noWrap w:val="0"/>
                  <w:vAlign w:val="center"/>
                </w:tcPr>
                <w:p>
                  <w:pPr>
                    <w:pStyle w:val="4"/>
                    <w:keepNext/>
                    <w:keepLines w:val="0"/>
                    <w:pageBreakBefore w:val="0"/>
                    <w:widowControl w:val="0"/>
                    <w:kinsoku/>
                    <w:wordWrap/>
                    <w:overflowPunct w:val="0"/>
                    <w:topLinePunct w:val="0"/>
                    <w:autoSpaceDE/>
                    <w:autoSpaceDN/>
                    <w:bidi w:val="0"/>
                    <w:adjustRightInd/>
                    <w:snapToGrid w:val="0"/>
                    <w:spacing w:before="0" w:after="0" w:line="400" w:lineRule="exact"/>
                    <w:ind w:left="0" w:firstLine="0"/>
                    <w:jc w:val="center"/>
                    <w:textAlignment w:val="auto"/>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pPr>
                </w:p>
              </w:tc>
              <w:tc>
                <w:tcPr>
                  <w:tcW w:w="1742" w:type="dxa"/>
                  <w:vMerge w:val="continue"/>
                  <w:tcBorders>
                    <w:tl2br w:val="nil"/>
                    <w:tr2bl w:val="nil"/>
                  </w:tcBorders>
                  <w:noWrap w:val="0"/>
                  <w:vAlign w:val="center"/>
                </w:tcPr>
                <w:p>
                  <w:pPr>
                    <w:pStyle w:val="4"/>
                    <w:keepNext/>
                    <w:keepLines w:val="0"/>
                    <w:pageBreakBefore w:val="0"/>
                    <w:widowControl w:val="0"/>
                    <w:kinsoku/>
                    <w:wordWrap/>
                    <w:overflowPunct w:val="0"/>
                    <w:topLinePunct w:val="0"/>
                    <w:autoSpaceDE/>
                    <w:autoSpaceDN/>
                    <w:bidi w:val="0"/>
                    <w:adjustRightInd/>
                    <w:snapToGrid w:val="0"/>
                    <w:spacing w:before="0" w:after="0" w:line="400" w:lineRule="exact"/>
                    <w:ind w:left="0" w:firstLine="0"/>
                    <w:jc w:val="center"/>
                    <w:textAlignment w:val="auto"/>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pPr>
                </w:p>
              </w:tc>
              <w:tc>
                <w:tcPr>
                  <w:tcW w:w="15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t>现有项目</w:t>
                  </w:r>
                </w:p>
              </w:tc>
              <w:tc>
                <w:tcPr>
                  <w:tcW w:w="15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b/>
                      <w:bCs/>
                      <w:color w:val="000000" w:themeColor="text1"/>
                      <w:kern w:val="2"/>
                      <w:sz w:val="21"/>
                      <w:szCs w:val="21"/>
                      <w:lang w:val="en-US" w:eastAsia="zh-CN" w:bidi="ar-SA"/>
                      <w14:textFill>
                        <w14:solidFill>
                          <w14:schemeClr w14:val="tx1"/>
                        </w14:solidFill>
                      </w14:textFill>
                    </w:rPr>
                    <w:t>改扩建</w:t>
                  </w:r>
                  <w:r>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t>完成后</w:t>
                  </w:r>
                </w:p>
              </w:tc>
              <w:tc>
                <w:tcPr>
                  <w:tcW w:w="13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t>变化量</w:t>
                  </w:r>
                </w:p>
              </w:tc>
              <w:tc>
                <w:tcPr>
                  <w:tcW w:w="2013" w:type="dxa"/>
                  <w:vMerge w:val="continue"/>
                  <w:tcBorders>
                    <w:tl2br w:val="nil"/>
                    <w:tr2bl w:val="nil"/>
                  </w:tcBorders>
                  <w:noWrap w:val="0"/>
                  <w:vAlign w:val="center"/>
                </w:tcPr>
                <w:p>
                  <w:pPr>
                    <w:pStyle w:val="4"/>
                    <w:keepNext/>
                    <w:keepLines w:val="0"/>
                    <w:pageBreakBefore w:val="0"/>
                    <w:widowControl w:val="0"/>
                    <w:kinsoku/>
                    <w:wordWrap/>
                    <w:overflowPunct w:val="0"/>
                    <w:topLinePunct w:val="0"/>
                    <w:autoSpaceDE/>
                    <w:autoSpaceDN/>
                    <w:bidi w:val="0"/>
                    <w:adjustRightInd/>
                    <w:snapToGrid w:val="0"/>
                    <w:spacing w:before="0" w:after="0" w:line="400" w:lineRule="exact"/>
                    <w:ind w:left="0" w:firstLine="0"/>
                    <w:jc w:val="center"/>
                    <w:textAlignment w:val="auto"/>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17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92#汽油</w:t>
                  </w:r>
                </w:p>
              </w:tc>
              <w:tc>
                <w:tcPr>
                  <w:tcW w:w="15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500</w:t>
                  </w:r>
                </w:p>
              </w:tc>
              <w:tc>
                <w:tcPr>
                  <w:tcW w:w="15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600</w:t>
                  </w:r>
                </w:p>
              </w:tc>
              <w:tc>
                <w:tcPr>
                  <w:tcW w:w="13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+100</w:t>
                  </w:r>
                </w:p>
              </w:tc>
              <w:tc>
                <w:tcPr>
                  <w:tcW w:w="2013" w:type="dxa"/>
                  <w:vMerge w:val="restart"/>
                  <w:tcBorders>
                    <w:tl2br w:val="nil"/>
                    <w:tr2bl w:val="nil"/>
                  </w:tcBorders>
                  <w:noWrap w:val="0"/>
                  <w:vAlign w:val="center"/>
                </w:tcPr>
                <w:p>
                  <w:pPr>
                    <w:pStyle w:val="4"/>
                    <w:keepNext/>
                    <w:keepLines w:val="0"/>
                    <w:pageBreakBefore w:val="0"/>
                    <w:widowControl w:val="0"/>
                    <w:kinsoku/>
                    <w:wordWrap/>
                    <w:overflowPunct w:val="0"/>
                    <w:topLinePunct w:val="0"/>
                    <w:autoSpaceDE/>
                    <w:autoSpaceDN/>
                    <w:bidi w:val="0"/>
                    <w:adjustRightInd/>
                    <w:snapToGrid w:val="0"/>
                    <w:spacing w:before="0" w:after="0" w:line="400" w:lineRule="exact"/>
                    <w:ind w:left="0" w:firstLine="0"/>
                    <w:jc w:val="center"/>
                    <w:textAlignment w:val="auto"/>
                    <w:rPr>
                      <w:rFonts w:hint="default" w:ascii="Times New Roman" w:hAnsi="Times New Roman" w:cs="Times New Roman"/>
                      <w:color w:val="000000" w:themeColor="text1"/>
                      <w:sz w:val="21"/>
                      <w:szCs w:val="21"/>
                      <w:vertAlign w:val="baseli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t>分别储存于2座30m</w:t>
                  </w:r>
                  <w:r>
                    <w:rPr>
                      <w:rFonts w:hint="default" w:ascii="Times New Roman" w:hAnsi="Times New Roman" w:eastAsia="宋体" w:cs="Times New Roman"/>
                      <w:b w:val="0"/>
                      <w:bCs w:val="0"/>
                      <w:color w:val="000000" w:themeColor="text1"/>
                      <w:kern w:val="0"/>
                      <w:sz w:val="21"/>
                      <w:szCs w:val="21"/>
                      <w:vertAlign w:val="superscript"/>
                      <w:lang w:val="en-US" w:eastAsia="zh-CN" w:bidi="ar-SA"/>
                      <w14:textFill>
                        <w14:solidFill>
                          <w14:schemeClr w14:val="tx1"/>
                        </w14:solidFill>
                      </w14:textFill>
                    </w:rPr>
                    <w:t>3</w:t>
                  </w:r>
                  <w:r>
                    <w:rPr>
                      <w:rFonts w:hint="default"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t>的SF双层汽油油罐，2座30m</w:t>
                  </w:r>
                  <w:r>
                    <w:rPr>
                      <w:rFonts w:hint="default" w:ascii="Times New Roman" w:hAnsi="Times New Roman" w:eastAsia="宋体" w:cs="Times New Roman"/>
                      <w:b w:val="0"/>
                      <w:bCs w:val="0"/>
                      <w:color w:val="000000" w:themeColor="text1"/>
                      <w:kern w:val="0"/>
                      <w:sz w:val="21"/>
                      <w:szCs w:val="21"/>
                      <w:vertAlign w:val="superscript"/>
                      <w:lang w:val="en-US" w:eastAsia="zh-CN" w:bidi="ar-SA"/>
                      <w14:textFill>
                        <w14:solidFill>
                          <w14:schemeClr w14:val="tx1"/>
                        </w14:solidFill>
                      </w14:textFill>
                    </w:rPr>
                    <w:t>3</w:t>
                  </w:r>
                  <w:r>
                    <w:rPr>
                      <w:rFonts w:hint="default" w:ascii="Times New Roman" w:hAnsi="Times New Roman" w:eastAsia="宋体" w:cs="Times New Roman"/>
                      <w:b w:val="0"/>
                      <w:bCs w:val="0"/>
                      <w:color w:val="000000" w:themeColor="text1"/>
                      <w:kern w:val="0"/>
                      <w:sz w:val="21"/>
                      <w:szCs w:val="21"/>
                      <w:lang w:val="en-US" w:eastAsia="zh-CN" w:bidi="ar-SA"/>
                      <w14:textFill>
                        <w14:solidFill>
                          <w14:schemeClr w14:val="tx1"/>
                        </w14:solidFill>
                      </w14:textFill>
                    </w:rPr>
                    <w:t>的SF双层柴油油罐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17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95#汽油</w:t>
                  </w:r>
                </w:p>
              </w:tc>
              <w:tc>
                <w:tcPr>
                  <w:tcW w:w="15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300</w:t>
                  </w:r>
                </w:p>
              </w:tc>
              <w:tc>
                <w:tcPr>
                  <w:tcW w:w="15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500</w:t>
                  </w:r>
                </w:p>
              </w:tc>
              <w:tc>
                <w:tcPr>
                  <w:tcW w:w="13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+200</w:t>
                  </w:r>
                </w:p>
              </w:tc>
              <w:tc>
                <w:tcPr>
                  <w:tcW w:w="2013" w:type="dxa"/>
                  <w:vMerge w:val="continue"/>
                  <w:tcBorders>
                    <w:tl2br w:val="nil"/>
                    <w:tr2bl w:val="nil"/>
                  </w:tcBorders>
                  <w:noWrap w:val="0"/>
                  <w:vAlign w:val="center"/>
                </w:tcPr>
                <w:p>
                  <w:pPr>
                    <w:pStyle w:val="4"/>
                    <w:keepNext/>
                    <w:keepLines w:val="0"/>
                    <w:pageBreakBefore w:val="0"/>
                    <w:widowControl w:val="0"/>
                    <w:kinsoku/>
                    <w:wordWrap/>
                    <w:overflowPunct w:val="0"/>
                    <w:topLinePunct w:val="0"/>
                    <w:autoSpaceDE/>
                    <w:autoSpaceDN/>
                    <w:bidi w:val="0"/>
                    <w:adjustRightInd/>
                    <w:snapToGrid w:val="0"/>
                    <w:spacing w:before="0" w:after="0" w:line="400" w:lineRule="exact"/>
                    <w:ind w:left="0" w:firstLine="0"/>
                    <w:jc w:val="center"/>
                    <w:textAlignment w:val="auto"/>
                    <w:rPr>
                      <w:rFonts w:hint="default" w:ascii="Times New Roman" w:hAnsi="Times New Roman" w:cs="Times New Roman"/>
                      <w:color w:val="000000" w:themeColor="text1"/>
                      <w:sz w:val="21"/>
                      <w:szCs w:val="21"/>
                      <w:vertAlign w:val="baseli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17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0#柴油</w:t>
                  </w:r>
                </w:p>
              </w:tc>
              <w:tc>
                <w:tcPr>
                  <w:tcW w:w="15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500</w:t>
                  </w:r>
                </w:p>
              </w:tc>
              <w:tc>
                <w:tcPr>
                  <w:tcW w:w="15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500</w:t>
                  </w:r>
                </w:p>
              </w:tc>
              <w:tc>
                <w:tcPr>
                  <w:tcW w:w="13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0</w:t>
                  </w:r>
                </w:p>
              </w:tc>
              <w:tc>
                <w:tcPr>
                  <w:tcW w:w="2013" w:type="dxa"/>
                  <w:vMerge w:val="continue"/>
                  <w:tcBorders>
                    <w:tl2br w:val="nil"/>
                    <w:tr2bl w:val="nil"/>
                  </w:tcBorders>
                  <w:noWrap w:val="0"/>
                  <w:vAlign w:val="center"/>
                </w:tcPr>
                <w:p>
                  <w:pPr>
                    <w:pStyle w:val="4"/>
                    <w:keepNext/>
                    <w:keepLines w:val="0"/>
                    <w:pageBreakBefore w:val="0"/>
                    <w:widowControl w:val="0"/>
                    <w:kinsoku/>
                    <w:wordWrap/>
                    <w:overflowPunct w:val="0"/>
                    <w:topLinePunct w:val="0"/>
                    <w:autoSpaceDE/>
                    <w:autoSpaceDN/>
                    <w:bidi w:val="0"/>
                    <w:adjustRightInd/>
                    <w:snapToGrid w:val="0"/>
                    <w:spacing w:before="0" w:after="0" w:line="400" w:lineRule="exact"/>
                    <w:ind w:left="0" w:firstLine="0"/>
                    <w:jc w:val="center"/>
                    <w:textAlignment w:val="auto"/>
                    <w:rPr>
                      <w:rFonts w:hint="default" w:ascii="Times New Roman" w:hAnsi="Times New Roman" w:cs="Times New Roman"/>
                      <w:color w:val="000000" w:themeColor="text1"/>
                      <w:sz w:val="21"/>
                      <w:szCs w:val="21"/>
                      <w:vertAlign w:val="baseli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542"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合计</w:t>
                  </w:r>
                </w:p>
              </w:tc>
              <w:tc>
                <w:tcPr>
                  <w:tcW w:w="15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1300</w:t>
                  </w:r>
                </w:p>
              </w:tc>
              <w:tc>
                <w:tcPr>
                  <w:tcW w:w="15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1600</w:t>
                  </w:r>
                </w:p>
              </w:tc>
              <w:tc>
                <w:tcPr>
                  <w:tcW w:w="13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+300</w:t>
                  </w:r>
                </w:p>
              </w:tc>
              <w:tc>
                <w:tcPr>
                  <w:tcW w:w="2013" w:type="dxa"/>
                  <w:vMerge w:val="continue"/>
                  <w:tcBorders>
                    <w:tl2br w:val="nil"/>
                    <w:tr2bl w:val="nil"/>
                  </w:tcBorders>
                  <w:noWrap w:val="0"/>
                  <w:vAlign w:val="center"/>
                </w:tcPr>
                <w:p>
                  <w:pPr>
                    <w:pStyle w:val="4"/>
                    <w:keepNext/>
                    <w:keepLines w:val="0"/>
                    <w:pageBreakBefore w:val="0"/>
                    <w:widowControl w:val="0"/>
                    <w:kinsoku/>
                    <w:wordWrap/>
                    <w:overflowPunct w:val="0"/>
                    <w:topLinePunct w:val="0"/>
                    <w:autoSpaceDE/>
                    <w:autoSpaceDN/>
                    <w:bidi w:val="0"/>
                    <w:adjustRightInd/>
                    <w:snapToGrid w:val="0"/>
                    <w:spacing w:before="0" w:after="0" w:line="400" w:lineRule="exact"/>
                    <w:ind w:left="0" w:firstLine="0"/>
                    <w:jc w:val="center"/>
                    <w:textAlignment w:val="auto"/>
                    <w:rPr>
                      <w:rFonts w:hint="default" w:ascii="Times New Roman" w:hAnsi="Times New Roman" w:cs="Times New Roman"/>
                      <w:color w:val="000000" w:themeColor="text1"/>
                      <w:sz w:val="21"/>
                      <w:szCs w:val="21"/>
                      <w:vertAlign w:val="baseline"/>
                      <w14:textFill>
                        <w14:solidFill>
                          <w14:schemeClr w14:val="tx1"/>
                        </w14:solidFill>
                      </w14:textFill>
                    </w:rPr>
                  </w:pPr>
                </w:p>
              </w:tc>
            </w:tr>
          </w:tbl>
          <w:p>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bCs/>
                <w:snapToGrid w:val="0"/>
                <w:color w:val="000000" w:themeColor="text1"/>
                <w:sz w:val="24"/>
                <w:szCs w:val="24"/>
                <w14:textFill>
                  <w14:solidFill>
                    <w14:schemeClr w14:val="tx1"/>
                  </w14:solidFill>
                </w14:textFill>
              </w:rPr>
            </w:pPr>
            <w:r>
              <w:rPr>
                <w:rFonts w:hint="default" w:ascii="Times New Roman" w:hAnsi="Times New Roman" w:cs="Times New Roman"/>
                <w:bCs/>
                <w:snapToGrid w:val="0"/>
                <w:color w:val="000000" w:themeColor="text1"/>
                <w:sz w:val="24"/>
                <w:szCs w:val="24"/>
                <w14:textFill>
                  <w14:solidFill>
                    <w14:schemeClr w14:val="tx1"/>
                  </w14:solidFill>
                </w14:textFill>
              </w:rPr>
              <w:t>根据《汽车加油加气加氢站技术标准》（GB50156-2021）中规定，</w:t>
            </w:r>
            <w:r>
              <w:rPr>
                <w:rFonts w:hint="default" w:ascii="Times New Roman" w:hAnsi="Times New Roman" w:cs="Times New Roman"/>
                <w:bCs/>
                <w:snapToGrid w:val="0"/>
                <w:color w:val="000000" w:themeColor="text1"/>
                <w:sz w:val="24"/>
                <w:szCs w:val="24"/>
                <w:lang w:eastAsia="zh-CN"/>
                <w14:textFill>
                  <w14:solidFill>
                    <w14:schemeClr w14:val="tx1"/>
                  </w14:solidFill>
                </w14:textFill>
              </w:rPr>
              <w:t>改扩建</w:t>
            </w:r>
            <w:r>
              <w:rPr>
                <w:rFonts w:hint="default" w:ascii="Times New Roman" w:hAnsi="Times New Roman" w:cs="Times New Roman"/>
                <w:bCs/>
                <w:snapToGrid w:val="0"/>
                <w:color w:val="000000" w:themeColor="text1"/>
                <w:sz w:val="24"/>
                <w:szCs w:val="24"/>
                <w14:textFill>
                  <w14:solidFill>
                    <w14:schemeClr w14:val="tx1"/>
                  </w14:solidFill>
                </w14:textFill>
              </w:rPr>
              <w:t>完成后加油站的等级划分规定见下表。</w:t>
            </w:r>
          </w:p>
          <w:p>
            <w:pPr>
              <w:pStyle w:val="15"/>
              <w:keepNext w:val="0"/>
              <w:keepLines w:val="0"/>
              <w:pageBreakBefore w:val="0"/>
              <w:widowControl w:val="0"/>
              <w:kinsoku/>
              <w:wordWrap/>
              <w:overflowPunct/>
              <w:topLinePunct w:val="0"/>
              <w:autoSpaceDE/>
              <w:autoSpaceDN/>
              <w:bidi w:val="0"/>
              <w:spacing w:line="400" w:lineRule="exact"/>
              <w:ind w:left="0" w:firstLine="482"/>
              <w:textAlignment w:val="auto"/>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t>表12                  加油站的等级划分</w:t>
            </w:r>
          </w:p>
          <w:tbl>
            <w:tblPr>
              <w:tblStyle w:val="37"/>
              <w:tblW w:w="899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50"/>
              <w:gridCol w:w="3470"/>
              <w:gridCol w:w="37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50"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snapToGrid w:val="0"/>
                      <w:color w:val="000000" w:themeColor="text1"/>
                      <w:sz w:val="21"/>
                      <w:szCs w:val="21"/>
                      <w14:textFill>
                        <w14:solidFill>
                          <w14:schemeClr w14:val="tx1"/>
                        </w14:solidFill>
                      </w14:textFill>
                    </w:rPr>
                  </w:pPr>
                  <w:r>
                    <w:rPr>
                      <w:rFonts w:hint="default" w:ascii="Times New Roman" w:hAnsi="Times New Roman" w:cs="Times New Roman"/>
                      <w:b/>
                      <w:snapToGrid w:val="0"/>
                      <w:color w:val="000000" w:themeColor="text1"/>
                      <w:sz w:val="21"/>
                      <w:szCs w:val="21"/>
                      <w14:textFill>
                        <w14:solidFill>
                          <w14:schemeClr w14:val="tx1"/>
                        </w14:solidFill>
                      </w14:textFill>
                    </w:rPr>
                    <w:t>级别</w:t>
                  </w:r>
                </w:p>
              </w:tc>
              <w:tc>
                <w:tcPr>
                  <w:tcW w:w="7245"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snapToGrid w:val="0"/>
                      <w:color w:val="000000" w:themeColor="text1"/>
                      <w:sz w:val="21"/>
                      <w:szCs w:val="21"/>
                      <w14:textFill>
                        <w14:solidFill>
                          <w14:schemeClr w14:val="tx1"/>
                        </w14:solidFill>
                      </w14:textFill>
                    </w:rPr>
                  </w:pPr>
                  <w:r>
                    <w:rPr>
                      <w:rFonts w:hint="default" w:ascii="Times New Roman" w:hAnsi="Times New Roman" w:cs="Times New Roman"/>
                      <w:b/>
                      <w:snapToGrid w:val="0"/>
                      <w:color w:val="000000" w:themeColor="text1"/>
                      <w:sz w:val="21"/>
                      <w:szCs w:val="21"/>
                      <w14:textFill>
                        <w14:solidFill>
                          <w14:schemeClr w14:val="tx1"/>
                        </w14:solidFill>
                      </w14:textFill>
                    </w:rPr>
                    <w:t>油罐容积（m</w:t>
                  </w:r>
                  <w:r>
                    <w:rPr>
                      <w:rFonts w:hint="default" w:ascii="Times New Roman" w:hAnsi="Times New Roman" w:cs="Times New Roman"/>
                      <w:b/>
                      <w:snapToGrid w:val="0"/>
                      <w:color w:val="000000" w:themeColor="text1"/>
                      <w:sz w:val="21"/>
                      <w:szCs w:val="21"/>
                      <w:vertAlign w:val="superscript"/>
                      <w14:textFill>
                        <w14:solidFill>
                          <w14:schemeClr w14:val="tx1"/>
                        </w14:solidFill>
                      </w14:textFill>
                    </w:rPr>
                    <w:t>3</w:t>
                  </w:r>
                  <w:r>
                    <w:rPr>
                      <w:rFonts w:hint="default" w:ascii="Times New Roman" w:hAnsi="Times New Roman" w:cs="Times New Roman"/>
                      <w:b/>
                      <w:snapToGrid w:val="0"/>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1750"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snapToGrid w:val="0"/>
                      <w:color w:val="000000" w:themeColor="text1"/>
                      <w:sz w:val="21"/>
                      <w:szCs w:val="21"/>
                      <w14:textFill>
                        <w14:solidFill>
                          <w14:schemeClr w14:val="tx1"/>
                        </w14:solidFill>
                      </w14:textFill>
                    </w:rPr>
                  </w:pPr>
                </w:p>
              </w:tc>
              <w:tc>
                <w:tcPr>
                  <w:tcW w:w="347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snapToGrid w:val="0"/>
                      <w:color w:val="000000" w:themeColor="text1"/>
                      <w:sz w:val="21"/>
                      <w:szCs w:val="21"/>
                      <w14:textFill>
                        <w14:solidFill>
                          <w14:schemeClr w14:val="tx1"/>
                        </w14:solidFill>
                      </w14:textFill>
                    </w:rPr>
                  </w:pPr>
                  <w:r>
                    <w:rPr>
                      <w:rFonts w:hint="default" w:ascii="Times New Roman" w:hAnsi="Times New Roman" w:cs="Times New Roman"/>
                      <w:b/>
                      <w:snapToGrid w:val="0"/>
                      <w:color w:val="000000" w:themeColor="text1"/>
                      <w:sz w:val="21"/>
                      <w:szCs w:val="21"/>
                      <w14:textFill>
                        <w14:solidFill>
                          <w14:schemeClr w14:val="tx1"/>
                        </w14:solidFill>
                      </w14:textFill>
                    </w:rPr>
                    <w:t>总容积</w:t>
                  </w:r>
                </w:p>
              </w:tc>
              <w:tc>
                <w:tcPr>
                  <w:tcW w:w="377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snapToGrid w:val="0"/>
                      <w:color w:val="000000" w:themeColor="text1"/>
                      <w:sz w:val="21"/>
                      <w:szCs w:val="21"/>
                      <w14:textFill>
                        <w14:solidFill>
                          <w14:schemeClr w14:val="tx1"/>
                        </w14:solidFill>
                      </w14:textFill>
                    </w:rPr>
                  </w:pPr>
                  <w:r>
                    <w:rPr>
                      <w:rFonts w:hint="default" w:ascii="Times New Roman" w:hAnsi="Times New Roman" w:cs="Times New Roman"/>
                      <w:b/>
                      <w:snapToGrid w:val="0"/>
                      <w:color w:val="000000" w:themeColor="text1"/>
                      <w:sz w:val="21"/>
                      <w:szCs w:val="21"/>
                      <w14:textFill>
                        <w14:solidFill>
                          <w14:schemeClr w14:val="tx1"/>
                        </w14:solidFill>
                      </w14:textFill>
                    </w:rPr>
                    <w:t>单罐容积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5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snapToGrid w:val="0"/>
                      <w:color w:val="000000" w:themeColor="text1"/>
                      <w:sz w:val="21"/>
                      <w:szCs w:val="21"/>
                      <w14:textFill>
                        <w14:solidFill>
                          <w14:schemeClr w14:val="tx1"/>
                        </w14:solidFill>
                      </w14:textFill>
                    </w:rPr>
                  </w:pPr>
                  <w:r>
                    <w:rPr>
                      <w:rFonts w:hint="default" w:ascii="Times New Roman" w:hAnsi="Times New Roman" w:cs="Times New Roman"/>
                      <w:bCs/>
                      <w:snapToGrid w:val="0"/>
                      <w:color w:val="000000" w:themeColor="text1"/>
                      <w:sz w:val="21"/>
                      <w:szCs w:val="21"/>
                      <w14:textFill>
                        <w14:solidFill>
                          <w14:schemeClr w14:val="tx1"/>
                        </w14:solidFill>
                      </w14:textFill>
                    </w:rPr>
                    <w:t>一级</w:t>
                  </w:r>
                </w:p>
              </w:tc>
              <w:tc>
                <w:tcPr>
                  <w:tcW w:w="347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snapToGrid w:val="0"/>
                      <w:color w:val="000000" w:themeColor="text1"/>
                      <w:sz w:val="21"/>
                      <w:szCs w:val="21"/>
                      <w14:textFill>
                        <w14:solidFill>
                          <w14:schemeClr w14:val="tx1"/>
                        </w14:solidFill>
                      </w14:textFill>
                    </w:rPr>
                  </w:pPr>
                  <w:r>
                    <w:rPr>
                      <w:rFonts w:hint="default" w:ascii="Times New Roman" w:hAnsi="Times New Roman" w:cs="Times New Roman"/>
                      <w:bCs/>
                      <w:snapToGrid w:val="0"/>
                      <w:color w:val="000000" w:themeColor="text1"/>
                      <w:sz w:val="21"/>
                      <w:szCs w:val="21"/>
                      <w14:textFill>
                        <w14:solidFill>
                          <w14:schemeClr w14:val="tx1"/>
                        </w14:solidFill>
                      </w14:textFill>
                    </w:rPr>
                    <w:t>150＜V≤210</w:t>
                  </w:r>
                </w:p>
              </w:tc>
              <w:tc>
                <w:tcPr>
                  <w:tcW w:w="377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snapToGrid w:val="0"/>
                      <w:color w:val="000000" w:themeColor="text1"/>
                      <w:sz w:val="21"/>
                      <w:szCs w:val="21"/>
                      <w14:textFill>
                        <w14:solidFill>
                          <w14:schemeClr w14:val="tx1"/>
                        </w14:solidFill>
                      </w14:textFill>
                    </w:rPr>
                  </w:pPr>
                  <w:r>
                    <w:rPr>
                      <w:rFonts w:hint="default" w:ascii="Times New Roman" w:hAnsi="Times New Roman" w:cs="Times New Roman"/>
                      <w:bCs/>
                      <w:snapToGrid w:val="0"/>
                      <w:color w:val="000000" w:themeColor="text1"/>
                      <w:sz w:val="21"/>
                      <w:szCs w:val="21"/>
                      <w14:textFill>
                        <w14:solidFill>
                          <w14:schemeClr w14:val="tx1"/>
                        </w14:solidFill>
                      </w14:textFill>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175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14:textFill>
                        <w14:solidFill>
                          <w14:schemeClr w14:val="tx1"/>
                        </w14:solidFill>
                      </w14:textFill>
                    </w:rPr>
                    <w:t>二级</w:t>
                  </w:r>
                </w:p>
              </w:tc>
              <w:tc>
                <w:tcPr>
                  <w:tcW w:w="347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14:textFill>
                        <w14:solidFill>
                          <w14:schemeClr w14:val="tx1"/>
                        </w14:solidFill>
                      </w14:textFill>
                    </w:rPr>
                    <w:t>90＜V≤150</w:t>
                  </w:r>
                </w:p>
              </w:tc>
              <w:tc>
                <w:tcPr>
                  <w:tcW w:w="377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14:textFill>
                        <w14:solidFill>
                          <w14:schemeClr w14:val="tx1"/>
                        </w14:solidFill>
                      </w14:textFill>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5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14:textFill>
                        <w14:solidFill>
                          <w14:schemeClr w14:val="tx1"/>
                        </w14:solidFill>
                      </w14:textFill>
                    </w:rPr>
                    <w:t>三级</w:t>
                  </w:r>
                </w:p>
              </w:tc>
              <w:tc>
                <w:tcPr>
                  <w:tcW w:w="347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14:textFill>
                        <w14:solidFill>
                          <w14:schemeClr w14:val="tx1"/>
                        </w14:solidFill>
                      </w14:textFill>
                    </w:rPr>
                    <w:t>≤90</w:t>
                  </w:r>
                </w:p>
              </w:tc>
              <w:tc>
                <w:tcPr>
                  <w:tcW w:w="377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14:textFill>
                        <w14:solidFill>
                          <w14:schemeClr w14:val="tx1"/>
                        </w14:solidFill>
                      </w14:textFill>
                    </w:rPr>
                    <w:t>汽油罐V≤30，柴油罐V≤50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95" w:type="dxa"/>
                  <w:gridSpan w:val="3"/>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14:textFill>
                        <w14:solidFill>
                          <w14:schemeClr w14:val="tx1"/>
                        </w14:solidFill>
                      </w14:textFill>
                    </w:rPr>
                    <w:t>注：V为油罐总容积。柴油罐容积可折半计入油罐总容积。</w:t>
                  </w:r>
                </w:p>
              </w:tc>
            </w:tr>
          </w:tbl>
          <w:p>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bCs/>
                <w:snapToGrid w:val="0"/>
                <w:color w:val="000000" w:themeColor="text1"/>
                <w:sz w:val="24"/>
                <w:szCs w:val="24"/>
                <w14:textFill>
                  <w14:solidFill>
                    <w14:schemeClr w14:val="tx1"/>
                  </w14:solidFill>
                </w14:textFill>
              </w:rPr>
            </w:pPr>
            <w:r>
              <w:rPr>
                <w:rFonts w:hint="default" w:ascii="Times New Roman" w:hAnsi="Times New Roman" w:cs="Times New Roman"/>
                <w:bCs/>
                <w:snapToGrid w:val="0"/>
                <w:color w:val="000000" w:themeColor="text1"/>
                <w:sz w:val="24"/>
                <w:szCs w:val="24"/>
                <w14:textFill>
                  <w14:solidFill>
                    <w14:schemeClr w14:val="tx1"/>
                  </w14:solidFill>
                </w14:textFill>
              </w:rPr>
              <w:t>本项目设置地埋油罐</w:t>
            </w:r>
            <w:r>
              <w:rPr>
                <w:rFonts w:hint="default" w:ascii="Times New Roman" w:hAnsi="Times New Roman" w:cs="Times New Roman"/>
                <w:bCs/>
                <w:snapToGrid w:val="0"/>
                <w:color w:val="000000" w:themeColor="text1"/>
                <w:sz w:val="24"/>
                <w:szCs w:val="24"/>
                <w:lang w:val="en-US" w:eastAsia="zh-CN"/>
                <w14:textFill>
                  <w14:solidFill>
                    <w14:schemeClr w14:val="tx1"/>
                  </w14:solidFill>
                </w14:textFill>
              </w:rPr>
              <w:t>4</w:t>
            </w:r>
            <w:r>
              <w:rPr>
                <w:rFonts w:hint="default" w:ascii="Times New Roman" w:hAnsi="Times New Roman" w:cs="Times New Roman"/>
                <w:bCs/>
                <w:snapToGrid w:val="0"/>
                <w:color w:val="000000" w:themeColor="text1"/>
                <w:sz w:val="24"/>
                <w:szCs w:val="24"/>
                <w14:textFill>
                  <w14:solidFill>
                    <w14:schemeClr w14:val="tx1"/>
                  </w14:solidFill>
                </w14:textFill>
              </w:rPr>
              <w:t>个（其中</w:t>
            </w:r>
            <w:r>
              <w:rPr>
                <w:rFonts w:hint="default" w:ascii="Times New Roman" w:hAnsi="Times New Roman" w:cs="Times New Roman"/>
                <w:bCs/>
                <w:snapToGrid w:val="0"/>
                <w:color w:val="000000" w:themeColor="text1"/>
                <w:sz w:val="24"/>
                <w:szCs w:val="24"/>
                <w:lang w:val="en-US" w:eastAsia="zh-CN"/>
                <w14:textFill>
                  <w14:solidFill>
                    <w14:schemeClr w14:val="tx1"/>
                  </w14:solidFill>
                </w14:textFill>
              </w:rPr>
              <w:t>2</w:t>
            </w:r>
            <w:r>
              <w:rPr>
                <w:rFonts w:hint="default" w:ascii="Times New Roman" w:hAnsi="Times New Roman" w:cs="Times New Roman"/>
                <w:bCs/>
                <w:snapToGrid w:val="0"/>
                <w:color w:val="000000" w:themeColor="text1"/>
                <w:sz w:val="24"/>
                <w:szCs w:val="24"/>
                <w14:textFill>
                  <w14:solidFill>
                    <w14:schemeClr w14:val="tx1"/>
                  </w14:solidFill>
                </w14:textFill>
              </w:rPr>
              <w:t>个30m</w:t>
            </w:r>
            <w:r>
              <w:rPr>
                <w:rFonts w:hint="default" w:ascii="Times New Roman" w:hAnsi="Times New Roman" w:cs="Times New Roman"/>
                <w:bCs/>
                <w:snapToGrid w:val="0"/>
                <w:color w:val="000000" w:themeColor="text1"/>
                <w:sz w:val="24"/>
                <w:szCs w:val="24"/>
                <w:vertAlign w:val="superscript"/>
                <w14:textFill>
                  <w14:solidFill>
                    <w14:schemeClr w14:val="tx1"/>
                  </w14:solidFill>
                </w14:textFill>
              </w:rPr>
              <w:t>3</w:t>
            </w:r>
            <w:r>
              <w:rPr>
                <w:rFonts w:hint="default" w:ascii="Times New Roman" w:hAnsi="Times New Roman" w:cs="Times New Roman"/>
                <w:bCs/>
                <w:snapToGrid w:val="0"/>
                <w:color w:val="000000" w:themeColor="text1"/>
                <w:sz w:val="24"/>
                <w:szCs w:val="24"/>
                <w14:textFill>
                  <w14:solidFill>
                    <w14:schemeClr w14:val="tx1"/>
                  </w14:solidFill>
                </w14:textFill>
              </w:rPr>
              <w:t>汽油罐，2个30m</w:t>
            </w:r>
            <w:r>
              <w:rPr>
                <w:rFonts w:hint="default" w:ascii="Times New Roman" w:hAnsi="Times New Roman" w:cs="Times New Roman"/>
                <w:bCs/>
                <w:snapToGrid w:val="0"/>
                <w:color w:val="000000" w:themeColor="text1"/>
                <w:sz w:val="24"/>
                <w:szCs w:val="24"/>
                <w:vertAlign w:val="superscript"/>
                <w14:textFill>
                  <w14:solidFill>
                    <w14:schemeClr w14:val="tx1"/>
                  </w14:solidFill>
                </w14:textFill>
              </w:rPr>
              <w:t>3</w:t>
            </w:r>
            <w:r>
              <w:rPr>
                <w:rFonts w:hint="default" w:ascii="Times New Roman" w:hAnsi="Times New Roman" w:cs="Times New Roman"/>
                <w:bCs/>
                <w:snapToGrid w:val="0"/>
                <w:color w:val="000000" w:themeColor="text1"/>
                <w:sz w:val="24"/>
                <w:szCs w:val="24"/>
                <w14:textFill>
                  <w14:solidFill>
                    <w14:schemeClr w14:val="tx1"/>
                  </w14:solidFill>
                </w14:textFill>
              </w:rPr>
              <w:t>柴油罐），油罐总容积为</w:t>
            </w:r>
            <w:r>
              <w:rPr>
                <w:rFonts w:hint="default" w:ascii="Times New Roman" w:hAnsi="Times New Roman" w:cs="Times New Roman"/>
                <w:bCs/>
                <w:snapToGrid w:val="0"/>
                <w:color w:val="000000" w:themeColor="text1"/>
                <w:sz w:val="24"/>
                <w:szCs w:val="24"/>
                <w:lang w:val="en-US" w:eastAsia="zh-CN"/>
                <w14:textFill>
                  <w14:solidFill>
                    <w14:schemeClr w14:val="tx1"/>
                  </w14:solidFill>
                </w14:textFill>
              </w:rPr>
              <w:t>90</w:t>
            </w:r>
            <w:r>
              <w:rPr>
                <w:rFonts w:hint="default" w:ascii="Times New Roman" w:hAnsi="Times New Roman" w:cs="Times New Roman"/>
                <w:bCs/>
                <w:snapToGrid w:val="0"/>
                <w:color w:val="000000" w:themeColor="text1"/>
                <w:sz w:val="24"/>
                <w:szCs w:val="24"/>
                <w14:textFill>
                  <w14:solidFill>
                    <w14:schemeClr w14:val="tx1"/>
                  </w14:solidFill>
                </w14:textFill>
              </w:rPr>
              <w:t>m</w:t>
            </w:r>
            <w:r>
              <w:rPr>
                <w:rFonts w:hint="default" w:ascii="Times New Roman" w:hAnsi="Times New Roman" w:cs="Times New Roman"/>
                <w:bCs/>
                <w:snapToGrid w:val="0"/>
                <w:color w:val="000000" w:themeColor="text1"/>
                <w:sz w:val="24"/>
                <w:szCs w:val="24"/>
                <w:vertAlign w:val="superscript"/>
                <w14:textFill>
                  <w14:solidFill>
                    <w14:schemeClr w14:val="tx1"/>
                  </w14:solidFill>
                </w14:textFill>
              </w:rPr>
              <w:t>3</w:t>
            </w:r>
            <w:r>
              <w:rPr>
                <w:rFonts w:hint="default" w:ascii="Times New Roman" w:hAnsi="Times New Roman" w:cs="Times New Roman"/>
                <w:bCs/>
                <w:snapToGrid w:val="0"/>
                <w:color w:val="000000" w:themeColor="text1"/>
                <w:sz w:val="24"/>
                <w:szCs w:val="24"/>
                <w14:textFill>
                  <w14:solidFill>
                    <w14:schemeClr w14:val="tx1"/>
                  </w14:solidFill>
                </w14:textFill>
              </w:rPr>
              <w:t>（柴油罐容积折半计算），属于</w:t>
            </w:r>
            <w:r>
              <w:rPr>
                <w:rFonts w:hint="default" w:ascii="Times New Roman" w:hAnsi="Times New Roman" w:cs="Times New Roman"/>
                <w:bCs/>
                <w:snapToGrid w:val="0"/>
                <w:color w:val="000000" w:themeColor="text1"/>
                <w:sz w:val="24"/>
                <w:szCs w:val="24"/>
                <w:lang w:val="en-US" w:eastAsia="zh-CN"/>
                <w14:textFill>
                  <w14:solidFill>
                    <w14:schemeClr w14:val="tx1"/>
                  </w14:solidFill>
                </w14:textFill>
              </w:rPr>
              <w:t>三</w:t>
            </w:r>
            <w:r>
              <w:rPr>
                <w:rFonts w:hint="default" w:ascii="Times New Roman" w:hAnsi="Times New Roman" w:cs="Times New Roman"/>
                <w:bCs/>
                <w:snapToGrid w:val="0"/>
                <w:color w:val="000000" w:themeColor="text1"/>
                <w:sz w:val="24"/>
                <w:szCs w:val="24"/>
                <w14:textFill>
                  <w14:solidFill>
                    <w14:schemeClr w14:val="tx1"/>
                  </w14:solidFill>
                </w14:textFill>
              </w:rPr>
              <w:t>级加油站。</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cs="Times New Roman"/>
                <w:b/>
                <w:snapToGrid w:val="0"/>
                <w:color w:val="000000" w:themeColor="text1"/>
                <w:sz w:val="24"/>
                <w:szCs w:val="24"/>
                <w14:textFill>
                  <w14:solidFill>
                    <w14:schemeClr w14:val="tx1"/>
                  </w14:solidFill>
                </w14:textFill>
              </w:rPr>
            </w:pPr>
            <w:r>
              <w:rPr>
                <w:rFonts w:hint="default" w:ascii="Times New Roman" w:hAnsi="Times New Roman" w:cs="Times New Roman"/>
                <w:b/>
                <w:snapToGrid w:val="0"/>
                <w:color w:val="000000" w:themeColor="text1"/>
                <w:sz w:val="24"/>
                <w:szCs w:val="24"/>
                <w14:textFill>
                  <w14:solidFill>
                    <w14:schemeClr w14:val="tx1"/>
                  </w14:solidFill>
                </w14:textFill>
              </w:rPr>
              <w:t>4、主要原辅材料及资源能源消耗</w:t>
            </w:r>
          </w:p>
          <w:p>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snapToGrid w:val="0"/>
                <w:color w:val="000000" w:themeColor="text1"/>
                <w:sz w:val="24"/>
                <w:szCs w:val="24"/>
                <w14:textFill>
                  <w14:solidFill>
                    <w14:schemeClr w14:val="tx1"/>
                  </w14:solidFill>
                </w14:textFill>
              </w:rPr>
            </w:pPr>
            <w:r>
              <w:rPr>
                <w:rFonts w:hint="default" w:ascii="Times New Roman" w:hAnsi="Times New Roman" w:cs="Times New Roman"/>
                <w:snapToGrid w:val="0"/>
                <w:color w:val="000000" w:themeColor="text1"/>
                <w:sz w:val="24"/>
                <w:szCs w:val="24"/>
                <w:lang w:eastAsia="zh-CN"/>
                <w14:textFill>
                  <w14:solidFill>
                    <w14:schemeClr w14:val="tx1"/>
                  </w14:solidFill>
                </w14:textFill>
              </w:rPr>
              <w:t>改扩建</w:t>
            </w:r>
            <w:r>
              <w:rPr>
                <w:rFonts w:hint="default" w:ascii="Times New Roman" w:hAnsi="Times New Roman" w:cs="Times New Roman"/>
                <w:snapToGrid w:val="0"/>
                <w:color w:val="000000" w:themeColor="text1"/>
                <w:sz w:val="24"/>
                <w:szCs w:val="24"/>
                <w14:textFill>
                  <w14:solidFill>
                    <w14:schemeClr w14:val="tx1"/>
                  </w14:solidFill>
                </w14:textFill>
              </w:rPr>
              <w:t>前后加油站主要原辅材料及能源消耗情况见下表。</w:t>
            </w:r>
          </w:p>
          <w:p>
            <w:pPr>
              <w:pStyle w:val="15"/>
              <w:keepNext w:val="0"/>
              <w:keepLines w:val="0"/>
              <w:pageBreakBefore w:val="0"/>
              <w:widowControl w:val="0"/>
              <w:kinsoku/>
              <w:wordWrap/>
              <w:overflowPunct/>
              <w:topLinePunct w:val="0"/>
              <w:autoSpaceDE/>
              <w:autoSpaceDN/>
              <w:bidi w:val="0"/>
              <w:spacing w:line="400" w:lineRule="exact"/>
              <w:ind w:left="0" w:firstLine="482"/>
              <w:textAlignment w:val="auto"/>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t xml:space="preserve">表13               </w:t>
            </w:r>
            <w:r>
              <w:rPr>
                <w:rFonts w:hint="default" w:ascii="Times New Roman" w:hAnsi="Times New Roman" w:cs="Times New Roman"/>
                <w:b/>
                <w:color w:val="000000" w:themeColor="text1"/>
                <w:sz w:val="24"/>
                <w:szCs w:val="24"/>
                <w:highlight w:val="none"/>
                <w:u w:val="none"/>
                <w:lang w:val="en-US" w:eastAsia="zh-CN"/>
                <w14:textFill>
                  <w14:solidFill>
                    <w14:schemeClr w14:val="tx1"/>
                  </w14:solidFill>
                </w14:textFill>
              </w:rPr>
              <w:t>改扩建</w:t>
            </w:r>
            <w:r>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t>前后加油站主要原辅材料及能源消耗一览表</w:t>
            </w:r>
          </w:p>
          <w:tbl>
            <w:tblPr>
              <w:tblStyle w:val="37"/>
              <w:tblW w:w="900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49"/>
              <w:gridCol w:w="991"/>
              <w:gridCol w:w="1396"/>
              <w:gridCol w:w="1338"/>
              <w:gridCol w:w="1258"/>
              <w:gridCol w:w="33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49"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snapToGrid w:val="0"/>
                      <w:color w:val="000000" w:themeColor="text1"/>
                      <w:sz w:val="21"/>
                      <w:szCs w:val="21"/>
                      <w14:textFill>
                        <w14:solidFill>
                          <w14:schemeClr w14:val="tx1"/>
                        </w14:solidFill>
                      </w14:textFill>
                    </w:rPr>
                  </w:pPr>
                  <w:r>
                    <w:rPr>
                      <w:rFonts w:hint="default" w:ascii="Times New Roman" w:hAnsi="Times New Roman" w:eastAsia="宋体" w:cs="Times New Roman"/>
                      <w:b/>
                      <w:snapToGrid w:val="0"/>
                      <w:color w:val="000000" w:themeColor="text1"/>
                      <w:sz w:val="21"/>
                      <w:szCs w:val="21"/>
                      <w14:textFill>
                        <w14:solidFill>
                          <w14:schemeClr w14:val="tx1"/>
                        </w14:solidFill>
                      </w14:textFill>
                    </w:rPr>
                    <w:t>分类</w:t>
                  </w:r>
                </w:p>
              </w:tc>
              <w:tc>
                <w:tcPr>
                  <w:tcW w:w="991"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snapToGrid w:val="0"/>
                      <w:color w:val="000000" w:themeColor="text1"/>
                      <w:sz w:val="21"/>
                      <w:szCs w:val="21"/>
                      <w14:textFill>
                        <w14:solidFill>
                          <w14:schemeClr w14:val="tx1"/>
                        </w14:solidFill>
                      </w14:textFill>
                    </w:rPr>
                  </w:pPr>
                  <w:r>
                    <w:rPr>
                      <w:rFonts w:hint="default" w:ascii="Times New Roman" w:hAnsi="Times New Roman" w:eastAsia="宋体" w:cs="Times New Roman"/>
                      <w:b/>
                      <w:snapToGrid w:val="0"/>
                      <w:color w:val="000000" w:themeColor="text1"/>
                      <w:sz w:val="21"/>
                      <w:szCs w:val="21"/>
                      <w14:textFill>
                        <w14:solidFill>
                          <w14:schemeClr w14:val="tx1"/>
                        </w14:solidFill>
                      </w14:textFill>
                    </w:rPr>
                    <w:t>名称</w:t>
                  </w:r>
                </w:p>
              </w:tc>
              <w:tc>
                <w:tcPr>
                  <w:tcW w:w="3992" w:type="dxa"/>
                  <w:gridSpan w:val="3"/>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snapToGrid w:val="0"/>
                      <w:color w:val="000000" w:themeColor="text1"/>
                      <w:sz w:val="21"/>
                      <w:szCs w:val="21"/>
                      <w14:textFill>
                        <w14:solidFill>
                          <w14:schemeClr w14:val="tx1"/>
                        </w14:solidFill>
                      </w14:textFill>
                    </w:rPr>
                  </w:pPr>
                  <w:r>
                    <w:rPr>
                      <w:rFonts w:hint="default" w:ascii="Times New Roman" w:hAnsi="Times New Roman" w:eastAsia="宋体" w:cs="Times New Roman"/>
                      <w:b/>
                      <w:snapToGrid w:val="0"/>
                      <w:color w:val="000000" w:themeColor="text1"/>
                      <w:sz w:val="21"/>
                      <w:szCs w:val="21"/>
                      <w14:textFill>
                        <w14:solidFill>
                          <w14:schemeClr w14:val="tx1"/>
                        </w14:solidFill>
                      </w14:textFill>
                    </w:rPr>
                    <w:t>消耗量</w:t>
                  </w:r>
                </w:p>
              </w:tc>
              <w:tc>
                <w:tcPr>
                  <w:tcW w:w="337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snapToGrid w:val="0"/>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snapToGrid w:val="0"/>
                      <w:color w:val="000000" w:themeColor="text1"/>
                      <w:sz w:val="21"/>
                      <w:szCs w:val="21"/>
                      <w14:textFill>
                        <w14:solidFill>
                          <w14:schemeClr w14:val="tx1"/>
                        </w14:solidFill>
                      </w14:textFill>
                    </w:rPr>
                  </w:pPr>
                </w:p>
              </w:tc>
              <w:tc>
                <w:tcPr>
                  <w:tcW w:w="991"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snapToGrid w:val="0"/>
                      <w:color w:val="000000" w:themeColor="text1"/>
                      <w:sz w:val="21"/>
                      <w:szCs w:val="21"/>
                      <w14:textFill>
                        <w14:solidFill>
                          <w14:schemeClr w14:val="tx1"/>
                        </w14:solidFill>
                      </w14:textFill>
                    </w:rPr>
                  </w:pPr>
                </w:p>
              </w:tc>
              <w:tc>
                <w:tcPr>
                  <w:tcW w:w="139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snapToGrid w:val="0"/>
                      <w:color w:val="000000" w:themeColor="text1"/>
                      <w:sz w:val="21"/>
                      <w:szCs w:val="21"/>
                      <w14:textFill>
                        <w14:solidFill>
                          <w14:schemeClr w14:val="tx1"/>
                        </w14:solidFill>
                      </w14:textFill>
                    </w:rPr>
                  </w:pPr>
                  <w:r>
                    <w:rPr>
                      <w:rFonts w:hint="default" w:ascii="Times New Roman" w:hAnsi="Times New Roman" w:eastAsia="宋体" w:cs="Times New Roman"/>
                      <w:b/>
                      <w:snapToGrid w:val="0"/>
                      <w:color w:val="000000" w:themeColor="text1"/>
                      <w:sz w:val="21"/>
                      <w:szCs w:val="21"/>
                      <w14:textFill>
                        <w14:solidFill>
                          <w14:schemeClr w14:val="tx1"/>
                        </w14:solidFill>
                      </w14:textFill>
                    </w:rPr>
                    <w:t>现有项目</w:t>
                  </w:r>
                </w:p>
              </w:tc>
              <w:tc>
                <w:tcPr>
                  <w:tcW w:w="133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snapToGrid w:val="0"/>
                      <w:color w:val="000000" w:themeColor="text1"/>
                      <w:sz w:val="21"/>
                      <w:szCs w:val="21"/>
                      <w14:textFill>
                        <w14:solidFill>
                          <w14:schemeClr w14:val="tx1"/>
                        </w14:solidFill>
                      </w14:textFill>
                    </w:rPr>
                  </w:pPr>
                  <w:r>
                    <w:rPr>
                      <w:rFonts w:hint="default" w:ascii="Times New Roman" w:hAnsi="Times New Roman" w:cs="Times New Roman"/>
                      <w:b/>
                      <w:snapToGrid w:val="0"/>
                      <w:color w:val="000000" w:themeColor="text1"/>
                      <w:sz w:val="21"/>
                      <w:szCs w:val="21"/>
                      <w:lang w:eastAsia="zh-CN"/>
                      <w14:textFill>
                        <w14:solidFill>
                          <w14:schemeClr w14:val="tx1"/>
                        </w14:solidFill>
                      </w14:textFill>
                    </w:rPr>
                    <w:t>改扩建</w:t>
                  </w:r>
                  <w:r>
                    <w:rPr>
                      <w:rFonts w:hint="default" w:ascii="Times New Roman" w:hAnsi="Times New Roman" w:eastAsia="宋体" w:cs="Times New Roman"/>
                      <w:b/>
                      <w:snapToGrid w:val="0"/>
                      <w:color w:val="000000" w:themeColor="text1"/>
                      <w:sz w:val="21"/>
                      <w:szCs w:val="21"/>
                      <w14:textFill>
                        <w14:solidFill>
                          <w14:schemeClr w14:val="tx1"/>
                        </w14:solidFill>
                      </w14:textFill>
                    </w:rPr>
                    <w:t>后</w:t>
                  </w:r>
                </w:p>
              </w:tc>
              <w:tc>
                <w:tcPr>
                  <w:tcW w:w="125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snapToGrid w:val="0"/>
                      <w:color w:val="000000" w:themeColor="text1"/>
                      <w:sz w:val="21"/>
                      <w:szCs w:val="21"/>
                      <w14:textFill>
                        <w14:solidFill>
                          <w14:schemeClr w14:val="tx1"/>
                        </w14:solidFill>
                      </w14:textFill>
                    </w:rPr>
                  </w:pPr>
                  <w:r>
                    <w:rPr>
                      <w:rFonts w:hint="default" w:ascii="Times New Roman" w:hAnsi="Times New Roman" w:eastAsia="宋体" w:cs="Times New Roman"/>
                      <w:b/>
                      <w:snapToGrid w:val="0"/>
                      <w:color w:val="000000" w:themeColor="text1"/>
                      <w:sz w:val="21"/>
                      <w:szCs w:val="21"/>
                      <w14:textFill>
                        <w14:solidFill>
                          <w14:schemeClr w14:val="tx1"/>
                        </w14:solidFill>
                      </w14:textFill>
                    </w:rPr>
                    <w:t>变化量</w:t>
                  </w:r>
                </w:p>
              </w:tc>
              <w:tc>
                <w:tcPr>
                  <w:tcW w:w="337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snapToGrid w:val="0"/>
                      <w:color w:val="000000" w:themeColor="text1"/>
                      <w:sz w:val="21"/>
                      <w:szCs w:val="21"/>
                      <w14:textFill>
                        <w14:solidFill>
                          <w14:schemeClr w14:val="tx1"/>
                        </w14:solidFill>
                      </w14:textFill>
                    </w:rPr>
                  </w:pPr>
                  <w:r>
                    <w:rPr>
                      <w:rFonts w:hint="default" w:ascii="Times New Roman" w:hAnsi="Times New Roman" w:eastAsia="宋体" w:cs="Times New Roman"/>
                      <w:b/>
                      <w:snapToGrid w:val="0"/>
                      <w:color w:val="000000" w:themeColor="text1"/>
                      <w:sz w:val="21"/>
                      <w:szCs w:val="21"/>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14:textFill>
                        <w14:solidFill>
                          <w14:schemeClr w14:val="tx1"/>
                        </w14:solidFill>
                      </w14:textFill>
                    </w:rPr>
                    <w:t>原辅材料</w:t>
                  </w:r>
                </w:p>
              </w:tc>
              <w:tc>
                <w:tcPr>
                  <w:tcW w:w="99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92#汽油</w:t>
                  </w:r>
                </w:p>
              </w:tc>
              <w:tc>
                <w:tcPr>
                  <w:tcW w:w="139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w:t>
                  </w:r>
                  <w:r>
                    <w:rPr>
                      <w:rFonts w:hint="default" w:ascii="Times New Roman" w:hAnsi="Times New Roman" w:eastAsia="宋体" w:cs="Times New Roman"/>
                      <w:bCs/>
                      <w:snapToGrid w:val="0"/>
                      <w:color w:val="000000" w:themeColor="text1"/>
                      <w:sz w:val="21"/>
                      <w:szCs w:val="21"/>
                      <w14:textFill>
                        <w14:solidFill>
                          <w14:schemeClr w14:val="tx1"/>
                        </w14:solidFill>
                      </w14:textFill>
                    </w:rPr>
                    <w:t>00t/a</w:t>
                  </w:r>
                </w:p>
              </w:tc>
              <w:tc>
                <w:tcPr>
                  <w:tcW w:w="133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6</w:t>
                  </w:r>
                  <w:r>
                    <w:rPr>
                      <w:rFonts w:hint="default" w:ascii="Times New Roman" w:hAnsi="Times New Roman" w:eastAsia="宋体" w:cs="Times New Roman"/>
                      <w:bCs/>
                      <w:snapToGrid w:val="0"/>
                      <w:color w:val="000000" w:themeColor="text1"/>
                      <w:sz w:val="21"/>
                      <w:szCs w:val="21"/>
                      <w14:textFill>
                        <w14:solidFill>
                          <w14:schemeClr w14:val="tx1"/>
                        </w14:solidFill>
                      </w14:textFill>
                    </w:rPr>
                    <w:t>00t/a</w:t>
                  </w:r>
                </w:p>
              </w:tc>
              <w:tc>
                <w:tcPr>
                  <w:tcW w:w="125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100</w:t>
                  </w:r>
                  <w:r>
                    <w:rPr>
                      <w:rFonts w:hint="default" w:ascii="Times New Roman" w:hAnsi="Times New Roman" w:eastAsia="宋体" w:cs="Times New Roman"/>
                      <w:bCs/>
                      <w:snapToGrid w:val="0"/>
                      <w:color w:val="000000" w:themeColor="text1"/>
                      <w:sz w:val="21"/>
                      <w:szCs w:val="21"/>
                      <w14:textFill>
                        <w14:solidFill>
                          <w14:schemeClr w14:val="tx1"/>
                        </w14:solidFill>
                      </w14:textFill>
                    </w:rPr>
                    <w:t>t/a</w:t>
                  </w:r>
                </w:p>
              </w:tc>
              <w:tc>
                <w:tcPr>
                  <w:tcW w:w="3375"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14:textFill>
                        <w14:solidFill>
                          <w14:schemeClr w14:val="tx1"/>
                        </w14:solidFill>
                      </w14:textFill>
                    </w:rPr>
                    <w:t>外购，</w:t>
                  </w: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油罐车运输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p>
              </w:tc>
              <w:tc>
                <w:tcPr>
                  <w:tcW w:w="99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95#汽油</w:t>
                  </w:r>
                </w:p>
              </w:tc>
              <w:tc>
                <w:tcPr>
                  <w:tcW w:w="139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bCs/>
                      <w:snapToGrid w:val="0"/>
                      <w:color w:val="000000" w:themeColor="text1"/>
                      <w:sz w:val="21"/>
                      <w:szCs w:val="21"/>
                      <w14:textFill>
                        <w14:solidFill>
                          <w14:schemeClr w14:val="tx1"/>
                        </w14:solidFill>
                      </w14:textFill>
                    </w:rPr>
                    <w:t>00t/a</w:t>
                  </w:r>
                </w:p>
              </w:tc>
              <w:tc>
                <w:tcPr>
                  <w:tcW w:w="133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w:t>
                  </w:r>
                  <w:r>
                    <w:rPr>
                      <w:rFonts w:hint="default" w:ascii="Times New Roman" w:hAnsi="Times New Roman" w:eastAsia="宋体" w:cs="Times New Roman"/>
                      <w:bCs/>
                      <w:snapToGrid w:val="0"/>
                      <w:color w:val="000000" w:themeColor="text1"/>
                      <w:sz w:val="21"/>
                      <w:szCs w:val="21"/>
                      <w14:textFill>
                        <w14:solidFill>
                          <w14:schemeClr w14:val="tx1"/>
                        </w14:solidFill>
                      </w14:textFill>
                    </w:rPr>
                    <w:t>00t/a</w:t>
                  </w:r>
                </w:p>
              </w:tc>
              <w:tc>
                <w:tcPr>
                  <w:tcW w:w="125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200</w:t>
                  </w:r>
                  <w:r>
                    <w:rPr>
                      <w:rFonts w:hint="default" w:ascii="Times New Roman" w:hAnsi="Times New Roman" w:eastAsia="宋体" w:cs="Times New Roman"/>
                      <w:bCs/>
                      <w:snapToGrid w:val="0"/>
                      <w:color w:val="000000" w:themeColor="text1"/>
                      <w:sz w:val="21"/>
                      <w:szCs w:val="21"/>
                      <w14:textFill>
                        <w14:solidFill>
                          <w14:schemeClr w14:val="tx1"/>
                        </w14:solidFill>
                      </w14:textFill>
                    </w:rPr>
                    <w:t>t/a</w:t>
                  </w:r>
                </w:p>
              </w:tc>
              <w:tc>
                <w:tcPr>
                  <w:tcW w:w="3375"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p>
              </w:tc>
              <w:tc>
                <w:tcPr>
                  <w:tcW w:w="99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0#柴油</w:t>
                  </w:r>
                </w:p>
              </w:tc>
              <w:tc>
                <w:tcPr>
                  <w:tcW w:w="139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14:textFill>
                        <w14:solidFill>
                          <w14:schemeClr w14:val="tx1"/>
                        </w14:solidFill>
                      </w14:textFill>
                    </w:rPr>
                    <w:t>500t/a</w:t>
                  </w:r>
                </w:p>
              </w:tc>
              <w:tc>
                <w:tcPr>
                  <w:tcW w:w="133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14:textFill>
                        <w14:solidFill>
                          <w14:schemeClr w14:val="tx1"/>
                        </w14:solidFill>
                      </w14:textFill>
                    </w:rPr>
                    <w:t>500t/a</w:t>
                  </w:r>
                </w:p>
              </w:tc>
              <w:tc>
                <w:tcPr>
                  <w:tcW w:w="125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0</w:t>
                  </w:r>
                </w:p>
              </w:tc>
              <w:tc>
                <w:tcPr>
                  <w:tcW w:w="3375"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p>
              </w:tc>
              <w:tc>
                <w:tcPr>
                  <w:tcW w:w="99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14:textFill>
                        <w14:solidFill>
                          <w14:schemeClr w14:val="tx1"/>
                        </w14:solidFill>
                      </w14:textFill>
                    </w:rPr>
                    <w:t>尿素</w:t>
                  </w:r>
                </w:p>
              </w:tc>
              <w:tc>
                <w:tcPr>
                  <w:tcW w:w="139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0</w:t>
                  </w:r>
                </w:p>
              </w:tc>
              <w:tc>
                <w:tcPr>
                  <w:tcW w:w="133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25</w:t>
                  </w:r>
                  <w:r>
                    <w:rPr>
                      <w:rFonts w:hint="default" w:ascii="Times New Roman" w:hAnsi="Times New Roman" w:eastAsia="宋体" w:cs="Times New Roman"/>
                      <w:bCs/>
                      <w:snapToGrid w:val="0"/>
                      <w:color w:val="000000" w:themeColor="text1"/>
                      <w:sz w:val="21"/>
                      <w:szCs w:val="21"/>
                      <w14:textFill>
                        <w14:solidFill>
                          <w14:schemeClr w14:val="tx1"/>
                        </w14:solidFill>
                      </w14:textFill>
                    </w:rPr>
                    <w:t>t/a</w:t>
                  </w:r>
                </w:p>
              </w:tc>
              <w:tc>
                <w:tcPr>
                  <w:tcW w:w="125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+25</w:t>
                  </w:r>
                  <w:r>
                    <w:rPr>
                      <w:rFonts w:hint="default" w:ascii="Times New Roman" w:hAnsi="Times New Roman" w:eastAsia="宋体" w:cs="Times New Roman"/>
                      <w:bCs/>
                      <w:snapToGrid w:val="0"/>
                      <w:color w:val="000000" w:themeColor="text1"/>
                      <w:sz w:val="21"/>
                      <w:szCs w:val="21"/>
                      <w14:textFill>
                        <w14:solidFill>
                          <w14:schemeClr w14:val="tx1"/>
                        </w14:solidFill>
                      </w14:textFill>
                    </w:rPr>
                    <w:t>t/a</w:t>
                  </w:r>
                </w:p>
              </w:tc>
              <w:tc>
                <w:tcPr>
                  <w:tcW w:w="3375"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14:textFill>
                        <w14:solidFill>
                          <w14:schemeClr w14:val="tx1"/>
                        </w14:solidFill>
                      </w14:textFill>
                    </w:rPr>
                    <w:t>外购，柴油</w:t>
                  </w:r>
                  <w:r>
                    <w:rPr>
                      <w:rFonts w:hint="eastAsia" w:ascii="Times New Roman" w:hAnsi="Times New Roman" w:cs="Times New Roman"/>
                      <w:bCs/>
                      <w:snapToGrid w:val="0"/>
                      <w:color w:val="000000" w:themeColor="text1"/>
                      <w:sz w:val="21"/>
                      <w:szCs w:val="21"/>
                      <w:lang w:eastAsia="zh-CN"/>
                      <w14:textFill>
                        <w14:solidFill>
                          <w14:schemeClr w14:val="tx1"/>
                        </w14:solidFill>
                      </w14:textFill>
                    </w:rPr>
                    <w:t>：</w:t>
                  </w:r>
                  <w:r>
                    <w:rPr>
                      <w:rFonts w:hint="default" w:ascii="Times New Roman" w:hAnsi="Times New Roman" w:eastAsia="宋体" w:cs="Times New Roman"/>
                      <w:bCs/>
                      <w:snapToGrid w:val="0"/>
                      <w:color w:val="000000" w:themeColor="text1"/>
                      <w:sz w:val="21"/>
                      <w:szCs w:val="21"/>
                      <w14:textFill>
                        <w14:solidFill>
                          <w14:schemeClr w14:val="tx1"/>
                        </w14:solidFill>
                      </w14:textFill>
                    </w:rPr>
                    <w:t>尿素以20:1比例使用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14:textFill>
                        <w14:solidFill>
                          <w14:schemeClr w14:val="tx1"/>
                        </w14:solidFill>
                      </w14:textFill>
                    </w:rPr>
                    <w:t>能源消耗</w:t>
                  </w:r>
                </w:p>
              </w:tc>
              <w:tc>
                <w:tcPr>
                  <w:tcW w:w="99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14:textFill>
                        <w14:solidFill>
                          <w14:schemeClr w14:val="tx1"/>
                        </w14:solidFill>
                      </w14:textFill>
                    </w:rPr>
                    <w:t>水</w:t>
                  </w:r>
                </w:p>
              </w:tc>
              <w:tc>
                <w:tcPr>
                  <w:tcW w:w="139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200</w:t>
                  </w:r>
                  <w:r>
                    <w:rPr>
                      <w:rFonts w:hint="default" w:ascii="Times New Roman" w:hAnsi="Times New Roman" w:eastAsia="宋体" w:cs="Times New Roman"/>
                      <w:bCs/>
                      <w:snapToGrid w:val="0"/>
                      <w:color w:val="000000" w:themeColor="text1"/>
                      <w:sz w:val="21"/>
                      <w:szCs w:val="21"/>
                      <w14:textFill>
                        <w14:solidFill>
                          <w14:schemeClr w14:val="tx1"/>
                        </w14:solidFill>
                      </w14:textFill>
                    </w:rPr>
                    <w:t>m</w:t>
                  </w:r>
                  <w:r>
                    <w:rPr>
                      <w:rFonts w:hint="default" w:ascii="Times New Roman" w:hAnsi="Times New Roman" w:eastAsia="宋体" w:cs="Times New Roman"/>
                      <w:bCs/>
                      <w:snapToGrid w:val="0"/>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bCs/>
                      <w:snapToGrid w:val="0"/>
                      <w:color w:val="000000" w:themeColor="text1"/>
                      <w:sz w:val="21"/>
                      <w:szCs w:val="21"/>
                      <w14:textFill>
                        <w14:solidFill>
                          <w14:schemeClr w14:val="tx1"/>
                        </w14:solidFill>
                      </w14:textFill>
                    </w:rPr>
                    <w:t>/a</w:t>
                  </w:r>
                </w:p>
              </w:tc>
              <w:tc>
                <w:tcPr>
                  <w:tcW w:w="133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256.94</w:t>
                  </w:r>
                  <w:r>
                    <w:rPr>
                      <w:rFonts w:hint="default" w:ascii="Times New Roman" w:hAnsi="Times New Roman" w:eastAsia="宋体" w:cs="Times New Roman"/>
                      <w:bCs/>
                      <w:snapToGrid w:val="0"/>
                      <w:color w:val="000000" w:themeColor="text1"/>
                      <w:sz w:val="21"/>
                      <w:szCs w:val="21"/>
                      <w14:textFill>
                        <w14:solidFill>
                          <w14:schemeClr w14:val="tx1"/>
                        </w14:solidFill>
                      </w14:textFill>
                    </w:rPr>
                    <w:t>m</w:t>
                  </w:r>
                  <w:r>
                    <w:rPr>
                      <w:rFonts w:hint="default" w:ascii="Times New Roman" w:hAnsi="Times New Roman" w:eastAsia="宋体" w:cs="Times New Roman"/>
                      <w:bCs/>
                      <w:snapToGrid w:val="0"/>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bCs/>
                      <w:snapToGrid w:val="0"/>
                      <w:color w:val="000000" w:themeColor="text1"/>
                      <w:sz w:val="21"/>
                      <w:szCs w:val="21"/>
                      <w14:textFill>
                        <w14:solidFill>
                          <w14:schemeClr w14:val="tx1"/>
                        </w14:solidFill>
                      </w14:textFill>
                    </w:rPr>
                    <w:t>/a</w:t>
                  </w:r>
                </w:p>
              </w:tc>
              <w:tc>
                <w:tcPr>
                  <w:tcW w:w="125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56.94</w:t>
                  </w:r>
                </w:p>
              </w:tc>
              <w:tc>
                <w:tcPr>
                  <w:tcW w:w="337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市政自来水管网供给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49"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p>
              </w:tc>
              <w:tc>
                <w:tcPr>
                  <w:tcW w:w="99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highlight w:val="yellow"/>
                      <w14:textFill>
                        <w14:solidFill>
                          <w14:schemeClr w14:val="tx1"/>
                        </w14:solidFill>
                      </w14:textFill>
                    </w:rPr>
                  </w:pPr>
                  <w:r>
                    <w:rPr>
                      <w:rFonts w:hint="default" w:ascii="Times New Roman" w:hAnsi="Times New Roman" w:eastAsia="宋体" w:cs="Times New Roman"/>
                      <w:bCs/>
                      <w:snapToGrid w:val="0"/>
                      <w:color w:val="000000" w:themeColor="text1"/>
                      <w:sz w:val="21"/>
                      <w:szCs w:val="21"/>
                      <w14:textFill>
                        <w14:solidFill>
                          <w14:schemeClr w14:val="tx1"/>
                        </w14:solidFill>
                      </w14:textFill>
                    </w:rPr>
                    <w:t>电</w:t>
                  </w:r>
                </w:p>
              </w:tc>
              <w:tc>
                <w:tcPr>
                  <w:tcW w:w="139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10</w:t>
                  </w:r>
                  <w:r>
                    <w:rPr>
                      <w:rFonts w:hint="default" w:ascii="Times New Roman" w:hAnsi="Times New Roman" w:eastAsia="宋体" w:cs="Times New Roman"/>
                      <w:bCs/>
                      <w:snapToGrid w:val="0"/>
                      <w:color w:val="000000" w:themeColor="text1"/>
                      <w:sz w:val="21"/>
                      <w:szCs w:val="21"/>
                      <w14:textFill>
                        <w14:solidFill>
                          <w14:schemeClr w14:val="tx1"/>
                        </w14:solidFill>
                      </w14:textFill>
                    </w:rPr>
                    <w:t>万</w:t>
                  </w:r>
                  <w:r>
                    <w:rPr>
                      <w:rFonts w:hint="default" w:ascii="Times New Roman" w:hAnsi="Times New Roman" w:eastAsia="宋体" w:cs="Times New Roman"/>
                      <w:bCs/>
                      <w:snapToGrid w:val="0"/>
                      <w:color w:val="000000" w:themeColor="text1"/>
                      <w:sz w:val="21"/>
                      <w:szCs w:val="21"/>
                      <w:lang w:eastAsia="zh-CN"/>
                      <w14:textFill>
                        <w14:solidFill>
                          <w14:schemeClr w14:val="tx1"/>
                        </w14:solidFill>
                      </w14:textFill>
                    </w:rPr>
                    <w:t>kW</w:t>
                  </w:r>
                  <w:r>
                    <w:rPr>
                      <w:rFonts w:hint="default" w:ascii="Times New Roman" w:hAnsi="Times New Roman" w:eastAsia="宋体" w:cs="Times New Roman"/>
                      <w:bCs/>
                      <w:snapToGrid w:val="0"/>
                      <w:color w:val="000000" w:themeColor="text1"/>
                      <w:sz w:val="21"/>
                      <w:szCs w:val="21"/>
                      <w14:textFill>
                        <w14:solidFill>
                          <w14:schemeClr w14:val="tx1"/>
                        </w14:solidFill>
                      </w14:textFill>
                    </w:rPr>
                    <w:t>•h/a</w:t>
                  </w:r>
                </w:p>
              </w:tc>
              <w:tc>
                <w:tcPr>
                  <w:tcW w:w="133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12</w:t>
                  </w:r>
                  <w:r>
                    <w:rPr>
                      <w:rFonts w:hint="default" w:ascii="Times New Roman" w:hAnsi="Times New Roman" w:eastAsia="宋体" w:cs="Times New Roman"/>
                      <w:bCs/>
                      <w:snapToGrid w:val="0"/>
                      <w:color w:val="000000" w:themeColor="text1"/>
                      <w:sz w:val="21"/>
                      <w:szCs w:val="21"/>
                      <w14:textFill>
                        <w14:solidFill>
                          <w14:schemeClr w14:val="tx1"/>
                        </w14:solidFill>
                      </w14:textFill>
                    </w:rPr>
                    <w:t>万</w:t>
                  </w:r>
                  <w:r>
                    <w:rPr>
                      <w:rFonts w:hint="default" w:ascii="Times New Roman" w:hAnsi="Times New Roman" w:eastAsia="宋体" w:cs="Times New Roman"/>
                      <w:bCs/>
                      <w:snapToGrid w:val="0"/>
                      <w:color w:val="000000" w:themeColor="text1"/>
                      <w:sz w:val="21"/>
                      <w:szCs w:val="21"/>
                      <w:lang w:eastAsia="zh-CN"/>
                      <w14:textFill>
                        <w14:solidFill>
                          <w14:schemeClr w14:val="tx1"/>
                        </w14:solidFill>
                      </w14:textFill>
                    </w:rPr>
                    <w:t>kW</w:t>
                  </w:r>
                  <w:r>
                    <w:rPr>
                      <w:rFonts w:hint="default" w:ascii="Times New Roman" w:hAnsi="Times New Roman" w:eastAsia="宋体" w:cs="Times New Roman"/>
                      <w:bCs/>
                      <w:snapToGrid w:val="0"/>
                      <w:color w:val="000000" w:themeColor="text1"/>
                      <w:sz w:val="21"/>
                      <w:szCs w:val="21"/>
                      <w14:textFill>
                        <w14:solidFill>
                          <w14:schemeClr w14:val="tx1"/>
                        </w14:solidFill>
                      </w14:textFill>
                    </w:rPr>
                    <w:t>•h/a</w:t>
                  </w:r>
                </w:p>
              </w:tc>
              <w:tc>
                <w:tcPr>
                  <w:tcW w:w="125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bCs/>
                      <w:snapToGrid w:val="0"/>
                      <w:color w:val="000000" w:themeColor="text1"/>
                      <w:sz w:val="21"/>
                      <w:szCs w:val="21"/>
                      <w14:textFill>
                        <w14:solidFill>
                          <w14:schemeClr w14:val="tx1"/>
                        </w14:solidFill>
                      </w14:textFill>
                    </w:rPr>
                    <w:t>万</w:t>
                  </w:r>
                  <w:r>
                    <w:rPr>
                      <w:rFonts w:hint="default" w:ascii="Times New Roman" w:hAnsi="Times New Roman" w:eastAsia="宋体" w:cs="Times New Roman"/>
                      <w:bCs/>
                      <w:snapToGrid w:val="0"/>
                      <w:color w:val="000000" w:themeColor="text1"/>
                      <w:sz w:val="21"/>
                      <w:szCs w:val="21"/>
                      <w:lang w:eastAsia="zh-CN"/>
                      <w14:textFill>
                        <w14:solidFill>
                          <w14:schemeClr w14:val="tx1"/>
                        </w14:solidFill>
                      </w14:textFill>
                    </w:rPr>
                    <w:t>kW</w:t>
                  </w:r>
                  <w:r>
                    <w:rPr>
                      <w:rFonts w:hint="default" w:ascii="Times New Roman" w:hAnsi="Times New Roman" w:eastAsia="宋体" w:cs="Times New Roman"/>
                      <w:bCs/>
                      <w:snapToGrid w:val="0"/>
                      <w:color w:val="000000" w:themeColor="text1"/>
                      <w:sz w:val="21"/>
                      <w:szCs w:val="21"/>
                      <w14:textFill>
                        <w14:solidFill>
                          <w14:schemeClr w14:val="tx1"/>
                        </w14:solidFill>
                      </w14:textFill>
                    </w:rPr>
                    <w:t>•h/a</w:t>
                  </w:r>
                </w:p>
              </w:tc>
              <w:tc>
                <w:tcPr>
                  <w:tcW w:w="337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snapToGrid w:val="0"/>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市政</w:t>
                  </w:r>
                  <w:r>
                    <w:rPr>
                      <w:rFonts w:hint="default" w:ascii="Times New Roman" w:hAnsi="Times New Roman" w:eastAsia="宋体" w:cs="Times New Roman"/>
                      <w:color w:val="000000" w:themeColor="text1"/>
                      <w:sz w:val="21"/>
                      <w:szCs w:val="21"/>
                      <w14:textFill>
                        <w14:solidFill>
                          <w14:schemeClr w14:val="tx1"/>
                        </w14:solidFill>
                      </w14:textFill>
                    </w:rPr>
                    <w:t>供电网供给</w:t>
                  </w:r>
                </w:p>
              </w:tc>
            </w:tr>
          </w:tbl>
          <w:p>
            <w:pPr>
              <w:keepNext w:val="0"/>
              <w:keepLines w:val="0"/>
              <w:pageBreakBefore w:val="0"/>
              <w:widowControl/>
              <w:kinsoku/>
              <w:wordWrap/>
              <w:overflowPunct/>
              <w:topLinePunct w:val="0"/>
              <w:autoSpaceDE/>
              <w:autoSpaceDN/>
              <w:bidi w:val="0"/>
              <w:adjustRightInd w:val="0"/>
              <w:snapToGrid/>
              <w:spacing w:line="480" w:lineRule="exact"/>
              <w:ind w:firstLine="480" w:firstLineChars="200"/>
              <w:textAlignment w:val="auto"/>
              <w:rPr>
                <w:rFonts w:hint="default" w:ascii="Times New Roman" w:hAnsi="Times New Roman" w:eastAsia="宋体" w:cs="Times New Roman"/>
                <w:snapToGrid w:val="0"/>
                <w:color w:val="000000" w:themeColor="text1"/>
                <w:sz w:val="24"/>
                <w:szCs w:val="24"/>
                <w:lang w:eastAsia="zh-CN"/>
                <w14:textFill>
                  <w14:solidFill>
                    <w14:schemeClr w14:val="tx1"/>
                  </w14:solidFill>
                </w14:textFill>
              </w:rPr>
            </w:pPr>
            <w:r>
              <w:rPr>
                <w:rFonts w:hint="default" w:ascii="Times New Roman" w:hAnsi="Times New Roman" w:eastAsia="宋体" w:cs="Times New Roman"/>
                <w:snapToGrid w:val="0"/>
                <w:color w:val="000000" w:themeColor="text1"/>
                <w:sz w:val="24"/>
                <w:szCs w:val="24"/>
                <w:lang w:eastAsia="zh-CN"/>
                <w14:textFill>
                  <w14:solidFill>
                    <w14:schemeClr w14:val="tx1"/>
                  </w14:solidFill>
                </w14:textFill>
              </w:rPr>
              <w:t>理化性质：</w:t>
            </w:r>
          </w:p>
          <w:p>
            <w:pPr>
              <w:keepNext w:val="0"/>
              <w:keepLines w:val="0"/>
              <w:pageBreakBefore w:val="0"/>
              <w:widowControl/>
              <w:kinsoku/>
              <w:wordWrap/>
              <w:overflowPunct/>
              <w:topLinePunct w:val="0"/>
              <w:autoSpaceDE/>
              <w:autoSpaceDN/>
              <w:bidi w:val="0"/>
              <w:adjustRightInd w:val="0"/>
              <w:snapToGrid/>
              <w:spacing w:line="480" w:lineRule="exact"/>
              <w:ind w:firstLine="480" w:firstLineChars="200"/>
              <w:textAlignment w:val="auto"/>
              <w:rPr>
                <w:rFonts w:hint="default" w:ascii="Times New Roman" w:hAnsi="Times New Roman" w:eastAsia="宋体" w:cs="Times New Roman"/>
                <w:snapToGrid w:val="0"/>
                <w:color w:val="000000" w:themeColor="text1"/>
                <w:sz w:val="24"/>
                <w:szCs w:val="24"/>
                <w:lang w:eastAsia="zh-CN"/>
                <w14:textFill>
                  <w14:solidFill>
                    <w14:schemeClr w14:val="tx1"/>
                  </w14:solidFill>
                </w14:textFill>
              </w:rPr>
            </w:pPr>
            <w:r>
              <w:rPr>
                <w:rFonts w:hint="default" w:ascii="Times New Roman" w:hAnsi="Times New Roman" w:eastAsia="宋体" w:cs="Times New Roman"/>
                <w:snapToGrid w:val="0"/>
                <w:color w:val="000000" w:themeColor="text1"/>
                <w:sz w:val="24"/>
                <w:szCs w:val="24"/>
                <w:lang w:eastAsia="zh-CN"/>
                <w14:textFill>
                  <w14:solidFill>
                    <w14:schemeClr w14:val="tx1"/>
                  </w14:solidFill>
                </w14:textFill>
              </w:rPr>
              <w:t>①汽油：分子式：C</w:t>
            </w:r>
            <w:r>
              <w:rPr>
                <w:rFonts w:hint="default" w:ascii="Times New Roman" w:hAnsi="Times New Roman" w:eastAsia="宋体" w:cs="Times New Roman"/>
                <w:snapToGrid w:val="0"/>
                <w:color w:val="000000" w:themeColor="text1"/>
                <w:sz w:val="24"/>
                <w:szCs w:val="24"/>
                <w:vertAlign w:val="subscript"/>
                <w:lang w:eastAsia="zh-CN"/>
                <w14:textFill>
                  <w14:solidFill>
                    <w14:schemeClr w14:val="tx1"/>
                  </w14:solidFill>
                </w14:textFill>
              </w:rPr>
              <w:t>4</w:t>
            </w:r>
            <w:r>
              <w:rPr>
                <w:rFonts w:hint="default" w:ascii="Times New Roman" w:hAnsi="Times New Roman" w:eastAsia="宋体" w:cs="Times New Roman"/>
                <w:snapToGrid w:val="0"/>
                <w:color w:val="000000" w:themeColor="text1"/>
                <w:sz w:val="24"/>
                <w:szCs w:val="24"/>
                <w:lang w:eastAsia="zh-CN"/>
                <w14:textFill>
                  <w14:solidFill>
                    <w14:schemeClr w14:val="tx1"/>
                  </w14:solidFill>
                </w14:textFill>
              </w:rPr>
              <w:t>H</w:t>
            </w:r>
            <w:r>
              <w:rPr>
                <w:rFonts w:hint="default" w:ascii="Times New Roman" w:hAnsi="Times New Roman" w:eastAsia="宋体" w:cs="Times New Roman"/>
                <w:snapToGrid w:val="0"/>
                <w:color w:val="000000" w:themeColor="text1"/>
                <w:sz w:val="24"/>
                <w:szCs w:val="24"/>
                <w:vertAlign w:val="subscript"/>
                <w:lang w:eastAsia="zh-CN"/>
                <w14:textFill>
                  <w14:solidFill>
                    <w14:schemeClr w14:val="tx1"/>
                  </w14:solidFill>
                </w14:textFill>
              </w:rPr>
              <w:t>10</w:t>
            </w:r>
            <w:r>
              <w:rPr>
                <w:rFonts w:hint="default" w:ascii="Times New Roman" w:hAnsi="Times New Roman" w:eastAsia="宋体" w:cs="Times New Roman"/>
                <w:snapToGrid w:val="0"/>
                <w:color w:val="000000" w:themeColor="text1"/>
                <w:sz w:val="24"/>
                <w:szCs w:val="24"/>
                <w:lang w:eastAsia="zh-CN"/>
                <w14:textFill>
                  <w14:solidFill>
                    <w14:schemeClr w14:val="tx1"/>
                  </w14:solidFill>
                </w14:textFill>
              </w:rPr>
              <w:t>~C</w:t>
            </w:r>
            <w:r>
              <w:rPr>
                <w:rFonts w:hint="default" w:ascii="Times New Roman" w:hAnsi="Times New Roman" w:eastAsia="宋体" w:cs="Times New Roman"/>
                <w:snapToGrid w:val="0"/>
                <w:color w:val="000000" w:themeColor="text1"/>
                <w:sz w:val="24"/>
                <w:szCs w:val="24"/>
                <w:vertAlign w:val="subscript"/>
                <w:lang w:eastAsia="zh-CN"/>
                <w14:textFill>
                  <w14:solidFill>
                    <w14:schemeClr w14:val="tx1"/>
                  </w14:solidFill>
                </w14:textFill>
              </w:rPr>
              <w:t>12</w:t>
            </w:r>
            <w:r>
              <w:rPr>
                <w:rFonts w:hint="default" w:ascii="Times New Roman" w:hAnsi="Times New Roman" w:eastAsia="宋体" w:cs="Times New Roman"/>
                <w:snapToGrid w:val="0"/>
                <w:color w:val="000000" w:themeColor="text1"/>
                <w:sz w:val="24"/>
                <w:szCs w:val="24"/>
                <w:lang w:eastAsia="zh-CN"/>
                <w14:textFill>
                  <w14:solidFill>
                    <w14:schemeClr w14:val="tx1"/>
                  </w14:solidFill>
                </w14:textFill>
              </w:rPr>
              <w:t>H</w:t>
            </w:r>
            <w:r>
              <w:rPr>
                <w:rFonts w:hint="default" w:ascii="Times New Roman" w:hAnsi="Times New Roman" w:eastAsia="宋体" w:cs="Times New Roman"/>
                <w:snapToGrid w:val="0"/>
                <w:color w:val="000000" w:themeColor="text1"/>
                <w:sz w:val="24"/>
                <w:szCs w:val="24"/>
                <w:vertAlign w:val="subscript"/>
                <w:lang w:eastAsia="zh-CN"/>
                <w14:textFill>
                  <w14:solidFill>
                    <w14:schemeClr w14:val="tx1"/>
                  </w14:solidFill>
                </w14:textFill>
              </w:rPr>
              <w:t>26</w:t>
            </w:r>
            <w:r>
              <w:rPr>
                <w:rFonts w:hint="default" w:ascii="Times New Roman" w:hAnsi="Times New Roman" w:eastAsia="宋体" w:cs="Times New Roman"/>
                <w:snapToGrid w:val="0"/>
                <w:color w:val="000000" w:themeColor="text1"/>
                <w:sz w:val="24"/>
                <w:szCs w:val="24"/>
                <w:lang w:eastAsia="zh-CN"/>
                <w14:textFill>
                  <w14:solidFill>
                    <w14:schemeClr w14:val="tx1"/>
                  </w14:solidFill>
                </w14:textFill>
              </w:rPr>
              <w:t>，为无色或淡黄色液体，具有挥发性和易燃性，有特殊气味，不溶于水，易溶于苯、二硫化碳、醇，极易混溶于脂肪，主要用作汽油机的燃料，用于印刷、制鞋等行业，亦用作机械零件去污剂。主要成分为C</w:t>
            </w:r>
            <w:r>
              <w:rPr>
                <w:rFonts w:hint="default" w:ascii="Times New Roman" w:hAnsi="Times New Roman" w:eastAsia="宋体" w:cs="Times New Roman"/>
                <w:snapToGrid w:val="0"/>
                <w:color w:val="000000" w:themeColor="text1"/>
                <w:sz w:val="24"/>
                <w:szCs w:val="24"/>
                <w:vertAlign w:val="subscript"/>
                <w:lang w:eastAsia="zh-CN"/>
                <w14:textFill>
                  <w14:solidFill>
                    <w14:schemeClr w14:val="tx1"/>
                  </w14:solidFill>
                </w14:textFill>
              </w:rPr>
              <w:t>4</w:t>
            </w:r>
            <w:r>
              <w:rPr>
                <w:rFonts w:hint="default" w:ascii="Times New Roman" w:hAnsi="Times New Roman" w:eastAsia="宋体" w:cs="Times New Roman"/>
                <w:snapToGrid w:val="0"/>
                <w:color w:val="000000" w:themeColor="text1"/>
                <w:sz w:val="24"/>
                <w:szCs w:val="24"/>
                <w:lang w:eastAsia="zh-CN"/>
                <w14:textFill>
                  <w14:solidFill>
                    <w14:schemeClr w14:val="tx1"/>
                  </w14:solidFill>
                </w14:textFill>
              </w:rPr>
              <w:t>~C</w:t>
            </w:r>
            <w:r>
              <w:rPr>
                <w:rFonts w:hint="default" w:ascii="Times New Roman" w:hAnsi="Times New Roman" w:eastAsia="宋体" w:cs="Times New Roman"/>
                <w:snapToGrid w:val="0"/>
                <w:color w:val="000000" w:themeColor="text1"/>
                <w:sz w:val="24"/>
                <w:szCs w:val="24"/>
                <w:vertAlign w:val="subscript"/>
                <w:lang w:eastAsia="zh-CN"/>
                <w14:textFill>
                  <w14:solidFill>
                    <w14:schemeClr w14:val="tx1"/>
                  </w14:solidFill>
                </w14:textFill>
              </w:rPr>
              <w:t>12</w:t>
            </w:r>
            <w:r>
              <w:rPr>
                <w:rFonts w:hint="default" w:ascii="Times New Roman" w:hAnsi="Times New Roman" w:eastAsia="宋体" w:cs="Times New Roman"/>
                <w:snapToGrid w:val="0"/>
                <w:color w:val="000000" w:themeColor="text1"/>
                <w:sz w:val="24"/>
                <w:szCs w:val="24"/>
                <w:lang w:eastAsia="zh-CN"/>
                <w14:textFill>
                  <w14:solidFill>
                    <w14:schemeClr w14:val="tx1"/>
                  </w14:solidFill>
                </w14:textFill>
              </w:rPr>
              <w:t>脂肪烃和烯烃，含少量芳香烃和硫化物。其蒸气与空气能形成爆炸性混合物，遇明火、高热易引起燃烧爆炸，与氧化剂接触能发生强烈反应。蒸气比空气重，能在较低处扩散到相当远的地方，遇明火会引起回燃。若遇高热，容器内压增大，有开裂和爆炸的危险。</w:t>
            </w:r>
          </w:p>
          <w:p>
            <w:pPr>
              <w:keepNext w:val="0"/>
              <w:keepLines w:val="0"/>
              <w:pageBreakBefore w:val="0"/>
              <w:widowControl/>
              <w:kinsoku/>
              <w:wordWrap/>
              <w:overflowPunct/>
              <w:topLinePunct w:val="0"/>
              <w:autoSpaceDE/>
              <w:autoSpaceDN/>
              <w:bidi w:val="0"/>
              <w:adjustRightInd w:val="0"/>
              <w:snapToGrid/>
              <w:spacing w:line="480" w:lineRule="exact"/>
              <w:ind w:firstLine="480" w:firstLineChars="200"/>
              <w:textAlignment w:val="auto"/>
              <w:rPr>
                <w:rFonts w:hint="default" w:ascii="Times New Roman" w:hAnsi="Times New Roman" w:eastAsia="宋体" w:cs="Times New Roman"/>
                <w:snapToGrid w:val="0"/>
                <w:color w:val="000000" w:themeColor="text1"/>
                <w:sz w:val="24"/>
                <w:szCs w:val="24"/>
                <w:lang w:eastAsia="zh-CN"/>
                <w14:textFill>
                  <w14:solidFill>
                    <w14:schemeClr w14:val="tx1"/>
                  </w14:solidFill>
                </w14:textFill>
              </w:rPr>
            </w:pPr>
            <w:r>
              <w:rPr>
                <w:rFonts w:hint="default" w:ascii="Times New Roman" w:hAnsi="Times New Roman" w:eastAsia="宋体" w:cs="Times New Roman"/>
                <w:snapToGrid w:val="0"/>
                <w:color w:val="000000" w:themeColor="text1"/>
                <w:sz w:val="24"/>
                <w:szCs w:val="24"/>
                <w:lang w:eastAsia="zh-CN"/>
                <w14:textFill>
                  <w14:solidFill>
                    <w14:schemeClr w14:val="tx1"/>
                  </w14:solidFill>
                </w14:textFill>
              </w:rPr>
              <w:t>②柴油：分子式：C</w:t>
            </w:r>
            <w:r>
              <w:rPr>
                <w:rFonts w:hint="default" w:ascii="Times New Roman" w:hAnsi="Times New Roman" w:eastAsia="宋体" w:cs="Times New Roman"/>
                <w:snapToGrid w:val="0"/>
                <w:color w:val="000000" w:themeColor="text1"/>
                <w:sz w:val="24"/>
                <w:szCs w:val="24"/>
                <w:vertAlign w:val="subscript"/>
                <w:lang w:eastAsia="zh-CN"/>
                <w14:textFill>
                  <w14:solidFill>
                    <w14:schemeClr w14:val="tx1"/>
                  </w14:solidFill>
                </w14:textFill>
              </w:rPr>
              <w:t>4</w:t>
            </w:r>
            <w:r>
              <w:rPr>
                <w:rFonts w:hint="default" w:ascii="Times New Roman" w:hAnsi="Times New Roman" w:eastAsia="宋体" w:cs="Times New Roman"/>
                <w:snapToGrid w:val="0"/>
                <w:color w:val="000000" w:themeColor="text1"/>
                <w:sz w:val="24"/>
                <w:szCs w:val="24"/>
                <w:lang w:eastAsia="zh-CN"/>
                <w14:textFill>
                  <w14:solidFill>
                    <w14:schemeClr w14:val="tx1"/>
                  </w14:solidFill>
                </w14:textFill>
              </w:rPr>
              <w:t>H</w:t>
            </w:r>
            <w:r>
              <w:rPr>
                <w:rFonts w:hint="default" w:ascii="Times New Roman" w:hAnsi="Times New Roman" w:eastAsia="宋体" w:cs="Times New Roman"/>
                <w:snapToGrid w:val="0"/>
                <w:color w:val="000000" w:themeColor="text1"/>
                <w:sz w:val="24"/>
                <w:szCs w:val="24"/>
                <w:vertAlign w:val="subscript"/>
                <w:lang w:eastAsia="zh-CN"/>
                <w14:textFill>
                  <w14:solidFill>
                    <w14:schemeClr w14:val="tx1"/>
                  </w14:solidFill>
                </w14:textFill>
              </w:rPr>
              <w:t>10</w:t>
            </w:r>
            <w:r>
              <w:rPr>
                <w:rFonts w:hint="default" w:ascii="Times New Roman" w:hAnsi="Times New Roman" w:eastAsia="宋体" w:cs="Times New Roman"/>
                <w:snapToGrid w:val="0"/>
                <w:color w:val="000000" w:themeColor="text1"/>
                <w:sz w:val="24"/>
                <w:szCs w:val="24"/>
                <w:lang w:eastAsia="zh-CN"/>
                <w14:textFill>
                  <w14:solidFill>
                    <w14:schemeClr w14:val="tx1"/>
                  </w14:solidFill>
                </w14:textFill>
              </w:rPr>
              <w:t>~C</w:t>
            </w:r>
            <w:r>
              <w:rPr>
                <w:rFonts w:hint="default" w:ascii="Times New Roman" w:hAnsi="Times New Roman" w:eastAsia="宋体" w:cs="Times New Roman"/>
                <w:snapToGrid w:val="0"/>
                <w:color w:val="000000" w:themeColor="text1"/>
                <w:sz w:val="24"/>
                <w:szCs w:val="24"/>
                <w:vertAlign w:val="subscript"/>
                <w:lang w:eastAsia="zh-CN"/>
                <w14:textFill>
                  <w14:solidFill>
                    <w14:schemeClr w14:val="tx1"/>
                  </w14:solidFill>
                </w14:textFill>
              </w:rPr>
              <w:t>12</w:t>
            </w:r>
            <w:r>
              <w:rPr>
                <w:rFonts w:hint="default" w:ascii="Times New Roman" w:hAnsi="Times New Roman" w:eastAsia="宋体" w:cs="Times New Roman"/>
                <w:snapToGrid w:val="0"/>
                <w:color w:val="000000" w:themeColor="text1"/>
                <w:sz w:val="24"/>
                <w:szCs w:val="24"/>
                <w:lang w:eastAsia="zh-CN"/>
                <w14:textFill>
                  <w14:solidFill>
                    <w14:schemeClr w14:val="tx1"/>
                  </w14:solidFill>
                </w14:textFill>
              </w:rPr>
              <w:t>H</w:t>
            </w:r>
            <w:r>
              <w:rPr>
                <w:rFonts w:hint="default" w:ascii="Times New Roman" w:hAnsi="Times New Roman" w:eastAsia="宋体" w:cs="Times New Roman"/>
                <w:snapToGrid w:val="0"/>
                <w:color w:val="000000" w:themeColor="text1"/>
                <w:sz w:val="24"/>
                <w:szCs w:val="24"/>
                <w:vertAlign w:val="subscript"/>
                <w:lang w:eastAsia="zh-CN"/>
                <w14:textFill>
                  <w14:solidFill>
                    <w14:schemeClr w14:val="tx1"/>
                  </w14:solidFill>
                </w14:textFill>
              </w:rPr>
              <w:t>26</w:t>
            </w:r>
            <w:r>
              <w:rPr>
                <w:rFonts w:hint="default" w:ascii="Times New Roman" w:hAnsi="Times New Roman" w:eastAsia="宋体" w:cs="Times New Roman"/>
                <w:snapToGrid w:val="0"/>
                <w:color w:val="000000" w:themeColor="text1"/>
                <w:sz w:val="24"/>
                <w:szCs w:val="24"/>
                <w:lang w:eastAsia="zh-CN"/>
                <w14:textFill>
                  <w14:solidFill>
                    <w14:schemeClr w14:val="tx1"/>
                  </w14:solidFill>
                </w14:textFill>
              </w:rPr>
              <w:t>，稍有粘性的淡黄色至棕色液体。具有易燃性，有特殊气味，不溶于水，主要用作柴油机的燃料。主要是由烷烃、烯烃、环烷烃、芳香烃、多环芳烃与少量硫（2 ~60g/kg）、氮（&lt;1g/kg）及 添加剂组成的混合物。遇明火、高热或与氧化剂接触能引起燃烧爆炸，若遇高热，容器内压增大，有开裂和爆炸的危险，可蓄积静电，引起电火花。</w:t>
            </w:r>
          </w:p>
          <w:p>
            <w:pPr>
              <w:keepNext w:val="0"/>
              <w:keepLines w:val="0"/>
              <w:pageBreakBefore w:val="0"/>
              <w:widowControl/>
              <w:kinsoku/>
              <w:wordWrap/>
              <w:overflowPunct/>
              <w:topLinePunct w:val="0"/>
              <w:autoSpaceDE/>
              <w:autoSpaceDN/>
              <w:bidi w:val="0"/>
              <w:snapToGrid/>
              <w:spacing w:line="480" w:lineRule="exact"/>
              <w:ind w:firstLine="482" w:firstLineChars="200"/>
              <w:textAlignment w:val="auto"/>
              <w:rPr>
                <w:rFonts w:hint="default" w:ascii="Times New Roman" w:hAnsi="Times New Roman" w:cs="Times New Roman"/>
                <w:b/>
                <w:snapToGrid w:val="0"/>
                <w:color w:val="000000" w:themeColor="text1"/>
                <w:sz w:val="24"/>
                <w:szCs w:val="24"/>
                <w14:textFill>
                  <w14:solidFill>
                    <w14:schemeClr w14:val="tx1"/>
                  </w14:solidFill>
                </w14:textFill>
              </w:rPr>
            </w:pPr>
            <w:r>
              <w:rPr>
                <w:rFonts w:hint="default" w:ascii="Times New Roman" w:hAnsi="Times New Roman" w:cs="Times New Roman"/>
                <w:b/>
                <w:snapToGrid w:val="0"/>
                <w:color w:val="000000" w:themeColor="text1"/>
                <w:sz w:val="24"/>
                <w:szCs w:val="24"/>
                <w14:textFill>
                  <w14:solidFill>
                    <w14:schemeClr w14:val="tx1"/>
                  </w14:solidFill>
                </w14:textFill>
              </w:rPr>
              <w:t>5、主要设备</w:t>
            </w:r>
          </w:p>
          <w:p>
            <w:pPr>
              <w:keepNext w:val="0"/>
              <w:keepLines w:val="0"/>
              <w:pageBreakBefore w:val="0"/>
              <w:widowControl/>
              <w:kinsoku/>
              <w:wordWrap/>
              <w:overflowPunct/>
              <w:topLinePunct w:val="0"/>
              <w:autoSpaceDE/>
              <w:autoSpaceDN/>
              <w:bidi w:val="0"/>
              <w:adjustRightInd w:val="0"/>
              <w:snapToGrid/>
              <w:spacing w:line="480" w:lineRule="exact"/>
              <w:ind w:firstLine="480" w:firstLineChars="200"/>
              <w:textAlignment w:val="auto"/>
              <w:rPr>
                <w:rFonts w:hint="default" w:ascii="Times New Roman" w:hAnsi="Times New Roman" w:cs="Times New Roman"/>
                <w:snapToGrid w:val="0"/>
                <w:color w:val="000000" w:themeColor="text1"/>
                <w:sz w:val="24"/>
                <w:szCs w:val="24"/>
                <w14:textFill>
                  <w14:solidFill>
                    <w14:schemeClr w14:val="tx1"/>
                  </w14:solidFill>
                </w14:textFill>
              </w:rPr>
            </w:pPr>
            <w:r>
              <w:rPr>
                <w:rFonts w:hint="default" w:ascii="Times New Roman" w:hAnsi="Times New Roman" w:cs="Times New Roman"/>
                <w:snapToGrid w:val="0"/>
                <w:color w:val="000000" w:themeColor="text1"/>
                <w:sz w:val="24"/>
                <w:szCs w:val="24"/>
                <w:lang w:eastAsia="zh-CN"/>
                <w14:textFill>
                  <w14:solidFill>
                    <w14:schemeClr w14:val="tx1"/>
                  </w14:solidFill>
                </w14:textFill>
              </w:rPr>
              <w:t>改扩建</w:t>
            </w:r>
            <w:r>
              <w:rPr>
                <w:rFonts w:hint="default" w:ascii="Times New Roman" w:hAnsi="Times New Roman" w:cs="Times New Roman"/>
                <w:snapToGrid w:val="0"/>
                <w:color w:val="000000" w:themeColor="text1"/>
                <w:sz w:val="24"/>
                <w:szCs w:val="24"/>
                <w14:textFill>
                  <w14:solidFill>
                    <w14:schemeClr w14:val="tx1"/>
                  </w14:solidFill>
                </w14:textFill>
              </w:rPr>
              <w:t>前后加油站主要生产设备见下表。</w:t>
            </w:r>
          </w:p>
          <w:p>
            <w:pPr>
              <w:keepNext w:val="0"/>
              <w:keepLines w:val="0"/>
              <w:pageBreakBefore w:val="0"/>
              <w:widowControl/>
              <w:kinsoku/>
              <w:wordWrap/>
              <w:overflowPunct/>
              <w:topLinePunct w:val="0"/>
              <w:autoSpaceDE/>
              <w:autoSpaceDN/>
              <w:bidi w:val="0"/>
              <w:snapToGrid/>
              <w:spacing w:line="480" w:lineRule="exact"/>
              <w:ind w:firstLine="482" w:firstLineChars="200"/>
              <w:textAlignment w:val="auto"/>
              <w:rPr>
                <w:rFonts w:hint="default" w:ascii="Times New Roman" w:hAnsi="Times New Roman" w:eastAsia="黑体" w:cs="Times New Roman"/>
                <w:bCs/>
                <w:color w:val="000000" w:themeColor="text1"/>
                <w:szCs w:val="21"/>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 xml:space="preserve">表14                 </w:t>
            </w:r>
            <w:r>
              <w:rPr>
                <w:rFonts w:hint="default" w:ascii="Times New Roman" w:hAnsi="Times New Roman" w:cs="Times New Roman"/>
                <w:b/>
                <w:color w:val="000000" w:themeColor="text1"/>
                <w:kern w:val="2"/>
                <w:sz w:val="24"/>
                <w:szCs w:val="24"/>
                <w:highlight w:val="none"/>
                <w:u w:val="none"/>
                <w:lang w:val="en-US" w:eastAsia="zh-CN" w:bidi="ar-SA"/>
                <w14:textFill>
                  <w14:solidFill>
                    <w14:schemeClr w14:val="tx1"/>
                  </w14:solidFill>
                </w14:textFill>
              </w:rPr>
              <w:t>改扩建</w:t>
            </w: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 xml:space="preserve">前后厂区主要设备一览表     </w:t>
            </w:r>
            <w:r>
              <w:rPr>
                <w:rFonts w:hint="default" w:ascii="Times New Roman" w:hAnsi="Times New Roman" w:eastAsia="黑体" w:cs="Times New Roman"/>
                <w:bCs/>
                <w:color w:val="000000" w:themeColor="text1"/>
                <w:szCs w:val="21"/>
                <w14:textFill>
                  <w14:solidFill>
                    <w14:schemeClr w14:val="tx1"/>
                  </w14:solidFill>
                </w14:textFill>
              </w:rPr>
              <w:t xml:space="preserve">               </w:t>
            </w:r>
          </w:p>
          <w:tbl>
            <w:tblPr>
              <w:tblStyle w:val="37"/>
              <w:tblW w:w="898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36"/>
              <w:gridCol w:w="1312"/>
              <w:gridCol w:w="1491"/>
              <w:gridCol w:w="800"/>
              <w:gridCol w:w="1350"/>
              <w:gridCol w:w="1484"/>
              <w:gridCol w:w="766"/>
              <w:gridCol w:w="13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6"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序号</w:t>
                  </w:r>
                </w:p>
              </w:tc>
              <w:tc>
                <w:tcPr>
                  <w:tcW w:w="3603" w:type="dxa"/>
                  <w:gridSpan w:val="3"/>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现有生产设备</w:t>
                  </w:r>
                </w:p>
              </w:tc>
              <w:tc>
                <w:tcPr>
                  <w:tcW w:w="3600" w:type="dxa"/>
                  <w:gridSpan w:val="3"/>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lang w:eastAsia="zh-CN"/>
                      <w14:textFill>
                        <w14:solidFill>
                          <w14:schemeClr w14:val="tx1"/>
                        </w14:solidFill>
                      </w14:textFill>
                    </w:rPr>
                    <w:t>改扩建</w:t>
                  </w:r>
                  <w:r>
                    <w:rPr>
                      <w:rFonts w:hint="default" w:ascii="Times New Roman" w:hAnsi="Times New Roman" w:cs="Times New Roman"/>
                      <w:b/>
                      <w:color w:val="000000" w:themeColor="text1"/>
                      <w:sz w:val="21"/>
                      <w:szCs w:val="21"/>
                      <w14:textFill>
                        <w14:solidFill>
                          <w14:schemeClr w14:val="tx1"/>
                        </w14:solidFill>
                      </w14:textFill>
                    </w:rPr>
                    <w:t>完成后加油站生产设备</w:t>
                  </w:r>
                </w:p>
              </w:tc>
              <w:tc>
                <w:tcPr>
                  <w:tcW w:w="1343"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6"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color w:val="000000" w:themeColor="text1"/>
                      <w:sz w:val="21"/>
                      <w:szCs w:val="21"/>
                      <w14:textFill>
                        <w14:solidFill>
                          <w14:schemeClr w14:val="tx1"/>
                        </w14:solidFill>
                      </w14:textFill>
                    </w:rPr>
                  </w:pPr>
                </w:p>
              </w:tc>
              <w:tc>
                <w:tcPr>
                  <w:tcW w:w="131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名称</w:t>
                  </w:r>
                </w:p>
              </w:tc>
              <w:tc>
                <w:tcPr>
                  <w:tcW w:w="149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型号</w:t>
                  </w:r>
                </w:p>
              </w:tc>
              <w:tc>
                <w:tcPr>
                  <w:tcW w:w="80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数量</w:t>
                  </w:r>
                </w:p>
              </w:tc>
              <w:tc>
                <w:tcPr>
                  <w:tcW w:w="135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名称</w:t>
                  </w:r>
                </w:p>
              </w:tc>
              <w:tc>
                <w:tcPr>
                  <w:tcW w:w="148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型号</w:t>
                  </w:r>
                </w:p>
              </w:tc>
              <w:tc>
                <w:tcPr>
                  <w:tcW w:w="76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数量</w:t>
                  </w:r>
                </w:p>
              </w:tc>
              <w:tc>
                <w:tcPr>
                  <w:tcW w:w="1343"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3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1</w:t>
                  </w:r>
                </w:p>
              </w:tc>
              <w:tc>
                <w:tcPr>
                  <w:tcW w:w="131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SF双层卧式油罐</w:t>
                  </w:r>
                </w:p>
              </w:tc>
              <w:tc>
                <w:tcPr>
                  <w:tcW w:w="149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汽油-</w:t>
                  </w:r>
                  <w:r>
                    <w:rPr>
                      <w:rFonts w:hint="default" w:ascii="Times New Roman" w:hAnsi="Times New Roman" w:cs="Times New Roman"/>
                      <w:bCs/>
                      <w:color w:val="000000" w:themeColor="text1"/>
                      <w:sz w:val="21"/>
                      <w:szCs w:val="21"/>
                      <w:lang w:val="en-US" w:eastAsia="zh-CN"/>
                      <w14:textFill>
                        <w14:solidFill>
                          <w14:schemeClr w14:val="tx1"/>
                        </w14:solidFill>
                      </w14:textFill>
                    </w:rPr>
                    <w:t>15</w:t>
                  </w:r>
                  <w:r>
                    <w:rPr>
                      <w:rFonts w:hint="default" w:ascii="Times New Roman" w:hAnsi="Times New Roman" w:cs="Times New Roman"/>
                      <w:bCs/>
                      <w:color w:val="000000" w:themeColor="text1"/>
                      <w:sz w:val="21"/>
                      <w:szCs w:val="21"/>
                      <w14:textFill>
                        <w14:solidFill>
                          <w14:schemeClr w14:val="tx1"/>
                        </w14:solidFill>
                      </w14:textFill>
                    </w:rPr>
                    <w:t>m</w:t>
                  </w:r>
                  <w:r>
                    <w:rPr>
                      <w:rFonts w:hint="default" w:ascii="Times New Roman" w:hAnsi="Times New Roman" w:cs="Times New Roman"/>
                      <w:bCs/>
                      <w:color w:val="000000" w:themeColor="text1"/>
                      <w:sz w:val="21"/>
                      <w:szCs w:val="21"/>
                      <w:vertAlign w:val="superscript"/>
                      <w14:textFill>
                        <w14:solidFill>
                          <w14:schemeClr w14:val="tx1"/>
                        </w14:solidFill>
                      </w14:textFill>
                    </w:rPr>
                    <w:t>3</w:t>
                  </w:r>
                </w:p>
              </w:tc>
              <w:tc>
                <w:tcPr>
                  <w:tcW w:w="80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2</w:t>
                  </w:r>
                  <w:r>
                    <w:rPr>
                      <w:rFonts w:hint="default" w:ascii="Times New Roman" w:hAnsi="Times New Roman" w:cs="Times New Roman"/>
                      <w:bCs/>
                      <w:color w:val="000000" w:themeColor="text1"/>
                      <w:sz w:val="21"/>
                      <w:szCs w:val="21"/>
                      <w14:textFill>
                        <w14:solidFill>
                          <w14:schemeClr w14:val="tx1"/>
                        </w14:solidFill>
                      </w14:textFill>
                    </w:rPr>
                    <w:t>个</w:t>
                  </w:r>
                </w:p>
              </w:tc>
              <w:tc>
                <w:tcPr>
                  <w:tcW w:w="135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SF双层卧式油罐</w:t>
                  </w:r>
                </w:p>
              </w:tc>
              <w:tc>
                <w:tcPr>
                  <w:tcW w:w="148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汽油-30m</w:t>
                  </w:r>
                  <w:r>
                    <w:rPr>
                      <w:rFonts w:hint="default" w:ascii="Times New Roman" w:hAnsi="Times New Roman" w:cs="Times New Roman"/>
                      <w:bCs/>
                      <w:color w:val="000000" w:themeColor="text1"/>
                      <w:sz w:val="21"/>
                      <w:szCs w:val="21"/>
                      <w:vertAlign w:val="superscript"/>
                      <w14:textFill>
                        <w14:solidFill>
                          <w14:schemeClr w14:val="tx1"/>
                        </w14:solidFill>
                      </w14:textFill>
                    </w:rPr>
                    <w:t>3</w:t>
                  </w:r>
                </w:p>
              </w:tc>
              <w:tc>
                <w:tcPr>
                  <w:tcW w:w="76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2</w:t>
                  </w:r>
                  <w:r>
                    <w:rPr>
                      <w:rFonts w:hint="default" w:ascii="Times New Roman" w:hAnsi="Times New Roman" w:cs="Times New Roman"/>
                      <w:bCs/>
                      <w:color w:val="000000" w:themeColor="text1"/>
                      <w:sz w:val="21"/>
                      <w:szCs w:val="21"/>
                      <w14:textFill>
                        <w14:solidFill>
                          <w14:schemeClr w14:val="tx1"/>
                        </w14:solidFill>
                      </w14:textFill>
                    </w:rPr>
                    <w:t>个</w:t>
                  </w:r>
                </w:p>
              </w:tc>
              <w:tc>
                <w:tcPr>
                  <w:tcW w:w="134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现有拆除，新增2台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3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2</w:t>
                  </w:r>
                </w:p>
              </w:tc>
              <w:tc>
                <w:tcPr>
                  <w:tcW w:w="131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SF双层卧式油罐</w:t>
                  </w:r>
                </w:p>
              </w:tc>
              <w:tc>
                <w:tcPr>
                  <w:tcW w:w="149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柴油-</w:t>
                  </w:r>
                  <w:r>
                    <w:rPr>
                      <w:rFonts w:hint="default" w:ascii="Times New Roman" w:hAnsi="Times New Roman" w:cs="Times New Roman"/>
                      <w:bCs/>
                      <w:color w:val="000000" w:themeColor="text1"/>
                      <w:sz w:val="21"/>
                      <w:szCs w:val="21"/>
                      <w:lang w:val="en-US" w:eastAsia="zh-CN"/>
                      <w14:textFill>
                        <w14:solidFill>
                          <w14:schemeClr w14:val="tx1"/>
                        </w14:solidFill>
                      </w14:textFill>
                    </w:rPr>
                    <w:t>15</w:t>
                  </w:r>
                  <w:r>
                    <w:rPr>
                      <w:rFonts w:hint="default" w:ascii="Times New Roman" w:hAnsi="Times New Roman" w:cs="Times New Roman"/>
                      <w:bCs/>
                      <w:color w:val="000000" w:themeColor="text1"/>
                      <w:sz w:val="21"/>
                      <w:szCs w:val="21"/>
                      <w14:textFill>
                        <w14:solidFill>
                          <w14:schemeClr w14:val="tx1"/>
                        </w14:solidFill>
                      </w14:textFill>
                    </w:rPr>
                    <w:t>m</w:t>
                  </w:r>
                  <w:r>
                    <w:rPr>
                      <w:rFonts w:hint="default" w:ascii="Times New Roman" w:hAnsi="Times New Roman" w:cs="Times New Roman"/>
                      <w:bCs/>
                      <w:color w:val="000000" w:themeColor="text1"/>
                      <w:sz w:val="21"/>
                      <w:szCs w:val="21"/>
                      <w:vertAlign w:val="superscript"/>
                      <w14:textFill>
                        <w14:solidFill>
                          <w14:schemeClr w14:val="tx1"/>
                        </w14:solidFill>
                      </w14:textFill>
                    </w:rPr>
                    <w:t>3</w:t>
                  </w:r>
                </w:p>
              </w:tc>
              <w:tc>
                <w:tcPr>
                  <w:tcW w:w="80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3</w:t>
                  </w:r>
                  <w:r>
                    <w:rPr>
                      <w:rFonts w:hint="default" w:ascii="Times New Roman" w:hAnsi="Times New Roman" w:cs="Times New Roman"/>
                      <w:bCs/>
                      <w:color w:val="000000" w:themeColor="text1"/>
                      <w:sz w:val="21"/>
                      <w:szCs w:val="21"/>
                      <w14:textFill>
                        <w14:solidFill>
                          <w14:schemeClr w14:val="tx1"/>
                        </w14:solidFill>
                      </w14:textFill>
                    </w:rPr>
                    <w:t>个</w:t>
                  </w:r>
                </w:p>
              </w:tc>
              <w:tc>
                <w:tcPr>
                  <w:tcW w:w="135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SF双层卧式油罐</w:t>
                  </w:r>
                </w:p>
              </w:tc>
              <w:tc>
                <w:tcPr>
                  <w:tcW w:w="148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柴油-30m</w:t>
                  </w:r>
                  <w:r>
                    <w:rPr>
                      <w:rFonts w:hint="default" w:ascii="Times New Roman" w:hAnsi="Times New Roman" w:cs="Times New Roman"/>
                      <w:bCs/>
                      <w:color w:val="000000" w:themeColor="text1"/>
                      <w:sz w:val="21"/>
                      <w:szCs w:val="21"/>
                      <w:vertAlign w:val="superscript"/>
                      <w14:textFill>
                        <w14:solidFill>
                          <w14:schemeClr w14:val="tx1"/>
                        </w14:solidFill>
                      </w14:textFill>
                    </w:rPr>
                    <w:t>3</w:t>
                  </w:r>
                </w:p>
              </w:tc>
              <w:tc>
                <w:tcPr>
                  <w:tcW w:w="76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2个</w:t>
                  </w:r>
                </w:p>
              </w:tc>
              <w:tc>
                <w:tcPr>
                  <w:tcW w:w="134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现有拆除，新增2台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3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3</w:t>
                  </w:r>
                </w:p>
              </w:tc>
              <w:tc>
                <w:tcPr>
                  <w:tcW w:w="131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尿素加注机</w:t>
                  </w:r>
                </w:p>
              </w:tc>
              <w:tc>
                <w:tcPr>
                  <w:tcW w:w="149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w:t>
                  </w:r>
                </w:p>
              </w:tc>
              <w:tc>
                <w:tcPr>
                  <w:tcW w:w="80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w:t>
                  </w:r>
                </w:p>
              </w:tc>
              <w:tc>
                <w:tcPr>
                  <w:tcW w:w="135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尿素加注机</w:t>
                  </w:r>
                </w:p>
              </w:tc>
              <w:tc>
                <w:tcPr>
                  <w:tcW w:w="148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w:t>
                  </w:r>
                </w:p>
              </w:tc>
              <w:tc>
                <w:tcPr>
                  <w:tcW w:w="76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1台</w:t>
                  </w:r>
                </w:p>
              </w:tc>
              <w:tc>
                <w:tcPr>
                  <w:tcW w:w="134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新增1台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3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4</w:t>
                  </w:r>
                </w:p>
              </w:tc>
              <w:tc>
                <w:tcPr>
                  <w:tcW w:w="131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柴油加油机</w:t>
                  </w:r>
                </w:p>
              </w:tc>
              <w:tc>
                <w:tcPr>
                  <w:tcW w:w="149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双枪单油品自吸泵加油机</w:t>
                  </w:r>
                </w:p>
              </w:tc>
              <w:tc>
                <w:tcPr>
                  <w:tcW w:w="80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2</w:t>
                  </w:r>
                  <w:r>
                    <w:rPr>
                      <w:rFonts w:hint="default" w:ascii="Times New Roman" w:hAnsi="Times New Roman" w:cs="Times New Roman"/>
                      <w:bCs/>
                      <w:color w:val="000000" w:themeColor="text1"/>
                      <w:sz w:val="21"/>
                      <w:szCs w:val="21"/>
                      <w14:textFill>
                        <w14:solidFill>
                          <w14:schemeClr w14:val="tx1"/>
                        </w14:solidFill>
                      </w14:textFill>
                    </w:rPr>
                    <w:t>台</w:t>
                  </w:r>
                </w:p>
              </w:tc>
              <w:tc>
                <w:tcPr>
                  <w:tcW w:w="135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柴油加油机</w:t>
                  </w:r>
                </w:p>
              </w:tc>
              <w:tc>
                <w:tcPr>
                  <w:tcW w:w="148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双枪单油品自吸泵加油机</w:t>
                  </w:r>
                </w:p>
              </w:tc>
              <w:tc>
                <w:tcPr>
                  <w:tcW w:w="76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2</w:t>
                  </w:r>
                  <w:r>
                    <w:rPr>
                      <w:rFonts w:hint="default" w:ascii="Times New Roman" w:hAnsi="Times New Roman" w:cs="Times New Roman"/>
                      <w:bCs/>
                      <w:color w:val="000000" w:themeColor="text1"/>
                      <w:sz w:val="21"/>
                      <w:szCs w:val="21"/>
                      <w14:textFill>
                        <w14:solidFill>
                          <w14:schemeClr w14:val="tx1"/>
                        </w14:solidFill>
                      </w14:textFill>
                    </w:rPr>
                    <w:t>台</w:t>
                  </w:r>
                </w:p>
              </w:tc>
              <w:tc>
                <w:tcPr>
                  <w:tcW w:w="134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依托现有工程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3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5</w:t>
                  </w:r>
                </w:p>
              </w:tc>
              <w:tc>
                <w:tcPr>
                  <w:tcW w:w="131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汽油加油机</w:t>
                  </w:r>
                </w:p>
              </w:tc>
              <w:tc>
                <w:tcPr>
                  <w:tcW w:w="149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双枪单油品自吸泵加油机</w:t>
                  </w:r>
                </w:p>
              </w:tc>
              <w:tc>
                <w:tcPr>
                  <w:tcW w:w="80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2台</w:t>
                  </w:r>
                </w:p>
              </w:tc>
              <w:tc>
                <w:tcPr>
                  <w:tcW w:w="135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汽油加油机</w:t>
                  </w:r>
                </w:p>
              </w:tc>
              <w:tc>
                <w:tcPr>
                  <w:tcW w:w="148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双枪单油品自吸泵加油机</w:t>
                  </w:r>
                </w:p>
              </w:tc>
              <w:tc>
                <w:tcPr>
                  <w:tcW w:w="76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2台</w:t>
                  </w:r>
                </w:p>
              </w:tc>
              <w:tc>
                <w:tcPr>
                  <w:tcW w:w="134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依托现有工程</w:t>
                  </w:r>
                </w:p>
              </w:tc>
            </w:tr>
          </w:tbl>
          <w:p>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snapToGrid w:val="0"/>
                <w:color w:val="000000" w:themeColor="text1"/>
                <w:sz w:val="24"/>
                <w:szCs w:val="24"/>
                <w14:textFill>
                  <w14:solidFill>
                    <w14:schemeClr w14:val="tx1"/>
                  </w14:solidFill>
                </w14:textFill>
              </w:rPr>
              <w:t>对照《产业结构调整指导目录（2019年本）》，本项目生产设备无限制类、禁止类和淘汰类设备；</w:t>
            </w:r>
            <w:r>
              <w:rPr>
                <w:rFonts w:hint="default" w:ascii="Times New Roman" w:hAnsi="Times New Roman" w:eastAsia="宋体" w:cs="Times New Roman"/>
                <w:color w:val="000000" w:themeColor="text1"/>
                <w:sz w:val="24"/>
                <w:szCs w:val="24"/>
                <w14:textFill>
                  <w14:solidFill>
                    <w14:schemeClr w14:val="tx1"/>
                  </w14:solidFill>
                </w14:textFill>
              </w:rPr>
              <w:t>根据《高耗能落后机电设备（产品）淘汰目录》，本项目设备均不属于淘汰类设备。</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snapToGrid w:val="0"/>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6、</w:t>
            </w:r>
            <w:r>
              <w:rPr>
                <w:rFonts w:hint="default" w:ascii="Times New Roman" w:hAnsi="Times New Roman" w:eastAsia="宋体" w:cs="Times New Roman"/>
                <w:b/>
                <w:snapToGrid w:val="0"/>
                <w:color w:val="000000" w:themeColor="text1"/>
                <w:sz w:val="24"/>
                <w:szCs w:val="24"/>
                <w14:textFill>
                  <w14:solidFill>
                    <w14:schemeClr w14:val="tx1"/>
                  </w14:solidFill>
                </w14:textFill>
              </w:rPr>
              <w:t>公用工程</w:t>
            </w:r>
          </w:p>
          <w:p>
            <w:pPr>
              <w:keepNext w:val="0"/>
              <w:keepLines w:val="0"/>
              <w:pageBreakBefore w:val="0"/>
              <w:kinsoku/>
              <w:wordWrap/>
              <w:overflowPunct/>
              <w:topLinePunct w:val="0"/>
              <w:autoSpaceDE/>
              <w:autoSpaceDN/>
              <w:bidi w:val="0"/>
              <w:adjustRightInd/>
              <w:snapToGrid/>
              <w:spacing w:line="480" w:lineRule="exact"/>
              <w:ind w:firstLine="464" w:firstLineChars="200"/>
              <w:textAlignment w:val="auto"/>
              <w:rPr>
                <w:rFonts w:hint="default" w:ascii="Times New Roman" w:hAnsi="Times New Roman" w:eastAsia="宋体" w:cs="Times New Roman"/>
                <w:color w:val="000000" w:themeColor="text1"/>
                <w:spacing w:val="-4"/>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4"/>
                <w:szCs w:val="24"/>
                <w:lang w:val="en-US" w:eastAsia="zh-CN"/>
                <w14:textFill>
                  <w14:solidFill>
                    <w14:schemeClr w14:val="tx1"/>
                  </w14:solidFill>
                </w14:textFill>
              </w:rPr>
              <w:t xml:space="preserve">（1）给排水                                             </w:t>
            </w:r>
            <w:r>
              <w:rPr>
                <w:rFonts w:hint="default" w:ascii="Times New Roman" w:hAnsi="Times New Roman" w:eastAsia="宋体" w:cs="Times New Roman"/>
                <w:color w:val="000000" w:themeColor="text1"/>
                <w:spacing w:val="-4"/>
                <w:sz w:val="24"/>
                <w:szCs w:val="24"/>
                <w:lang w:val="en-US" w:eastAsia="zh-CN"/>
                <w14:textFill>
                  <w14:solidFill>
                    <w14:schemeClr w14:val="tx1"/>
                  </w14:solidFill>
                </w14:textFill>
              </w:rPr>
              <w:tab/>
            </w:r>
          </w:p>
          <w:p>
            <w:pPr>
              <w:keepNext w:val="0"/>
              <w:keepLines w:val="0"/>
              <w:pageBreakBefore w:val="0"/>
              <w:kinsoku/>
              <w:wordWrap/>
              <w:overflowPunct/>
              <w:topLinePunct w:val="0"/>
              <w:autoSpaceDE/>
              <w:autoSpaceDN/>
              <w:bidi w:val="0"/>
              <w:adjustRightInd/>
              <w:snapToGrid/>
              <w:spacing w:line="480" w:lineRule="exact"/>
              <w:ind w:firstLine="464" w:firstLineChars="200"/>
              <w:textAlignment w:val="auto"/>
              <w:rPr>
                <w:rFonts w:hint="default" w:ascii="Times New Roman" w:hAnsi="Times New Roman" w:eastAsia="宋体" w:cs="Times New Roman"/>
                <w:color w:val="000000" w:themeColor="text1"/>
                <w:spacing w:val="-4"/>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4"/>
                <w:szCs w:val="24"/>
                <w:lang w:val="en-US" w:eastAsia="zh-CN"/>
                <w14:textFill>
                  <w14:solidFill>
                    <w14:schemeClr w14:val="tx1"/>
                  </w14:solidFill>
                </w14:textFill>
              </w:rPr>
              <w:t>①现有工程</w:t>
            </w:r>
          </w:p>
          <w:p>
            <w:pPr>
              <w:keepNext w:val="0"/>
              <w:keepLines w:val="0"/>
              <w:pageBreakBefore w:val="0"/>
              <w:kinsoku/>
              <w:wordWrap/>
              <w:overflowPunct/>
              <w:topLinePunct w:val="0"/>
              <w:autoSpaceDE/>
              <w:autoSpaceDN/>
              <w:bidi w:val="0"/>
              <w:adjustRightInd/>
              <w:snapToGrid/>
              <w:spacing w:line="480" w:lineRule="exact"/>
              <w:ind w:firstLine="464" w:firstLineChars="200"/>
              <w:textAlignment w:val="auto"/>
              <w:rPr>
                <w:rFonts w:hint="default" w:ascii="Times New Roman" w:hAnsi="Times New Roman" w:eastAsia="宋体" w:cs="Times New Roman"/>
                <w:color w:val="000000" w:themeColor="text1"/>
                <w:spacing w:val="-4"/>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4"/>
                <w:szCs w:val="24"/>
                <w:lang w:val="en-US" w:eastAsia="zh-CN"/>
                <w14:textFill>
                  <w14:solidFill>
                    <w14:schemeClr w14:val="tx1"/>
                  </w14:solidFill>
                </w14:textFill>
              </w:rPr>
              <w:t>现有工程用水主要为生活用水。根据企业提供资料，生活用水量为200m</w:t>
            </w:r>
            <w:r>
              <w:rPr>
                <w:rFonts w:hint="default" w:ascii="Times New Roman" w:hAnsi="Times New Roman" w:eastAsia="宋体" w:cs="Times New Roman"/>
                <w:color w:val="000000" w:themeColor="text1"/>
                <w:spacing w:val="-4"/>
                <w:sz w:val="24"/>
                <w:szCs w:val="24"/>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pacing w:val="-4"/>
                <w:sz w:val="24"/>
                <w:szCs w:val="24"/>
                <w:lang w:val="en-US" w:eastAsia="zh-CN"/>
                <w14:textFill>
                  <w14:solidFill>
                    <w14:schemeClr w14:val="tx1"/>
                  </w14:solidFill>
                </w14:textFill>
              </w:rPr>
              <w:t>/a，产生量约160.6m</w:t>
            </w:r>
            <w:r>
              <w:rPr>
                <w:rFonts w:hint="default" w:ascii="Times New Roman" w:hAnsi="Times New Roman" w:eastAsia="宋体" w:cs="Times New Roman"/>
                <w:color w:val="000000" w:themeColor="text1"/>
                <w:spacing w:val="-4"/>
                <w:sz w:val="24"/>
                <w:szCs w:val="24"/>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pacing w:val="-4"/>
                <w:sz w:val="24"/>
                <w:szCs w:val="24"/>
                <w:lang w:val="en-US" w:eastAsia="zh-CN"/>
                <w14:textFill>
                  <w14:solidFill>
                    <w14:schemeClr w14:val="tx1"/>
                  </w14:solidFill>
                </w14:textFill>
              </w:rPr>
              <w:t>/a。</w:t>
            </w:r>
          </w:p>
          <w:p>
            <w:pPr>
              <w:spacing w:line="360" w:lineRule="auto"/>
              <w:jc w:val="center"/>
              <w:rPr>
                <w:rFonts w:hint="default" w:ascii="Times New Roman" w:hAnsi="Times New Roman" w:cs="Times New Roman"/>
                <w:color w:val="000000" w:themeColor="text1"/>
                <w:spacing w:val="-4"/>
                <w:szCs w:val="21"/>
                <w14:textFill>
                  <w14:solidFill>
                    <w14:schemeClr w14:val="tx1"/>
                  </w14:solidFill>
                </w14:textFill>
              </w:rPr>
            </w:pPr>
            <w:r>
              <w:rPr>
                <w:rFonts w:hint="default" w:ascii="Times New Roman" w:hAnsi="Times New Roman" w:eastAsia="宋体" w:cs="Times New Roman"/>
                <w:color w:val="000000" w:themeColor="text1"/>
                <w:spacing w:val="-4"/>
                <w:sz w:val="24"/>
                <w:szCs w:val="24"/>
                <w:lang w:val="en-US" w:eastAsia="zh-CN"/>
                <w14:textFill>
                  <w14:solidFill>
                    <w14:schemeClr w14:val="tx1"/>
                  </w14:solidFill>
                </w14:textFill>
              </w:rPr>
              <w:object>
                <v:shape id="_x0000_i1025" o:spt="75" type="#_x0000_t75" style="height:68.3pt;width:442.7pt;" o:ole="t" filled="f" o:preferrelative="t" stroked="f" coordsize="21600,21600">
                  <v:path/>
                  <v:fill on="f" focussize="0,0"/>
                  <v:stroke on="f"/>
                  <v:imagedata r:id="rId20" o:title=""/>
                  <o:lock v:ext="edit" aspectratio="f"/>
                  <w10:wrap type="none"/>
                  <w10:anchorlock/>
                </v:shape>
                <o:OLEObject Type="Embed" ProgID="Visio.Drawing.11" ShapeID="_x0000_i1025" DrawAspect="Content" ObjectID="_1468075725" r:id="rId19">
                  <o:LockedField>false</o:LockedField>
                </o:OLEObject>
              </w:object>
            </w:r>
            <w:r>
              <w:rPr>
                <w:rFonts w:hint="default" w:ascii="Times New Roman" w:hAnsi="Times New Roman" w:cs="Times New Roman"/>
                <w:b/>
                <w:bCs/>
                <w:color w:val="000000" w:themeColor="text1"/>
                <w:spacing w:val="-4"/>
                <w:szCs w:val="21"/>
                <w14:textFill>
                  <w14:solidFill>
                    <w14:schemeClr w14:val="tx1"/>
                  </w14:solidFill>
                </w14:textFill>
              </w:rPr>
              <w:t xml:space="preserve">图1   </w:t>
            </w:r>
            <w:r>
              <w:rPr>
                <w:rFonts w:hint="default" w:ascii="Times New Roman" w:hAnsi="Times New Roman" w:cs="Times New Roman"/>
                <w:b/>
                <w:bCs/>
                <w:color w:val="000000" w:themeColor="text1"/>
                <w:spacing w:val="-4"/>
                <w:szCs w:val="21"/>
                <w:lang w:val="en-US" w:eastAsia="zh-CN"/>
                <w14:textFill>
                  <w14:solidFill>
                    <w14:schemeClr w14:val="tx1"/>
                  </w14:solidFill>
                </w14:textFill>
              </w:rPr>
              <w:t xml:space="preserve">     </w:t>
            </w:r>
            <w:r>
              <w:rPr>
                <w:rFonts w:hint="default" w:ascii="Times New Roman" w:hAnsi="Times New Roman" w:cs="Times New Roman"/>
                <w:b/>
                <w:bCs/>
                <w:color w:val="000000" w:themeColor="text1"/>
                <w:spacing w:val="-4"/>
                <w:szCs w:val="21"/>
                <w14:textFill>
                  <w14:solidFill>
                    <w14:schemeClr w14:val="tx1"/>
                  </w14:solidFill>
                </w14:textFill>
              </w:rPr>
              <w:t>现有项目水平衡图</w:t>
            </w:r>
            <w:r>
              <w:rPr>
                <w:rFonts w:hint="default" w:ascii="Times New Roman" w:hAnsi="Times New Roman" w:cs="Times New Roman"/>
                <w:b/>
                <w:bCs/>
                <w:color w:val="000000" w:themeColor="text1"/>
                <w:spacing w:val="-4"/>
                <w:szCs w:val="21"/>
                <w:lang w:eastAsia="zh-CN"/>
                <w14:textFill>
                  <w14:solidFill>
                    <w14:schemeClr w14:val="tx1"/>
                  </w14:solidFill>
                </w14:textFill>
              </w:rPr>
              <w:t>（</w:t>
            </w:r>
            <w:r>
              <w:rPr>
                <w:rFonts w:hint="default" w:ascii="Times New Roman" w:hAnsi="Times New Roman" w:cs="Times New Roman"/>
                <w:b/>
                <w:bCs/>
                <w:color w:val="000000" w:themeColor="text1"/>
                <w:spacing w:val="-4"/>
                <w:szCs w:val="21"/>
                <w14:textFill>
                  <w14:solidFill>
                    <w14:schemeClr w14:val="tx1"/>
                  </w14:solidFill>
                </w14:textFill>
              </w:rPr>
              <w:t>m</w:t>
            </w:r>
            <w:r>
              <w:rPr>
                <w:rFonts w:hint="default" w:ascii="Times New Roman" w:hAnsi="Times New Roman" w:cs="Times New Roman"/>
                <w:b/>
                <w:bCs/>
                <w:color w:val="000000" w:themeColor="text1"/>
                <w:spacing w:val="-4"/>
                <w:szCs w:val="21"/>
                <w:vertAlign w:val="superscript"/>
                <w14:textFill>
                  <w14:solidFill>
                    <w14:schemeClr w14:val="tx1"/>
                  </w14:solidFill>
                </w14:textFill>
              </w:rPr>
              <w:t>3</w:t>
            </w:r>
            <w:r>
              <w:rPr>
                <w:rFonts w:hint="default" w:ascii="Times New Roman" w:hAnsi="Times New Roman" w:cs="Times New Roman"/>
                <w:b/>
                <w:bCs/>
                <w:color w:val="000000" w:themeColor="text1"/>
                <w:spacing w:val="-4"/>
                <w:szCs w:val="21"/>
                <w14:textFill>
                  <w14:solidFill>
                    <w14:schemeClr w14:val="tx1"/>
                  </w14:solidFill>
                </w14:textFill>
              </w:rPr>
              <w:t>/a</w:t>
            </w:r>
            <w:r>
              <w:rPr>
                <w:rFonts w:hint="default" w:ascii="Times New Roman" w:hAnsi="Times New Roman" w:cs="Times New Roman"/>
                <w:b/>
                <w:bCs/>
                <w:color w:val="000000" w:themeColor="text1"/>
                <w:spacing w:val="-4"/>
                <w:szCs w:val="21"/>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80" w:lineRule="exact"/>
              <w:ind w:firstLine="464" w:firstLineChars="200"/>
              <w:textAlignment w:val="auto"/>
              <w:rPr>
                <w:rFonts w:hint="default" w:ascii="Times New Roman" w:hAnsi="Times New Roman" w:cs="Times New Roman"/>
                <w:color w:val="000000" w:themeColor="text1"/>
                <w:spacing w:val="-4"/>
                <w:sz w:val="24"/>
                <w:szCs w:val="24"/>
                <w14:textFill>
                  <w14:solidFill>
                    <w14:schemeClr w14:val="tx1"/>
                  </w14:solidFill>
                </w14:textFill>
              </w:rPr>
            </w:pPr>
            <w:r>
              <w:rPr>
                <w:rFonts w:hint="default" w:ascii="Times New Roman" w:hAnsi="Times New Roman" w:cs="Times New Roman"/>
                <w:color w:val="000000" w:themeColor="text1"/>
                <w:spacing w:val="-4"/>
                <w:sz w:val="24"/>
                <w:szCs w:val="24"/>
                <w14:textFill>
                  <w14:solidFill>
                    <w14:schemeClr w14:val="tx1"/>
                  </w14:solidFill>
                </w14:textFill>
              </w:rPr>
              <w:t>②改扩建项目</w:t>
            </w:r>
          </w:p>
          <w:p>
            <w:pPr>
              <w:keepNext w:val="0"/>
              <w:keepLines w:val="0"/>
              <w:pageBreakBefore w:val="0"/>
              <w:widowControl w:val="0"/>
              <w:kinsoku/>
              <w:wordWrap/>
              <w:overflowPunct/>
              <w:topLinePunct w:val="0"/>
              <w:autoSpaceDE/>
              <w:autoSpaceDN/>
              <w:bidi w:val="0"/>
              <w:adjustRightInd/>
              <w:snapToGrid/>
              <w:spacing w:line="480" w:lineRule="exact"/>
              <w:ind w:firstLine="464" w:firstLineChars="200"/>
              <w:textAlignment w:val="auto"/>
              <w:rPr>
                <w:rFonts w:hint="default" w:ascii="Times New Roman" w:hAnsi="Times New Roman" w:cs="Times New Roman"/>
                <w:color w:val="000000" w:themeColor="text1"/>
                <w:spacing w:val="-4"/>
                <w:sz w:val="24"/>
                <w:szCs w:val="24"/>
                <w14:textFill>
                  <w14:solidFill>
                    <w14:schemeClr w14:val="tx1"/>
                  </w14:solidFill>
                </w14:textFill>
              </w:rPr>
            </w:pPr>
            <w:r>
              <w:rPr>
                <w:rFonts w:hint="default" w:ascii="Times New Roman" w:hAnsi="Times New Roman" w:cs="Times New Roman"/>
                <w:color w:val="000000" w:themeColor="text1"/>
                <w:spacing w:val="-4"/>
                <w:sz w:val="24"/>
                <w:szCs w:val="24"/>
                <w14:textFill>
                  <w14:solidFill>
                    <w14:schemeClr w14:val="tx1"/>
                  </w14:solidFill>
                </w14:textFill>
              </w:rPr>
              <w:t>改扩建项目不新增员工，</w:t>
            </w:r>
            <w:r>
              <w:rPr>
                <w:rFonts w:hint="default" w:ascii="Times New Roman" w:hAnsi="Times New Roman" w:cs="Times New Roman"/>
                <w:color w:val="000000" w:themeColor="text1"/>
                <w:spacing w:val="-4"/>
                <w:sz w:val="24"/>
                <w:szCs w:val="24"/>
                <w:lang w:val="en-US" w:eastAsia="zh-CN"/>
                <w14:textFill>
                  <w14:solidFill>
                    <w14:schemeClr w14:val="tx1"/>
                  </w14:solidFill>
                </w14:textFill>
              </w:rPr>
              <w:t>因此不新增职工生活用水和生活污水量，</w:t>
            </w:r>
            <w:r>
              <w:rPr>
                <w:rFonts w:hint="default" w:ascii="Times New Roman" w:hAnsi="Times New Roman" w:cs="Times New Roman"/>
                <w:color w:val="000000" w:themeColor="text1"/>
                <w:spacing w:val="-4"/>
                <w:sz w:val="24"/>
                <w:szCs w:val="24"/>
                <w14:textFill>
                  <w14:solidFill>
                    <w14:schemeClr w14:val="tx1"/>
                  </w14:solidFill>
                </w14:textFill>
              </w:rPr>
              <w:t>用水主要为</w:t>
            </w:r>
            <w:r>
              <w:rPr>
                <w:rFonts w:hint="default" w:ascii="Times New Roman" w:hAnsi="Times New Roman" w:cs="Times New Roman"/>
                <w:color w:val="000000" w:themeColor="text1"/>
                <w:spacing w:val="-4"/>
                <w:sz w:val="24"/>
                <w:szCs w:val="24"/>
                <w:lang w:val="en-US" w:eastAsia="zh-CN"/>
                <w14:textFill>
                  <w14:solidFill>
                    <w14:schemeClr w14:val="tx1"/>
                  </w14:solidFill>
                </w14:textFill>
              </w:rPr>
              <w:t>顾客</w:t>
            </w:r>
            <w:r>
              <w:rPr>
                <w:rFonts w:hint="default" w:ascii="Times New Roman" w:hAnsi="Times New Roman" w:cs="Times New Roman"/>
                <w:color w:val="000000" w:themeColor="text1"/>
                <w:spacing w:val="-4"/>
                <w:sz w:val="24"/>
                <w:szCs w:val="24"/>
                <w14:textFill>
                  <w14:solidFill>
                    <w14:schemeClr w14:val="tx1"/>
                  </w14:solidFill>
                </w14:textFill>
              </w:rPr>
              <w:t>生活用水。</w:t>
            </w:r>
          </w:p>
          <w:p>
            <w:pPr>
              <w:keepNext w:val="0"/>
              <w:keepLines w:val="0"/>
              <w:pageBreakBefore w:val="0"/>
              <w:widowControl w:val="0"/>
              <w:kinsoku/>
              <w:wordWrap/>
              <w:overflowPunct/>
              <w:topLinePunct w:val="0"/>
              <w:autoSpaceDE/>
              <w:autoSpaceDN/>
              <w:bidi w:val="0"/>
              <w:adjustRightInd/>
              <w:snapToGrid/>
              <w:spacing w:line="480" w:lineRule="exact"/>
              <w:ind w:firstLine="466" w:firstLineChars="200"/>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cs="Times New Roman"/>
                <w:b/>
                <w:bCs/>
                <w:color w:val="000000" w:themeColor="text1"/>
                <w:spacing w:val="-4"/>
                <w:sz w:val="24"/>
                <w:szCs w:val="24"/>
                <w14:textFill>
                  <w14:solidFill>
                    <w14:schemeClr w14:val="tx1"/>
                  </w14:solidFill>
                </w14:textFill>
              </w:rPr>
              <w:t>生活用水：</w:t>
            </w:r>
            <w:r>
              <w:rPr>
                <w:rFonts w:hint="default" w:ascii="Times New Roman" w:hAnsi="Times New Roman" w:cs="Times New Roman"/>
                <w:color w:val="000000" w:themeColor="text1"/>
                <w:spacing w:val="-4"/>
                <w:sz w:val="24"/>
                <w:szCs w:val="24"/>
                <w14:textFill>
                  <w14:solidFill>
                    <w14:schemeClr w14:val="tx1"/>
                  </w14:solidFill>
                </w14:textFill>
              </w:rPr>
              <w:t>改扩建项目汽油加油规模增加</w:t>
            </w:r>
            <w:r>
              <w:rPr>
                <w:rFonts w:hint="default" w:ascii="Times New Roman" w:hAnsi="Times New Roman" w:cs="Times New Roman"/>
                <w:color w:val="000000" w:themeColor="text1"/>
                <w:spacing w:val="-4"/>
                <w:sz w:val="24"/>
                <w:szCs w:val="24"/>
                <w:lang w:val="en-US" w:eastAsia="zh-CN"/>
                <w14:textFill>
                  <w14:solidFill>
                    <w14:schemeClr w14:val="tx1"/>
                  </w14:solidFill>
                </w14:textFill>
              </w:rPr>
              <w:t>3</w:t>
            </w:r>
            <w:r>
              <w:rPr>
                <w:rFonts w:hint="default" w:ascii="Times New Roman" w:hAnsi="Times New Roman" w:cs="Times New Roman"/>
                <w:color w:val="000000" w:themeColor="text1"/>
                <w:spacing w:val="-4"/>
                <w:sz w:val="24"/>
                <w:szCs w:val="24"/>
                <w14:textFill>
                  <w14:solidFill>
                    <w14:schemeClr w14:val="tx1"/>
                  </w14:solidFill>
                </w14:textFill>
              </w:rPr>
              <w:t>00t/a（密度</w:t>
            </w:r>
            <w:r>
              <w:rPr>
                <w:rFonts w:hint="default" w:ascii="Times New Roman" w:hAnsi="Times New Roman" w:cs="Times New Roman"/>
                <w:color w:val="000000" w:themeColor="text1"/>
                <w:spacing w:val="-4"/>
                <w:sz w:val="24"/>
                <w:szCs w:val="24"/>
                <w:lang w:val="en-US" w:eastAsia="zh-CN"/>
                <w14:textFill>
                  <w14:solidFill>
                    <w14:schemeClr w14:val="tx1"/>
                  </w14:solidFill>
                </w14:textFill>
              </w:rPr>
              <w:t>取</w:t>
            </w:r>
            <w:r>
              <w:rPr>
                <w:rFonts w:hint="default" w:ascii="Times New Roman" w:hAnsi="Times New Roman" w:cs="Times New Roman"/>
                <w:color w:val="000000" w:themeColor="text1"/>
                <w:spacing w:val="-4"/>
                <w:sz w:val="24"/>
                <w:szCs w:val="24"/>
                <w:lang w:eastAsia="zh-CN"/>
                <w14:textFill>
                  <w14:solidFill>
                    <w14:schemeClr w14:val="tx1"/>
                  </w14:solidFill>
                </w14:textFill>
              </w:rPr>
              <w:t>0.75t</w:t>
            </w:r>
            <w:r>
              <w:rPr>
                <w:rFonts w:hint="default" w:ascii="Times New Roman" w:hAnsi="Times New Roman" w:cs="Times New Roman"/>
                <w:color w:val="000000" w:themeColor="text1"/>
                <w:spacing w:val="-4"/>
                <w:sz w:val="24"/>
                <w:szCs w:val="24"/>
                <w14:textFill>
                  <w14:solidFill>
                    <w14:schemeClr w14:val="tx1"/>
                  </w14:solidFill>
                </w14:textFill>
              </w:rPr>
              <w:t>/m</w:t>
            </w:r>
            <w:r>
              <w:rPr>
                <w:rFonts w:hint="default" w:ascii="Times New Roman" w:hAnsi="Times New Roman" w:cs="Times New Roman"/>
                <w:color w:val="000000" w:themeColor="text1"/>
                <w:spacing w:val="-4"/>
                <w:sz w:val="24"/>
                <w:szCs w:val="24"/>
                <w:vertAlign w:val="superscript"/>
                <w14:textFill>
                  <w14:solidFill>
                    <w14:schemeClr w14:val="tx1"/>
                  </w14:solidFill>
                </w14:textFill>
              </w:rPr>
              <w:t>3</w:t>
            </w:r>
            <w:r>
              <w:rPr>
                <w:rFonts w:hint="default" w:ascii="Times New Roman" w:hAnsi="Times New Roman" w:cs="Times New Roman"/>
                <w:color w:val="000000" w:themeColor="text1"/>
                <w:spacing w:val="-4"/>
                <w:sz w:val="24"/>
                <w:szCs w:val="24"/>
                <w14:textFill>
                  <w14:solidFill>
                    <w14:schemeClr w14:val="tx1"/>
                  </w14:solidFill>
                </w14:textFill>
              </w:rPr>
              <w:t>），加汽油车辆平均35L/辆，经估算，改扩建项目每天可增加加油车辆共计</w:t>
            </w:r>
            <w:r>
              <w:rPr>
                <w:rFonts w:hint="default" w:ascii="Times New Roman" w:hAnsi="Times New Roman" w:cs="Times New Roman"/>
                <w:color w:val="000000" w:themeColor="text1"/>
                <w:spacing w:val="-4"/>
                <w:sz w:val="24"/>
                <w:szCs w:val="24"/>
                <w:lang w:val="en-US" w:eastAsia="zh-CN"/>
                <w14:textFill>
                  <w14:solidFill>
                    <w14:schemeClr w14:val="tx1"/>
                  </w14:solidFill>
                </w14:textFill>
              </w:rPr>
              <w:t>32</w:t>
            </w:r>
            <w:r>
              <w:rPr>
                <w:rFonts w:hint="default" w:ascii="Times New Roman" w:hAnsi="Times New Roman" w:cs="Times New Roman"/>
                <w:color w:val="000000" w:themeColor="text1"/>
                <w:spacing w:val="-4"/>
                <w:sz w:val="24"/>
                <w:szCs w:val="24"/>
                <w14:textFill>
                  <w14:solidFill>
                    <w14:schemeClr w14:val="tx1"/>
                  </w14:solidFill>
                </w14:textFill>
              </w:rPr>
              <w:t>辆，每辆车以2人计，则本站客流量约为</w:t>
            </w:r>
            <w:r>
              <w:rPr>
                <w:rFonts w:hint="default" w:ascii="Times New Roman" w:hAnsi="Times New Roman" w:cs="Times New Roman"/>
                <w:color w:val="000000" w:themeColor="text1"/>
                <w:spacing w:val="-4"/>
                <w:sz w:val="24"/>
                <w:szCs w:val="24"/>
                <w:lang w:val="en-US" w:eastAsia="zh-CN"/>
                <w14:textFill>
                  <w14:solidFill>
                    <w14:schemeClr w14:val="tx1"/>
                  </w14:solidFill>
                </w14:textFill>
              </w:rPr>
              <w:t>64</w:t>
            </w:r>
            <w:r>
              <w:rPr>
                <w:rFonts w:hint="default" w:ascii="Times New Roman" w:hAnsi="Times New Roman" w:cs="Times New Roman"/>
                <w:color w:val="000000" w:themeColor="text1"/>
                <w:spacing w:val="-4"/>
                <w:sz w:val="24"/>
                <w:szCs w:val="24"/>
                <w14:textFill>
                  <w14:solidFill>
                    <w14:schemeClr w14:val="tx1"/>
                  </w14:solidFill>
                </w14:textFill>
              </w:rPr>
              <w:t>人次/d，按40%顾客（</w:t>
            </w:r>
            <w:r>
              <w:rPr>
                <w:rFonts w:hint="default" w:ascii="Times New Roman" w:hAnsi="Times New Roman" w:cs="Times New Roman"/>
                <w:color w:val="000000" w:themeColor="text1"/>
                <w:spacing w:val="-4"/>
                <w:sz w:val="24"/>
                <w:szCs w:val="24"/>
                <w:lang w:val="en-US" w:eastAsia="zh-CN"/>
                <w14:textFill>
                  <w14:solidFill>
                    <w14:schemeClr w14:val="tx1"/>
                  </w14:solidFill>
                </w14:textFill>
              </w:rPr>
              <w:t>26</w:t>
            </w:r>
            <w:r>
              <w:rPr>
                <w:rFonts w:hint="default" w:ascii="Times New Roman" w:hAnsi="Times New Roman" w:cs="Times New Roman"/>
                <w:color w:val="000000" w:themeColor="text1"/>
                <w:spacing w:val="-4"/>
                <w:sz w:val="24"/>
                <w:szCs w:val="24"/>
                <w14:textFill>
                  <w14:solidFill>
                    <w14:schemeClr w14:val="tx1"/>
                  </w14:solidFill>
                </w14:textFill>
              </w:rPr>
              <w:t>人次）需要进入生活区计算，参考《工业与城镇生活用水定额》（DB41/T 385-2020）环境卫生管理-公共厕所用水定额6L/人·次计算；外来人员生活总用水量为</w:t>
            </w:r>
            <w:r>
              <w:rPr>
                <w:rFonts w:hint="default" w:ascii="Times New Roman" w:hAnsi="Times New Roman" w:cs="Times New Roman"/>
                <w:color w:val="000000" w:themeColor="text1"/>
                <w:spacing w:val="-4"/>
                <w:sz w:val="24"/>
                <w:szCs w:val="24"/>
                <w:lang w:val="en-US" w:eastAsia="zh-CN"/>
                <w14:textFill>
                  <w14:solidFill>
                    <w14:schemeClr w14:val="tx1"/>
                  </w14:solidFill>
                </w14:textFill>
              </w:rPr>
              <w:t>0.156</w:t>
            </w:r>
            <w:r>
              <w:rPr>
                <w:rFonts w:hint="default" w:ascii="Times New Roman" w:hAnsi="Times New Roman" w:cs="Times New Roman"/>
                <w:color w:val="000000" w:themeColor="text1"/>
                <w:spacing w:val="-4"/>
                <w:sz w:val="24"/>
                <w:szCs w:val="24"/>
                <w14:textFill>
                  <w14:solidFill>
                    <w14:schemeClr w14:val="tx1"/>
                  </w14:solidFill>
                </w14:textFill>
              </w:rPr>
              <w:t>m</w:t>
            </w:r>
            <w:r>
              <w:rPr>
                <w:rFonts w:hint="default" w:ascii="Times New Roman" w:hAnsi="Times New Roman" w:cs="Times New Roman"/>
                <w:color w:val="000000" w:themeColor="text1"/>
                <w:spacing w:val="-4"/>
                <w:sz w:val="24"/>
                <w:szCs w:val="24"/>
                <w:vertAlign w:val="superscript"/>
                <w14:textFill>
                  <w14:solidFill>
                    <w14:schemeClr w14:val="tx1"/>
                  </w14:solidFill>
                </w14:textFill>
              </w:rPr>
              <w:t>3</w:t>
            </w:r>
            <w:r>
              <w:rPr>
                <w:rFonts w:hint="default" w:ascii="Times New Roman" w:hAnsi="Times New Roman" w:cs="Times New Roman"/>
                <w:color w:val="000000" w:themeColor="text1"/>
                <w:spacing w:val="-4"/>
                <w:sz w:val="24"/>
                <w:szCs w:val="24"/>
                <w14:textFill>
                  <w14:solidFill>
                    <w14:schemeClr w14:val="tx1"/>
                  </w14:solidFill>
                </w14:textFill>
              </w:rPr>
              <w:t>/d（</w:t>
            </w:r>
            <w:r>
              <w:rPr>
                <w:rFonts w:hint="default" w:ascii="Times New Roman" w:hAnsi="Times New Roman" w:cs="Times New Roman"/>
                <w:color w:val="000000" w:themeColor="text1"/>
                <w:spacing w:val="-4"/>
                <w:sz w:val="24"/>
                <w:szCs w:val="24"/>
                <w:lang w:val="en-US" w:eastAsia="zh-CN"/>
                <w14:textFill>
                  <w14:solidFill>
                    <w14:schemeClr w14:val="tx1"/>
                  </w14:solidFill>
                </w14:textFill>
              </w:rPr>
              <w:t>56.94</w:t>
            </w:r>
            <w:r>
              <w:rPr>
                <w:rFonts w:hint="default" w:ascii="Times New Roman" w:hAnsi="Times New Roman" w:cs="Times New Roman"/>
                <w:color w:val="000000" w:themeColor="text1"/>
                <w:spacing w:val="-4"/>
                <w:sz w:val="24"/>
                <w:szCs w:val="24"/>
                <w14:textFill>
                  <w14:solidFill>
                    <w14:schemeClr w14:val="tx1"/>
                  </w14:solidFill>
                </w14:textFill>
              </w:rPr>
              <w:t>m</w:t>
            </w:r>
            <w:r>
              <w:rPr>
                <w:rFonts w:hint="default" w:ascii="Times New Roman" w:hAnsi="Times New Roman" w:cs="Times New Roman"/>
                <w:color w:val="000000" w:themeColor="text1"/>
                <w:spacing w:val="-4"/>
                <w:sz w:val="24"/>
                <w:szCs w:val="24"/>
                <w:vertAlign w:val="superscript"/>
                <w14:textFill>
                  <w14:solidFill>
                    <w14:schemeClr w14:val="tx1"/>
                  </w14:solidFill>
                </w14:textFill>
              </w:rPr>
              <w:t>3</w:t>
            </w:r>
            <w:r>
              <w:rPr>
                <w:rFonts w:hint="default" w:ascii="Times New Roman" w:hAnsi="Times New Roman" w:cs="Times New Roman"/>
                <w:color w:val="000000" w:themeColor="text1"/>
                <w:spacing w:val="-4"/>
                <w:sz w:val="24"/>
                <w:szCs w:val="24"/>
                <w14:textFill>
                  <w14:solidFill>
                    <w14:schemeClr w14:val="tx1"/>
                  </w14:solidFill>
                </w14:textFill>
              </w:rPr>
              <w:t>/a），排污系数按80%计，则生活污水产生量为</w:t>
            </w:r>
            <w:r>
              <w:rPr>
                <w:rFonts w:hint="default" w:ascii="Times New Roman" w:hAnsi="Times New Roman" w:cs="Times New Roman"/>
                <w:color w:val="000000" w:themeColor="text1"/>
                <w:spacing w:val="-4"/>
                <w:sz w:val="24"/>
                <w:szCs w:val="24"/>
                <w:lang w:val="en-US" w:eastAsia="zh-CN"/>
                <w14:textFill>
                  <w14:solidFill>
                    <w14:schemeClr w14:val="tx1"/>
                  </w14:solidFill>
                </w14:textFill>
              </w:rPr>
              <w:t>0.1248</w:t>
            </w:r>
            <w:r>
              <w:rPr>
                <w:rFonts w:hint="default" w:ascii="Times New Roman" w:hAnsi="Times New Roman" w:cs="Times New Roman"/>
                <w:color w:val="000000" w:themeColor="text1"/>
                <w:spacing w:val="-4"/>
                <w:sz w:val="24"/>
                <w:szCs w:val="24"/>
                <w14:textFill>
                  <w14:solidFill>
                    <w14:schemeClr w14:val="tx1"/>
                  </w14:solidFill>
                </w14:textFill>
              </w:rPr>
              <w:t>m</w:t>
            </w:r>
            <w:r>
              <w:rPr>
                <w:rFonts w:hint="default" w:ascii="Times New Roman" w:hAnsi="Times New Roman" w:cs="Times New Roman"/>
                <w:color w:val="000000" w:themeColor="text1"/>
                <w:spacing w:val="-4"/>
                <w:sz w:val="24"/>
                <w:szCs w:val="24"/>
                <w:vertAlign w:val="superscript"/>
                <w14:textFill>
                  <w14:solidFill>
                    <w14:schemeClr w14:val="tx1"/>
                  </w14:solidFill>
                </w14:textFill>
              </w:rPr>
              <w:t>3</w:t>
            </w:r>
            <w:r>
              <w:rPr>
                <w:rFonts w:hint="default" w:ascii="Times New Roman" w:hAnsi="Times New Roman" w:cs="Times New Roman"/>
                <w:color w:val="000000" w:themeColor="text1"/>
                <w:spacing w:val="-4"/>
                <w:sz w:val="24"/>
                <w:szCs w:val="24"/>
                <w14:textFill>
                  <w14:solidFill>
                    <w14:schemeClr w14:val="tx1"/>
                  </w14:solidFill>
                </w14:textFill>
              </w:rPr>
              <w:t>/d（</w:t>
            </w:r>
            <w:r>
              <w:rPr>
                <w:rFonts w:hint="default" w:ascii="Times New Roman" w:hAnsi="Times New Roman" w:cs="Times New Roman"/>
                <w:color w:val="000000" w:themeColor="text1"/>
                <w:spacing w:val="-4"/>
                <w:sz w:val="24"/>
                <w:szCs w:val="24"/>
                <w:lang w:val="en-US" w:eastAsia="zh-CN"/>
                <w14:textFill>
                  <w14:solidFill>
                    <w14:schemeClr w14:val="tx1"/>
                  </w14:solidFill>
                </w14:textFill>
              </w:rPr>
              <w:t>45.552</w:t>
            </w:r>
            <w:r>
              <w:rPr>
                <w:rFonts w:hint="default" w:ascii="Times New Roman" w:hAnsi="Times New Roman" w:cs="Times New Roman"/>
                <w:color w:val="000000" w:themeColor="text1"/>
                <w:spacing w:val="-4"/>
                <w:sz w:val="24"/>
                <w:szCs w:val="24"/>
                <w14:textFill>
                  <w14:solidFill>
                    <w14:schemeClr w14:val="tx1"/>
                  </w14:solidFill>
                </w14:textFill>
              </w:rPr>
              <w:t>m</w:t>
            </w:r>
            <w:r>
              <w:rPr>
                <w:rFonts w:hint="default" w:ascii="Times New Roman" w:hAnsi="Times New Roman" w:cs="Times New Roman"/>
                <w:color w:val="000000" w:themeColor="text1"/>
                <w:spacing w:val="-4"/>
                <w:sz w:val="24"/>
                <w:szCs w:val="24"/>
                <w:vertAlign w:val="superscript"/>
                <w14:textFill>
                  <w14:solidFill>
                    <w14:schemeClr w14:val="tx1"/>
                  </w14:solidFill>
                </w14:textFill>
              </w:rPr>
              <w:t>3</w:t>
            </w:r>
            <w:r>
              <w:rPr>
                <w:rFonts w:hint="default" w:ascii="Times New Roman" w:hAnsi="Times New Roman" w:cs="Times New Roman"/>
                <w:color w:val="000000" w:themeColor="text1"/>
                <w:spacing w:val="-4"/>
                <w:sz w:val="24"/>
                <w:szCs w:val="24"/>
                <w14:textFill>
                  <w14:solidFill>
                    <w14:schemeClr w14:val="tx1"/>
                  </w14:solidFill>
                </w14:textFill>
              </w:rPr>
              <w:t>/a）</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80" w:lineRule="exact"/>
              <w:ind w:firstLine="464" w:firstLineChars="200"/>
              <w:textAlignment w:val="auto"/>
              <w:rPr>
                <w:rFonts w:hint="default" w:ascii="Times New Roman" w:hAnsi="Times New Roman" w:cs="Times New Roman"/>
                <w:b/>
                <w:bCs/>
                <w:color w:val="000000" w:themeColor="text1"/>
                <w:spacing w:val="-4"/>
                <w:sz w:val="24"/>
                <w:szCs w:val="24"/>
                <w14:textFill>
                  <w14:solidFill>
                    <w14:schemeClr w14:val="tx1"/>
                  </w14:solidFill>
                </w14:textFill>
              </w:rPr>
            </w:pPr>
            <w:r>
              <w:rPr>
                <w:rFonts w:hint="default" w:ascii="Times New Roman" w:hAnsi="Times New Roman" w:cs="Times New Roman"/>
                <w:color w:val="000000" w:themeColor="text1"/>
                <w:spacing w:val="-4"/>
                <w:sz w:val="24"/>
                <w:szCs w:val="24"/>
                <w14:textFill>
                  <w14:solidFill>
                    <w14:schemeClr w14:val="tx1"/>
                  </w14:solidFill>
                </w14:textFill>
              </w:rPr>
              <w:t>改扩建项目供水来源为市政供水管网，能满足项目用水需求。</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4"/>
                <w:sz w:val="24"/>
                <w:szCs w:val="24"/>
                <w:lang w:val="en-US" w:eastAsia="zh-CN"/>
                <w14:textFill>
                  <w14:solidFill>
                    <w14:schemeClr w14:val="tx1"/>
                  </w14:solidFill>
                </w14:textFill>
              </w:rPr>
            </w:pPr>
            <w:r>
              <w:rPr>
                <w:rFonts w:hint="default" w:ascii="Times New Roman" w:hAnsi="Times New Roman" w:cs="Times New Roman"/>
                <w:b/>
                <w:bCs/>
                <w:color w:val="000000" w:themeColor="text1"/>
                <w:spacing w:val="-4"/>
                <w:szCs w:val="21"/>
                <w14:textFill>
                  <w14:solidFill>
                    <w14:schemeClr w14:val="tx1"/>
                  </w14:solidFill>
                </w14:textFill>
              </w:rPr>
              <w:object>
                <v:shape id="_x0000_i1026" o:spt="75" type="#_x0000_t75" style="height:63.9pt;width:446.9pt;" o:ole="t" filled="f" o:preferrelative="t" stroked="f" coordsize="21600,21600">
                  <v:path/>
                  <v:fill on="f" focussize="0,0"/>
                  <v:stroke on="f"/>
                  <v:imagedata r:id="rId22" o:title=""/>
                  <o:lock v:ext="edit" aspectratio="f"/>
                  <w10:wrap type="none"/>
                  <w10:anchorlock/>
                </v:shape>
                <o:OLEObject Type="Embed" ProgID="Visio.Drawing.11" ShapeID="_x0000_i1026" DrawAspect="Content" ObjectID="_1468075726" r:id="rId21">
                  <o:LockedField>false</o:LockedField>
                </o:OLEObject>
              </w:object>
            </w:r>
            <w:r>
              <w:rPr>
                <w:rFonts w:hint="default" w:ascii="Times New Roman" w:hAnsi="Times New Roman" w:cs="Times New Roman"/>
                <w:b/>
                <w:bCs/>
                <w:color w:val="000000" w:themeColor="text1"/>
                <w:spacing w:val="-4"/>
                <w:szCs w:val="21"/>
                <w14:textFill>
                  <w14:solidFill>
                    <w14:schemeClr w14:val="tx1"/>
                  </w14:solidFill>
                </w14:textFill>
              </w:rPr>
              <w:t>图</w:t>
            </w:r>
            <w:r>
              <w:rPr>
                <w:rFonts w:hint="default" w:ascii="Times New Roman" w:hAnsi="Times New Roman" w:cs="Times New Roman"/>
                <w:b/>
                <w:bCs/>
                <w:color w:val="000000" w:themeColor="text1"/>
                <w:spacing w:val="-4"/>
                <w:szCs w:val="21"/>
                <w:lang w:val="en-US" w:eastAsia="zh-CN"/>
                <w14:textFill>
                  <w14:solidFill>
                    <w14:schemeClr w14:val="tx1"/>
                  </w14:solidFill>
                </w14:textFill>
              </w:rPr>
              <w:t>2</w:t>
            </w:r>
            <w:r>
              <w:rPr>
                <w:rFonts w:hint="default" w:ascii="Times New Roman" w:hAnsi="Times New Roman" w:cs="Times New Roman"/>
                <w:b/>
                <w:bCs/>
                <w:color w:val="000000" w:themeColor="text1"/>
                <w:spacing w:val="-4"/>
                <w:szCs w:val="21"/>
                <w14:textFill>
                  <w14:solidFill>
                    <w14:schemeClr w14:val="tx1"/>
                  </w14:solidFill>
                </w14:textFill>
              </w:rPr>
              <w:t xml:space="preserve">   </w:t>
            </w:r>
            <w:r>
              <w:rPr>
                <w:rFonts w:hint="default" w:ascii="Times New Roman" w:hAnsi="Times New Roman" w:cs="Times New Roman"/>
                <w:b/>
                <w:bCs/>
                <w:color w:val="000000" w:themeColor="text1"/>
                <w:spacing w:val="-4"/>
                <w:szCs w:val="21"/>
                <w:lang w:val="en-US" w:eastAsia="zh-CN"/>
                <w14:textFill>
                  <w14:solidFill>
                    <w14:schemeClr w14:val="tx1"/>
                  </w14:solidFill>
                </w14:textFill>
              </w:rPr>
              <w:t xml:space="preserve">     </w:t>
            </w:r>
            <w:r>
              <w:rPr>
                <w:rFonts w:hint="default" w:ascii="Times New Roman" w:hAnsi="Times New Roman" w:eastAsia="宋体" w:cs="Times New Roman"/>
                <w:b/>
                <w:bCs/>
                <w:color w:val="000000" w:themeColor="text1"/>
                <w:spacing w:val="-4"/>
                <w:szCs w:val="21"/>
                <w14:textFill>
                  <w14:solidFill>
                    <w14:schemeClr w14:val="tx1"/>
                  </w14:solidFill>
                </w14:textFill>
              </w:rPr>
              <w:t>改扩建项目水平</w:t>
            </w:r>
            <w:r>
              <w:rPr>
                <w:rFonts w:hint="default" w:ascii="Times New Roman" w:hAnsi="Times New Roman" w:cs="Times New Roman"/>
                <w:b/>
                <w:bCs/>
                <w:color w:val="000000" w:themeColor="text1"/>
                <w:spacing w:val="-4"/>
                <w:szCs w:val="21"/>
                <w14:textFill>
                  <w14:solidFill>
                    <w14:schemeClr w14:val="tx1"/>
                  </w14:solidFill>
                </w14:textFill>
              </w:rPr>
              <w:t>衡图</w:t>
            </w:r>
            <w:r>
              <w:rPr>
                <w:rFonts w:hint="default" w:ascii="Times New Roman" w:hAnsi="Times New Roman" w:cs="Times New Roman"/>
                <w:b/>
                <w:bCs/>
                <w:color w:val="000000" w:themeColor="text1"/>
                <w:spacing w:val="-4"/>
                <w:szCs w:val="21"/>
                <w:lang w:eastAsia="zh-CN"/>
                <w14:textFill>
                  <w14:solidFill>
                    <w14:schemeClr w14:val="tx1"/>
                  </w14:solidFill>
                </w14:textFill>
              </w:rPr>
              <w:t>（</w:t>
            </w:r>
            <w:r>
              <w:rPr>
                <w:rFonts w:hint="default" w:ascii="Times New Roman" w:hAnsi="Times New Roman" w:cs="Times New Roman"/>
                <w:b/>
                <w:bCs/>
                <w:color w:val="000000" w:themeColor="text1"/>
                <w:spacing w:val="-4"/>
                <w:szCs w:val="21"/>
                <w14:textFill>
                  <w14:solidFill>
                    <w14:schemeClr w14:val="tx1"/>
                  </w14:solidFill>
                </w14:textFill>
              </w:rPr>
              <w:t>m</w:t>
            </w:r>
            <w:r>
              <w:rPr>
                <w:rFonts w:hint="default" w:ascii="Times New Roman" w:hAnsi="Times New Roman" w:cs="Times New Roman"/>
                <w:b/>
                <w:bCs/>
                <w:color w:val="000000" w:themeColor="text1"/>
                <w:spacing w:val="-4"/>
                <w:szCs w:val="21"/>
                <w:vertAlign w:val="superscript"/>
                <w14:textFill>
                  <w14:solidFill>
                    <w14:schemeClr w14:val="tx1"/>
                  </w14:solidFill>
                </w14:textFill>
              </w:rPr>
              <w:t>3</w:t>
            </w:r>
            <w:r>
              <w:rPr>
                <w:rFonts w:hint="default" w:ascii="Times New Roman" w:hAnsi="Times New Roman" w:cs="Times New Roman"/>
                <w:b/>
                <w:bCs/>
                <w:color w:val="000000" w:themeColor="text1"/>
                <w:spacing w:val="-4"/>
                <w:szCs w:val="21"/>
                <w14:textFill>
                  <w14:solidFill>
                    <w14:schemeClr w14:val="tx1"/>
                  </w14:solidFill>
                </w14:textFill>
              </w:rPr>
              <w:t>/a</w:t>
            </w:r>
            <w:r>
              <w:rPr>
                <w:rFonts w:hint="default" w:ascii="Times New Roman" w:hAnsi="Times New Roman" w:cs="Times New Roman"/>
                <w:b/>
                <w:bCs/>
                <w:color w:val="000000" w:themeColor="text1"/>
                <w:spacing w:val="-4"/>
                <w:szCs w:val="21"/>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80" w:lineRule="exact"/>
              <w:ind w:firstLine="464" w:firstLineChars="200"/>
              <w:textAlignment w:val="auto"/>
              <w:rPr>
                <w:rFonts w:hint="default" w:ascii="Times New Roman" w:hAnsi="Times New Roman" w:eastAsia="宋体" w:cs="Times New Roman"/>
                <w:color w:val="000000" w:themeColor="text1"/>
                <w:spacing w:val="-4"/>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4"/>
                <w:szCs w:val="24"/>
                <w:lang w:val="en-US" w:eastAsia="zh-CN"/>
                <w14:textFill>
                  <w14:solidFill>
                    <w14:schemeClr w14:val="tx1"/>
                  </w14:solidFill>
                </w14:textFill>
              </w:rPr>
              <w:t>③改扩建完成后加油站水平衡图</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pacing w:val="-4"/>
                <w:sz w:val="24"/>
                <w:szCs w:val="24"/>
                <w:lang w:val="en-US" w:eastAsia="zh-CN"/>
                <w14:textFill>
                  <w14:solidFill>
                    <w14:schemeClr w14:val="tx1"/>
                  </w14:solidFill>
                </w14:textFill>
              </w:rPr>
            </w:pPr>
            <w:r>
              <w:rPr>
                <w:rFonts w:hint="default" w:ascii="Times New Roman" w:hAnsi="Times New Roman" w:cs="Times New Roman"/>
                <w:b/>
                <w:bCs/>
                <w:color w:val="000000" w:themeColor="text1"/>
                <w:spacing w:val="-4"/>
                <w:szCs w:val="21"/>
                <w14:textFill>
                  <w14:solidFill>
                    <w14:schemeClr w14:val="tx1"/>
                  </w14:solidFill>
                </w14:textFill>
              </w:rPr>
              <w:object>
                <v:shape id="_x0000_i1027" o:spt="75" type="#_x0000_t75" style="height:63.9pt;width:446.9pt;" o:ole="t" filled="f" o:preferrelative="t" stroked="f" coordsize="21600,21600">
                  <v:path/>
                  <v:fill on="f" focussize="0,0"/>
                  <v:stroke on="f"/>
                  <v:imagedata r:id="rId24" o:title=""/>
                  <o:lock v:ext="edit" aspectratio="f"/>
                  <w10:wrap type="none"/>
                  <w10:anchorlock/>
                </v:shape>
                <o:OLEObject Type="Embed" ProgID="Visio.Drawing.11" ShapeID="_x0000_i1027" DrawAspect="Content" ObjectID="_1468075727" r:id="rId23">
                  <o:LockedField>false</o:LockedField>
                </o:OLEObject>
              </w:object>
            </w:r>
            <w:r>
              <w:rPr>
                <w:rFonts w:hint="default" w:ascii="Times New Roman" w:hAnsi="Times New Roman" w:cs="Times New Roman"/>
                <w:b/>
                <w:bCs/>
                <w:color w:val="000000" w:themeColor="text1"/>
                <w:spacing w:val="-4"/>
                <w:szCs w:val="21"/>
                <w14:textFill>
                  <w14:solidFill>
                    <w14:schemeClr w14:val="tx1"/>
                  </w14:solidFill>
                </w14:textFill>
              </w:rPr>
              <w:t>图</w:t>
            </w:r>
            <w:r>
              <w:rPr>
                <w:rFonts w:hint="default" w:ascii="Times New Roman" w:hAnsi="Times New Roman" w:cs="Times New Roman"/>
                <w:b/>
                <w:bCs/>
                <w:color w:val="000000" w:themeColor="text1"/>
                <w:spacing w:val="-4"/>
                <w:szCs w:val="21"/>
                <w:lang w:val="en-US" w:eastAsia="zh-CN"/>
                <w14:textFill>
                  <w14:solidFill>
                    <w14:schemeClr w14:val="tx1"/>
                  </w14:solidFill>
                </w14:textFill>
              </w:rPr>
              <w:t>3</w:t>
            </w:r>
            <w:r>
              <w:rPr>
                <w:rFonts w:hint="default" w:ascii="Times New Roman" w:hAnsi="Times New Roman" w:cs="Times New Roman"/>
                <w:b/>
                <w:bCs/>
                <w:color w:val="000000" w:themeColor="text1"/>
                <w:spacing w:val="-4"/>
                <w:szCs w:val="21"/>
                <w14:textFill>
                  <w14:solidFill>
                    <w14:schemeClr w14:val="tx1"/>
                  </w14:solidFill>
                </w14:textFill>
              </w:rPr>
              <w:t xml:space="preserve">  </w:t>
            </w:r>
            <w:r>
              <w:rPr>
                <w:rFonts w:hint="default" w:ascii="Times New Roman" w:hAnsi="Times New Roman" w:cs="Times New Roman"/>
                <w:b/>
                <w:bCs/>
                <w:color w:val="000000" w:themeColor="text1"/>
                <w:spacing w:val="-4"/>
                <w:szCs w:val="21"/>
                <w:lang w:val="en-US" w:eastAsia="zh-CN"/>
                <w14:textFill>
                  <w14:solidFill>
                    <w14:schemeClr w14:val="tx1"/>
                  </w14:solidFill>
                </w14:textFill>
              </w:rPr>
              <w:t xml:space="preserve">    </w:t>
            </w:r>
            <w:r>
              <w:rPr>
                <w:rFonts w:hint="default" w:ascii="Times New Roman" w:hAnsi="Times New Roman" w:eastAsia="宋体" w:cs="Times New Roman"/>
                <w:b/>
                <w:bCs/>
                <w:color w:val="000000" w:themeColor="text1"/>
                <w:spacing w:val="-4"/>
                <w:szCs w:val="21"/>
                <w:lang w:val="en-US" w:eastAsia="zh-CN"/>
                <w14:textFill>
                  <w14:solidFill>
                    <w14:schemeClr w14:val="tx1"/>
                  </w14:solidFill>
                </w14:textFill>
              </w:rPr>
              <w:t xml:space="preserve"> 改扩建完成后加油站</w:t>
            </w:r>
            <w:r>
              <w:rPr>
                <w:rFonts w:hint="default" w:ascii="Times New Roman" w:hAnsi="Times New Roman" w:eastAsia="宋体" w:cs="Times New Roman"/>
                <w:b/>
                <w:bCs/>
                <w:color w:val="000000" w:themeColor="text1"/>
                <w:spacing w:val="-4"/>
                <w:szCs w:val="21"/>
                <w14:textFill>
                  <w14:solidFill>
                    <w14:schemeClr w14:val="tx1"/>
                  </w14:solidFill>
                </w14:textFill>
              </w:rPr>
              <w:t>水平衡图</w:t>
            </w:r>
            <w:r>
              <w:rPr>
                <w:rFonts w:hint="default" w:ascii="Times New Roman" w:hAnsi="Times New Roman" w:cs="Times New Roman"/>
                <w:b/>
                <w:bCs/>
                <w:color w:val="000000" w:themeColor="text1"/>
                <w:spacing w:val="-4"/>
                <w:szCs w:val="21"/>
                <w:lang w:eastAsia="zh-CN"/>
                <w14:textFill>
                  <w14:solidFill>
                    <w14:schemeClr w14:val="tx1"/>
                  </w14:solidFill>
                </w14:textFill>
              </w:rPr>
              <w:t>（</w:t>
            </w:r>
            <w:r>
              <w:rPr>
                <w:rFonts w:hint="default" w:ascii="Times New Roman" w:hAnsi="Times New Roman" w:cs="Times New Roman"/>
                <w:b/>
                <w:bCs/>
                <w:color w:val="000000" w:themeColor="text1"/>
                <w:spacing w:val="-4"/>
                <w:szCs w:val="21"/>
                <w14:textFill>
                  <w14:solidFill>
                    <w14:schemeClr w14:val="tx1"/>
                  </w14:solidFill>
                </w14:textFill>
              </w:rPr>
              <w:t>m</w:t>
            </w:r>
            <w:r>
              <w:rPr>
                <w:rFonts w:hint="default" w:ascii="Times New Roman" w:hAnsi="Times New Roman" w:cs="Times New Roman"/>
                <w:b/>
                <w:bCs/>
                <w:color w:val="000000" w:themeColor="text1"/>
                <w:spacing w:val="-4"/>
                <w:szCs w:val="21"/>
                <w:vertAlign w:val="superscript"/>
                <w14:textFill>
                  <w14:solidFill>
                    <w14:schemeClr w14:val="tx1"/>
                  </w14:solidFill>
                </w14:textFill>
              </w:rPr>
              <w:t>3</w:t>
            </w:r>
            <w:r>
              <w:rPr>
                <w:rFonts w:hint="default" w:ascii="Times New Roman" w:hAnsi="Times New Roman" w:cs="Times New Roman"/>
                <w:b/>
                <w:bCs/>
                <w:color w:val="000000" w:themeColor="text1"/>
                <w:spacing w:val="-4"/>
                <w:szCs w:val="21"/>
                <w14:textFill>
                  <w14:solidFill>
                    <w14:schemeClr w14:val="tx1"/>
                  </w14:solidFill>
                </w14:textFill>
              </w:rPr>
              <w:t>/a</w:t>
            </w:r>
            <w:r>
              <w:rPr>
                <w:rFonts w:hint="default" w:ascii="Times New Roman" w:hAnsi="Times New Roman" w:cs="Times New Roman"/>
                <w:b/>
                <w:bCs/>
                <w:color w:val="000000" w:themeColor="text1"/>
                <w:spacing w:val="-4"/>
                <w:szCs w:val="21"/>
                <w:lang w:eastAsia="zh-CN"/>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snapToGrid w:val="0"/>
                <w:color w:val="000000" w:themeColor="text1"/>
                <w:sz w:val="24"/>
                <w:szCs w:val="24"/>
                <w14:textFill>
                  <w14:solidFill>
                    <w14:schemeClr w14:val="tx1"/>
                  </w14:solidFill>
                </w14:textFill>
              </w:rPr>
            </w:pPr>
            <w:r>
              <w:rPr>
                <w:rFonts w:hint="default" w:ascii="Times New Roman" w:hAnsi="Times New Roman" w:eastAsia="宋体" w:cs="Times New Roman"/>
                <w:snapToGrid w:val="0"/>
                <w:color w:val="000000" w:themeColor="text1"/>
                <w:sz w:val="24"/>
                <w:szCs w:val="24"/>
                <w14:textFill>
                  <w14:solidFill>
                    <w14:schemeClr w14:val="tx1"/>
                  </w14:solidFill>
                </w14:textFill>
              </w:rPr>
              <w:t>（2）供电</w:t>
            </w:r>
          </w:p>
          <w:p>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snapToGrid w:val="0"/>
                <w:color w:val="000000" w:themeColor="text1"/>
                <w:sz w:val="24"/>
                <w:szCs w:val="24"/>
                <w14:textFill>
                  <w14:solidFill>
                    <w14:schemeClr w14:val="tx1"/>
                  </w14:solidFill>
                </w14:textFill>
              </w:rPr>
            </w:pPr>
            <w:r>
              <w:rPr>
                <w:rFonts w:hint="default" w:ascii="Times New Roman" w:hAnsi="Times New Roman" w:eastAsia="宋体" w:cs="Times New Roman"/>
                <w:snapToGrid w:val="0"/>
                <w:color w:val="000000" w:themeColor="text1"/>
                <w:sz w:val="24"/>
                <w:szCs w:val="24"/>
                <w:lang w:val="en-US" w:eastAsia="zh-CN"/>
                <w14:textFill>
                  <w14:solidFill>
                    <w14:schemeClr w14:val="tx1"/>
                  </w14:solidFill>
                </w14:textFill>
              </w:rPr>
              <w:t>本项目新增</w:t>
            </w:r>
            <w:r>
              <w:rPr>
                <w:rFonts w:hint="default" w:ascii="Times New Roman" w:hAnsi="Times New Roman" w:eastAsia="宋体" w:cs="Times New Roman"/>
                <w:snapToGrid w:val="0"/>
                <w:color w:val="000000" w:themeColor="text1"/>
                <w:sz w:val="24"/>
                <w:szCs w:val="24"/>
                <w14:textFill>
                  <w14:solidFill>
                    <w14:schemeClr w14:val="tx1"/>
                  </w14:solidFill>
                </w14:textFill>
              </w:rPr>
              <w:t>用电量约为</w:t>
            </w:r>
            <w:r>
              <w:rPr>
                <w:rFonts w:hint="default" w:ascii="Times New Roman" w:hAnsi="Times New Roman" w:eastAsia="宋体" w:cs="Times New Roman"/>
                <w:snapToGrid w:val="0"/>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snapToGrid w:val="0"/>
                <w:color w:val="000000" w:themeColor="text1"/>
                <w:sz w:val="24"/>
                <w:szCs w:val="24"/>
                <w14:textFill>
                  <w14:solidFill>
                    <w14:schemeClr w14:val="tx1"/>
                  </w14:solidFill>
                </w14:textFill>
              </w:rPr>
              <w:t>万kW·h/a，由市政供电网供给，能够满足生产需要。</w:t>
            </w:r>
          </w:p>
          <w:p>
            <w:pPr>
              <w:keepNext w:val="0"/>
              <w:keepLines w:val="0"/>
              <w:pageBreakBefore w:val="0"/>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snapToGrid w:val="0"/>
                <w:color w:val="000000" w:themeColor="text1"/>
                <w:sz w:val="24"/>
                <w:szCs w:val="24"/>
                <w14:textFill>
                  <w14:solidFill>
                    <w14:schemeClr w14:val="tx1"/>
                  </w14:solidFill>
                </w14:textFill>
              </w:rPr>
            </w:pPr>
            <w:r>
              <w:rPr>
                <w:rFonts w:hint="default" w:ascii="Times New Roman" w:hAnsi="Times New Roman" w:eastAsia="宋体" w:cs="Times New Roman"/>
                <w:b/>
                <w:snapToGrid w:val="0"/>
                <w:color w:val="000000" w:themeColor="text1"/>
                <w:sz w:val="24"/>
                <w:szCs w:val="24"/>
                <w14:textFill>
                  <w14:solidFill>
                    <w14:schemeClr w14:val="tx1"/>
                  </w14:solidFill>
                </w14:textFill>
              </w:rPr>
              <w:t>7、劳动定员及工作制度</w:t>
            </w:r>
          </w:p>
          <w:p>
            <w:pPr>
              <w:keepNext w:val="0"/>
              <w:keepLines w:val="0"/>
              <w:pageBreakBefore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黑体" w:cs="Times New Roman"/>
                <w:snapToGrid w:val="0"/>
                <w:color w:val="000000" w:themeColor="text1"/>
                <w:sz w:val="24"/>
                <w:szCs w:val="24"/>
                <w:vertAlign w:val="baseline"/>
                <w14:textFill>
                  <w14:solidFill>
                    <w14:schemeClr w14:val="tx1"/>
                  </w14:solidFill>
                </w14:textFill>
              </w:rPr>
            </w:pPr>
            <w:r>
              <w:rPr>
                <w:rFonts w:hint="default" w:ascii="Times New Roman" w:hAnsi="Times New Roman" w:eastAsia="宋体" w:cs="Times New Roman"/>
                <w:snapToGrid w:val="0"/>
                <w:color w:val="000000" w:themeColor="text1"/>
                <w:sz w:val="24"/>
                <w:szCs w:val="24"/>
                <w14:textFill>
                  <w14:solidFill>
                    <w14:schemeClr w14:val="tx1"/>
                  </w14:solidFill>
                </w14:textFill>
              </w:rPr>
              <w:t>本项目不增加劳动定员，现有职工</w:t>
            </w:r>
            <w:r>
              <w:rPr>
                <w:rFonts w:hint="default" w:ascii="Times New Roman" w:hAnsi="Times New Roman" w:eastAsia="宋体" w:cs="Times New Roman"/>
                <w:snapToGrid w:val="0"/>
                <w:color w:val="000000" w:themeColor="text1"/>
                <w:sz w:val="24"/>
                <w:szCs w:val="24"/>
                <w:lang w:val="en-US" w:eastAsia="zh-CN"/>
                <w14:textFill>
                  <w14:solidFill>
                    <w14:schemeClr w14:val="tx1"/>
                  </w14:solidFill>
                </w14:textFill>
              </w:rPr>
              <w:t>7</w:t>
            </w:r>
            <w:r>
              <w:rPr>
                <w:rFonts w:hint="default" w:ascii="Times New Roman" w:hAnsi="Times New Roman" w:eastAsia="宋体" w:cs="Times New Roman"/>
                <w:snapToGrid w:val="0"/>
                <w:color w:val="000000" w:themeColor="text1"/>
                <w:sz w:val="24"/>
                <w:szCs w:val="24"/>
                <w14:textFill>
                  <w14:solidFill>
                    <w14:schemeClr w14:val="tx1"/>
                  </w14:solidFill>
                </w14:textFill>
              </w:rPr>
              <w:t>人，</w:t>
            </w:r>
            <w:r>
              <w:rPr>
                <w:rFonts w:hint="default" w:ascii="Times New Roman" w:hAnsi="Times New Roman" w:eastAsia="宋体" w:cs="Times New Roman"/>
                <w:color w:val="000000" w:themeColor="text1"/>
                <w:spacing w:val="-4"/>
                <w:sz w:val="24"/>
                <w:szCs w:val="24"/>
                <w14:textFill>
                  <w14:solidFill>
                    <w14:schemeClr w14:val="tx1"/>
                  </w14:solidFill>
                </w14:textFill>
              </w:rPr>
              <w:t>均不在</w:t>
            </w:r>
            <w:r>
              <w:rPr>
                <w:rFonts w:hint="default" w:ascii="Times New Roman" w:hAnsi="Times New Roman" w:eastAsia="宋体" w:cs="Times New Roman"/>
                <w:color w:val="000000" w:themeColor="text1"/>
                <w:spacing w:val="-4"/>
                <w:sz w:val="24"/>
                <w:szCs w:val="24"/>
                <w:lang w:val="en-US" w:eastAsia="zh-CN"/>
                <w14:textFill>
                  <w14:solidFill>
                    <w14:schemeClr w14:val="tx1"/>
                  </w14:solidFill>
                </w14:textFill>
              </w:rPr>
              <w:t>站</w:t>
            </w:r>
            <w:r>
              <w:rPr>
                <w:rFonts w:hint="default" w:ascii="Times New Roman" w:hAnsi="Times New Roman" w:eastAsia="宋体" w:cs="Times New Roman"/>
                <w:color w:val="000000" w:themeColor="text1"/>
                <w:spacing w:val="-4"/>
                <w:sz w:val="24"/>
                <w:szCs w:val="24"/>
                <w14:textFill>
                  <w14:solidFill>
                    <w14:schemeClr w14:val="tx1"/>
                  </w14:solidFill>
                </w14:textFill>
              </w:rPr>
              <w:t>区食宿。</w:t>
            </w:r>
            <w:r>
              <w:rPr>
                <w:rFonts w:hint="default" w:ascii="Times New Roman" w:hAnsi="Times New Roman" w:eastAsia="宋体" w:cs="Times New Roman"/>
                <w:snapToGrid w:val="0"/>
                <w:color w:val="000000" w:themeColor="text1"/>
                <w:sz w:val="24"/>
                <w:szCs w:val="24"/>
                <w14:textFill>
                  <w14:solidFill>
                    <w14:schemeClr w14:val="tx1"/>
                  </w14:solidFill>
                </w14:textFill>
              </w:rPr>
              <w:t>年工作365天，三班制，每班工作8h。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1" w:hRule="atLeast"/>
          <w:jc w:val="center"/>
        </w:trPr>
        <w:tc>
          <w:tcPr>
            <w:tcW w:w="551" w:type="dxa"/>
            <w:noWrap w:val="0"/>
            <w:vAlign w:val="center"/>
          </w:tcPr>
          <w:p>
            <w:pPr>
              <w:pStyle w:val="33"/>
              <w:keepNext w:val="0"/>
              <w:keepLines w:val="0"/>
              <w:pageBreakBefore w:val="0"/>
              <w:widowControl/>
              <w:kinsoku/>
              <w:wordWrap/>
              <w:overflowPunct/>
              <w:topLinePunct w:val="0"/>
              <w:autoSpaceDE/>
              <w:autoSpaceDN/>
              <w:bidi w:val="0"/>
              <w:adjustRightInd/>
              <w:snapToGrid/>
              <w:spacing w:before="0" w:beforeAutospacing="0" w:after="0" w:afterAutospacing="0" w:line="480" w:lineRule="exact"/>
              <w:jc w:val="center"/>
              <w:textAlignment w:val="auto"/>
              <w:outlineLvl w:val="0"/>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工艺流程和产排污环节</w:t>
            </w:r>
          </w:p>
        </w:tc>
        <w:tc>
          <w:tcPr>
            <w:tcW w:w="9161" w:type="dxa"/>
            <w:noWrap w:val="0"/>
            <w:vAlign w:val="center"/>
          </w:tcPr>
          <w:p>
            <w:pPr>
              <w:keepNext w:val="0"/>
              <w:keepLines w:val="0"/>
              <w:pageBreakBefore w:val="0"/>
              <w:widowControl w:val="0"/>
              <w:kinsoku/>
              <w:wordWrap/>
              <w:overflowPunct/>
              <w:topLinePunct w:val="0"/>
              <w:autoSpaceDE/>
              <w:autoSpaceDN/>
              <w:bidi w:val="0"/>
              <w:adjustRightInd w:val="0"/>
              <w:snapToGrid/>
              <w:spacing w:line="480" w:lineRule="exact"/>
              <w:textAlignment w:val="auto"/>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工艺流程简述（图示）</w:t>
            </w:r>
          </w:p>
          <w:p>
            <w:pPr>
              <w:keepNext w:val="0"/>
              <w:keepLines w:val="0"/>
              <w:pageBreakBefore w:val="0"/>
              <w:widowControl w:val="0"/>
              <w:tabs>
                <w:tab w:val="left" w:pos="8817"/>
              </w:tabs>
              <w:kinsoku/>
              <w:wordWrap/>
              <w:overflowPunct/>
              <w:topLinePunct w:val="0"/>
              <w:autoSpaceDE/>
              <w:autoSpaceDN/>
              <w:bidi w:val="0"/>
              <w:snapToGrid/>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一、施工期</w:t>
            </w:r>
          </w:p>
          <w:p>
            <w:pPr>
              <w:keepNext w:val="0"/>
              <w:keepLines w:val="0"/>
              <w:pageBreakBefore w:val="0"/>
              <w:widowControl w:val="0"/>
              <w:tabs>
                <w:tab w:val="left" w:pos="8817"/>
              </w:tabs>
              <w:kinsoku/>
              <w:wordWrap/>
              <w:overflowPunct/>
              <w:topLinePunct w:val="0"/>
              <w:autoSpaceDE/>
              <w:autoSpaceDN/>
              <w:bidi w:val="0"/>
              <w:snapToGrid/>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改扩建项目</w:t>
            </w:r>
            <w:r>
              <w:rPr>
                <w:rFonts w:hint="default" w:ascii="Times New Roman" w:hAnsi="Times New Roman" w:cs="Times New Roman"/>
                <w:color w:val="000000" w:themeColor="text1"/>
                <w:sz w:val="24"/>
                <w:szCs w:val="24"/>
                <w14:textFill>
                  <w14:solidFill>
                    <w14:schemeClr w14:val="tx1"/>
                  </w14:solidFill>
                </w14:textFill>
              </w:rPr>
              <w:t>施工期主要包括站房、</w:t>
            </w:r>
            <w:r>
              <w:rPr>
                <w:rFonts w:hint="default" w:ascii="Times New Roman" w:hAnsi="Times New Roman" w:cs="Times New Roman"/>
                <w:color w:val="000000" w:themeColor="text1"/>
                <w:sz w:val="24"/>
                <w:szCs w:val="24"/>
                <w:lang w:val="en-US" w:eastAsia="zh-CN"/>
                <w14:textFill>
                  <w14:solidFill>
                    <w14:schemeClr w14:val="tx1"/>
                  </w14:solidFill>
                </w14:textFill>
              </w:rPr>
              <w:t>加油储罐</w:t>
            </w:r>
            <w:r>
              <w:rPr>
                <w:rFonts w:hint="default" w:ascii="Times New Roman" w:hAnsi="Times New Roman" w:cs="Times New Roman"/>
                <w:color w:val="000000" w:themeColor="text1"/>
                <w:sz w:val="24"/>
                <w:szCs w:val="24"/>
                <w14:textFill>
                  <w14:solidFill>
                    <w14:schemeClr w14:val="tx1"/>
                  </w14:solidFill>
                </w14:textFill>
              </w:rPr>
              <w:t>拆除，场地平整、土方、基础施工，站房建设、</w:t>
            </w:r>
            <w:r>
              <w:rPr>
                <w:rFonts w:hint="default" w:ascii="Times New Roman" w:hAnsi="Times New Roman" w:cs="Times New Roman"/>
                <w:color w:val="000000" w:themeColor="text1"/>
                <w:sz w:val="24"/>
                <w:szCs w:val="24"/>
                <w:lang w:val="en-US" w:eastAsia="zh-CN"/>
                <w14:textFill>
                  <w14:solidFill>
                    <w14:schemeClr w14:val="tx1"/>
                  </w14:solidFill>
                </w14:textFill>
              </w:rPr>
              <w:t>加油储罐</w:t>
            </w:r>
            <w:r>
              <w:rPr>
                <w:rFonts w:hint="default" w:ascii="Times New Roman" w:hAnsi="Times New Roman" w:cs="Times New Roman"/>
                <w:color w:val="000000" w:themeColor="text1"/>
                <w:sz w:val="24"/>
                <w:szCs w:val="24"/>
                <w14:textFill>
                  <w14:solidFill>
                    <w14:schemeClr w14:val="tx1"/>
                  </w14:solidFill>
                </w14:textFill>
              </w:rPr>
              <w:t>安装等。</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object>
                <v:shape id="_x0000_i1028" o:spt="75" type="#_x0000_t75" style="height:103.2pt;width:442.95pt;" o:ole="t" filled="f" o:preferrelative="t" stroked="f" coordsize="21600,21600">
                  <v:path/>
                  <v:fill on="f" focussize="0,0"/>
                  <v:stroke on="f"/>
                  <v:imagedata r:id="rId26" o:title=""/>
                  <o:lock v:ext="edit" aspectratio="f"/>
                  <w10:wrap type="none"/>
                  <w10:anchorlock/>
                </v:shape>
                <o:OLEObject Type="Embed" ProgID="Visio.Drawing.11" ShapeID="_x0000_i1028" DrawAspect="Content" ObjectID="_1468075728" r:id="rId25">
                  <o:LockedField>false</o:LockedField>
                </o:OLEObject>
              </w:objec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图</w:t>
            </w:r>
            <w:r>
              <w:rPr>
                <w:rFonts w:hint="default" w:ascii="Times New Roman" w:hAnsi="Times New Roman" w:eastAsia="宋体" w:cs="Times New Roman"/>
                <w:b/>
                <w:bCs/>
                <w:color w:val="000000" w:themeColor="text1"/>
                <w:lang w:val="en-US" w:eastAsia="zh-CN"/>
                <w14:textFill>
                  <w14:solidFill>
                    <w14:schemeClr w14:val="tx1"/>
                  </w14:solidFill>
                </w14:textFill>
              </w:rPr>
              <w:t>4</w:t>
            </w:r>
            <w:r>
              <w:rPr>
                <w:rFonts w:hint="default" w:ascii="Times New Roman" w:hAnsi="Times New Roman" w:eastAsia="宋体" w:cs="Times New Roman"/>
                <w:b/>
                <w:bCs/>
                <w:color w:val="000000" w:themeColor="text1"/>
                <w14:textFill>
                  <w14:solidFill>
                    <w14:schemeClr w14:val="tx1"/>
                  </w14:solidFill>
                </w14:textFill>
              </w:rPr>
              <w:t xml:space="preserve">   </w:t>
            </w:r>
            <w:r>
              <w:rPr>
                <w:rFonts w:hint="default" w:ascii="Times New Roman" w:hAnsi="Times New Roman" w:eastAsia="宋体" w:cs="Times New Roman"/>
                <w:b/>
                <w:bCs/>
                <w:color w:val="000000" w:themeColor="text1"/>
                <w:lang w:val="en-US" w:eastAsia="zh-CN"/>
                <w14:textFill>
                  <w14:solidFill>
                    <w14:schemeClr w14:val="tx1"/>
                  </w14:solidFill>
                </w14:textFill>
              </w:rPr>
              <w:t xml:space="preserve">   </w:t>
            </w:r>
            <w:r>
              <w:rPr>
                <w:rFonts w:hint="default" w:ascii="Times New Roman" w:hAnsi="Times New Roman" w:eastAsia="宋体" w:cs="Times New Roman"/>
                <w:b/>
                <w:bCs/>
                <w:color w:val="000000" w:themeColor="text1"/>
                <w14:textFill>
                  <w14:solidFill>
                    <w14:schemeClr w14:val="tx1"/>
                  </w14:solidFill>
                </w14:textFill>
              </w:rPr>
              <w:t>施工期工艺流程及产污环节示意图</w:t>
            </w:r>
          </w:p>
          <w:p>
            <w:pPr>
              <w:keepNext w:val="0"/>
              <w:keepLines w:val="0"/>
              <w:pageBreakBefore w:val="0"/>
              <w:widowControl w:val="0"/>
              <w:tabs>
                <w:tab w:val="left" w:pos="8817"/>
              </w:tabs>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二、营运期</w:t>
            </w:r>
          </w:p>
          <w:p>
            <w:pPr>
              <w:keepNext w:val="0"/>
              <w:keepLines w:val="0"/>
              <w:pageBreakBefore w:val="0"/>
              <w:widowControl w:val="0"/>
              <w:tabs>
                <w:tab w:val="left" w:pos="8817"/>
              </w:tabs>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bCs/>
                <w:color w:val="000000" w:themeColor="text1"/>
                <w:sz w:val="24"/>
                <w:szCs w:val="24"/>
                <w14:textFill>
                  <w14:solidFill>
                    <w14:schemeClr w14:val="tx1"/>
                  </w14:solidFill>
                </w14:textFill>
              </w:rPr>
            </w:pPr>
            <w:bookmarkStart w:id="3" w:name="_Hlk33712340"/>
            <w:r>
              <w:rPr>
                <w:rFonts w:hint="default" w:ascii="Times New Roman" w:hAnsi="Times New Roman" w:cs="Times New Roman"/>
                <w:color w:val="000000" w:themeColor="text1"/>
                <w:sz w:val="24"/>
                <w:szCs w:val="24"/>
                <w14:textFill>
                  <w14:solidFill>
                    <w14:schemeClr w14:val="tx1"/>
                  </w14:solidFill>
                </w14:textFill>
              </w:rPr>
              <w:t>加油站主要经营92#、95#和0#柴油</w:t>
            </w:r>
            <w:r>
              <w:rPr>
                <w:rFonts w:hint="default" w:ascii="Times New Roman" w:hAnsi="Times New Roman" w:cs="Times New Roman"/>
                <w:bCs/>
                <w:color w:val="000000" w:themeColor="text1"/>
                <w:sz w:val="24"/>
                <w:szCs w:val="24"/>
                <w14:textFill>
                  <w14:solidFill>
                    <w14:schemeClr w14:val="tx1"/>
                  </w14:solidFill>
                </w14:textFill>
              </w:rPr>
              <w:t>。</w:t>
            </w:r>
          </w:p>
          <w:p>
            <w:pPr>
              <w:keepNext w:val="0"/>
              <w:keepLines w:val="0"/>
              <w:pageBreakBefore w:val="0"/>
              <w:widowControl w:val="0"/>
              <w:tabs>
                <w:tab w:val="left" w:pos="8817"/>
              </w:tabs>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Cs/>
                <w:color w:val="000000" w:themeColor="text1"/>
                <w:sz w:val="24"/>
                <w:szCs w:val="24"/>
                <w:lang w:eastAsia="zh-CN"/>
                <w14:textFill>
                  <w14:solidFill>
                    <w14:schemeClr w14:val="tx1"/>
                  </w14:solidFill>
                </w14:textFill>
              </w:rPr>
              <w:t>（</w:t>
            </w:r>
            <w:r>
              <w:rPr>
                <w:rFonts w:hint="default" w:ascii="Times New Roman" w:hAnsi="Times New Roman" w:cs="Times New Roman"/>
                <w:bCs/>
                <w:color w:val="000000" w:themeColor="text1"/>
                <w:sz w:val="24"/>
                <w:szCs w:val="24"/>
                <w:lang w:val="en-US" w:eastAsia="zh-CN"/>
                <w14:textFill>
                  <w14:solidFill>
                    <w14:schemeClr w14:val="tx1"/>
                  </w14:solidFill>
                </w14:textFill>
              </w:rPr>
              <w:t>1</w:t>
            </w:r>
            <w:r>
              <w:rPr>
                <w:rFonts w:hint="default" w:ascii="Times New Roman" w:hAnsi="Times New Roman" w:cs="Times New Roman"/>
                <w:bCs/>
                <w:color w:val="000000" w:themeColor="text1"/>
                <w:sz w:val="24"/>
                <w:szCs w:val="24"/>
                <w:lang w:eastAsia="zh-CN"/>
                <w14:textFill>
                  <w14:solidFill>
                    <w14:schemeClr w14:val="tx1"/>
                  </w14:solidFill>
                </w14:textFill>
              </w:rPr>
              <w:t>）</w:t>
            </w:r>
            <w:r>
              <w:rPr>
                <w:rFonts w:hint="default" w:ascii="Times New Roman" w:hAnsi="Times New Roman" w:cs="Times New Roman"/>
                <w:bCs/>
                <w:color w:val="000000" w:themeColor="text1"/>
                <w:sz w:val="24"/>
                <w:szCs w:val="24"/>
                <w14:textFill>
                  <w14:solidFill>
                    <w14:schemeClr w14:val="tx1"/>
                  </w14:solidFill>
                </w14:textFill>
              </w:rPr>
              <w:t>本项目汽油、柴油加油工艺流程如下：</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object>
                <v:shape id="_x0000_i1029" o:spt="75" type="#_x0000_t75" style="height:114.2pt;width:442.95pt;" o:ole="t" filled="f" o:preferrelative="t" stroked="f" coordsize="21600,21600">
                  <v:path/>
                  <v:fill on="f" focussize="0,0"/>
                  <v:stroke on="f"/>
                  <v:imagedata r:id="rId28" o:title=""/>
                  <o:lock v:ext="edit" aspectratio="f"/>
                  <w10:wrap type="none"/>
                  <w10:anchorlock/>
                </v:shape>
                <o:OLEObject Type="Embed" ProgID="Visio.Drawing.11" ShapeID="_x0000_i1029" DrawAspect="Content" ObjectID="_1468075729" r:id="rId27">
                  <o:LockedField>false</o:LockedField>
                </o:OLEObject>
              </w:objec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000000" w:themeColor="text1"/>
                <w14:textFill>
                  <w14:solidFill>
                    <w14:schemeClr w14:val="tx1"/>
                  </w14:solidFill>
                </w14:textFill>
              </w:rPr>
            </w:pPr>
            <w:r>
              <w:rPr>
                <w:rFonts w:hint="default" w:ascii="Times New Roman" w:hAnsi="Times New Roman" w:cs="Times New Roman"/>
                <w:b/>
                <w:bCs/>
                <w:color w:val="000000" w:themeColor="text1"/>
                <w14:textFill>
                  <w14:solidFill>
                    <w14:schemeClr w14:val="tx1"/>
                  </w14:solidFill>
                </w14:textFill>
              </w:rPr>
              <w:t>图</w:t>
            </w:r>
            <w:r>
              <w:rPr>
                <w:rFonts w:hint="default" w:ascii="Times New Roman" w:hAnsi="Times New Roman" w:cs="Times New Roman"/>
                <w:b/>
                <w:bCs/>
                <w:color w:val="000000" w:themeColor="text1"/>
                <w:lang w:val="en-US" w:eastAsia="zh-CN"/>
                <w14:textFill>
                  <w14:solidFill>
                    <w14:schemeClr w14:val="tx1"/>
                  </w14:solidFill>
                </w14:textFill>
              </w:rPr>
              <w:t>5</w:t>
            </w:r>
            <w:r>
              <w:rPr>
                <w:rFonts w:hint="default" w:ascii="Times New Roman" w:hAnsi="Times New Roman" w:cs="Times New Roman"/>
                <w:b/>
                <w:bCs/>
                <w:color w:val="000000" w:themeColor="text1"/>
                <w14:textFill>
                  <w14:solidFill>
                    <w14:schemeClr w14:val="tx1"/>
                  </w14:solidFill>
                </w14:textFill>
              </w:rPr>
              <w:t xml:space="preserve">  </w:t>
            </w:r>
            <w:r>
              <w:rPr>
                <w:rFonts w:hint="default" w:ascii="Times New Roman" w:hAnsi="Times New Roman" w:cs="Times New Roman"/>
                <w:b/>
                <w:bCs/>
                <w:color w:val="000000" w:themeColor="text1"/>
                <w:lang w:val="en-US" w:eastAsia="zh-CN"/>
                <w14:textFill>
                  <w14:solidFill>
                    <w14:schemeClr w14:val="tx1"/>
                  </w14:solidFill>
                </w14:textFill>
              </w:rPr>
              <w:t xml:space="preserve">   </w:t>
            </w:r>
            <w:r>
              <w:rPr>
                <w:rFonts w:hint="default" w:ascii="Times New Roman" w:hAnsi="Times New Roman" w:cs="Times New Roman"/>
                <w:b/>
                <w:bCs/>
                <w:color w:val="000000" w:themeColor="text1"/>
                <w14:textFill>
                  <w14:solidFill>
                    <w14:schemeClr w14:val="tx1"/>
                  </w14:solidFill>
                </w14:textFill>
              </w:rPr>
              <w:t>加油站汽油加油工艺流程示意图</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object>
                <v:shape id="_x0000_i1030" o:spt="75" type="#_x0000_t75" style="height:81.15pt;width:442.95pt;" o:ole="t" filled="f" o:preferrelative="t" stroked="f" coordsize="21600,21600">
                  <v:path/>
                  <v:fill on="f" focussize="0,0"/>
                  <v:stroke on="f"/>
                  <v:imagedata r:id="rId30" o:title=""/>
                  <o:lock v:ext="edit" aspectratio="f"/>
                  <w10:wrap type="none"/>
                  <w10:anchorlock/>
                </v:shape>
                <o:OLEObject Type="Embed" ProgID="Visio.Drawing.11" ShapeID="_x0000_i1030" DrawAspect="Content" ObjectID="_1468075730" r:id="rId29">
                  <o:LockedField>false</o:LockedField>
                </o:OLEObject>
              </w:objec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14:textFill>
                  <w14:solidFill>
                    <w14:schemeClr w14:val="tx1"/>
                  </w14:solidFill>
                </w14:textFill>
              </w:rPr>
            </w:pPr>
            <w:r>
              <w:rPr>
                <w:rFonts w:hint="default" w:ascii="Times New Roman" w:hAnsi="Times New Roman" w:eastAsia="宋体" w:cs="Times New Roman"/>
                <w:b/>
                <w:bCs/>
                <w:color w:val="000000" w:themeColor="text1"/>
                <w14:textFill>
                  <w14:solidFill>
                    <w14:schemeClr w14:val="tx1"/>
                  </w14:solidFill>
                </w14:textFill>
              </w:rPr>
              <w:t>图</w:t>
            </w:r>
            <w:r>
              <w:rPr>
                <w:rFonts w:hint="default" w:ascii="Times New Roman" w:hAnsi="Times New Roman" w:eastAsia="宋体" w:cs="Times New Roman"/>
                <w:b/>
                <w:bCs/>
                <w:color w:val="000000" w:themeColor="text1"/>
                <w:lang w:val="en-US" w:eastAsia="zh-CN"/>
                <w14:textFill>
                  <w14:solidFill>
                    <w14:schemeClr w14:val="tx1"/>
                  </w14:solidFill>
                </w14:textFill>
              </w:rPr>
              <w:t>6</w:t>
            </w:r>
            <w:r>
              <w:rPr>
                <w:rFonts w:hint="default" w:ascii="Times New Roman" w:hAnsi="Times New Roman" w:eastAsia="宋体" w:cs="Times New Roman"/>
                <w:b/>
                <w:bCs/>
                <w:color w:val="000000" w:themeColor="text1"/>
                <w14:textFill>
                  <w14:solidFill>
                    <w14:schemeClr w14:val="tx1"/>
                  </w14:solidFill>
                </w14:textFill>
              </w:rPr>
              <w:t xml:space="preserve">  </w:t>
            </w:r>
            <w:r>
              <w:rPr>
                <w:rFonts w:hint="default" w:ascii="Times New Roman" w:hAnsi="Times New Roman" w:eastAsia="宋体" w:cs="Times New Roman"/>
                <w:b/>
                <w:bCs/>
                <w:color w:val="000000" w:themeColor="text1"/>
                <w:lang w:val="en-US" w:eastAsia="zh-CN"/>
                <w14:textFill>
                  <w14:solidFill>
                    <w14:schemeClr w14:val="tx1"/>
                  </w14:solidFill>
                </w14:textFill>
              </w:rPr>
              <w:t xml:space="preserve">   </w:t>
            </w:r>
            <w:r>
              <w:rPr>
                <w:rFonts w:hint="default" w:ascii="Times New Roman" w:hAnsi="Times New Roman" w:eastAsia="宋体" w:cs="Times New Roman"/>
                <w:b/>
                <w:bCs/>
                <w:color w:val="000000" w:themeColor="text1"/>
                <w14:textFill>
                  <w14:solidFill>
                    <w14:schemeClr w14:val="tx1"/>
                  </w14:solidFill>
                </w14:textFill>
              </w:rPr>
              <w:t>加油站柴油加油工艺流程示意图</w:t>
            </w:r>
          </w:p>
          <w:p>
            <w:pPr>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工艺流程简述：</w:t>
            </w:r>
          </w:p>
          <w:p>
            <w:pPr>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卸油：</w:t>
            </w:r>
            <w:r>
              <w:rPr>
                <w:rFonts w:hint="default" w:ascii="Times New Roman" w:hAnsi="Times New Roman" w:cs="Times New Roman"/>
                <w:color w:val="000000" w:themeColor="text1"/>
                <w:sz w:val="24"/>
                <w:szCs w:val="24"/>
                <w14:textFill>
                  <w14:solidFill>
                    <w14:schemeClr w14:val="tx1"/>
                  </w14:solidFill>
                </w14:textFill>
              </w:rPr>
              <w:t>加油站采用油罐车经软管与油罐卸油孔连通卸油的方式卸油。装满汽油或柴油的油槽车到达加油站罐区后，在油罐附近停稳熄火，将连通软管与油罐车的卸油口、油罐的进油口用密闭快速接头连接好，并接上静电接地装置，静止十五分钟后开始计量卸油，利用位差将汽油、柴油分别输送至汽、柴油罐储存。加油站内各个油罐均设置有液位计，卸油过程中应时刻注意液位计指示，防止油品溢出。油品卸完后，拆除连通软管，人工封好油罐和罐车卸油口，拆除静电接地报警装置，发动油品罐车缓缓离开罐区。</w:t>
            </w:r>
          </w:p>
          <w:p>
            <w:pPr>
              <w:pStyle w:val="36"/>
              <w:keepNext w:val="0"/>
              <w:keepLines w:val="0"/>
              <w:pageBreakBefore w:val="0"/>
              <w:widowControl w:val="0"/>
              <w:kinsoku/>
              <w:wordWrap/>
              <w:overflowPunct/>
              <w:topLinePunct w:val="0"/>
              <w:autoSpaceDE/>
              <w:autoSpaceDN/>
              <w:bidi w:val="0"/>
              <w:adjustRightInd/>
              <w:snapToGrid/>
              <w:spacing w:line="480" w:lineRule="exact"/>
              <w:ind w:firstLine="422"/>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储油：</w:t>
            </w:r>
            <w:r>
              <w:rPr>
                <w:rFonts w:hint="default" w:ascii="Times New Roman" w:hAnsi="Times New Roman" w:cs="Times New Roman"/>
                <w:color w:val="000000" w:themeColor="text1"/>
                <w:sz w:val="24"/>
                <w:szCs w:val="24"/>
                <w14:textFill>
                  <w14:solidFill>
                    <w14:schemeClr w14:val="tx1"/>
                  </w14:solidFill>
                </w14:textFill>
              </w:rPr>
              <w:t>油罐在没有收发油作业的情况下，随着外界气温、压力在一天内的升降周期 变化，罐内气体空间温度、油品蒸发速度、油气浓度和蒸气压力也随之变化。这种排出石油蒸气和吸入空气的过程造成的油气损失，叫小呼吸损失。储罐小呼吸产生的油气由地下罐上方设置的呼吸阀排放，根据《加油站大气污染物排放标准》（GB20952-2020）要求，油气处理装置排气口距地平面高度不应小于4m，排气口应设阻火器。</w:t>
            </w:r>
          </w:p>
          <w:p>
            <w:pPr>
              <w:pStyle w:val="36"/>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b/>
                <w:bCs/>
                <w:color w:val="000000" w:themeColor="text1"/>
                <w:sz w:val="24"/>
                <w:szCs w:val="24"/>
                <w:u w:val="single"/>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油罐车送来的油品在相应的油罐内进行储存。项目设</w:t>
            </w:r>
            <w:r>
              <w:rPr>
                <w:rFonts w:hint="default" w:ascii="Times New Roman" w:hAnsi="Times New Roman" w:cs="Times New Roman"/>
                <w:color w:val="000000" w:themeColor="text1"/>
                <w:sz w:val="24"/>
                <w:szCs w:val="24"/>
                <w:lang w:val="en-US" w:eastAsia="zh-CN"/>
                <w14:textFill>
                  <w14:solidFill>
                    <w14:schemeClr w14:val="tx1"/>
                  </w14:solidFill>
                </w14:textFill>
              </w:rPr>
              <w:t>4</w:t>
            </w:r>
            <w:r>
              <w:rPr>
                <w:rFonts w:hint="default" w:ascii="Times New Roman" w:hAnsi="Times New Roman" w:cs="Times New Roman"/>
                <w:color w:val="000000" w:themeColor="text1"/>
                <w:sz w:val="24"/>
                <w:szCs w:val="24"/>
                <w14:textFill>
                  <w14:solidFill>
                    <w14:schemeClr w14:val="tx1"/>
                  </w14:solidFill>
                </w14:textFill>
              </w:rPr>
              <w:t>座埋地储罐，1个92#汽油储罐、1个95#汽油储罐、2个0#汽油储罐。油罐采用SF双层油罐，配套相应的渗漏检测系统，能够在线检测油品泄漏并发出报警信号；油罐设液位计，液位计具有高低液位报警功能；油罐内的卸油管道上安装防溢流阀。</w:t>
            </w:r>
          </w:p>
          <w:p>
            <w:pPr>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加油：</w:t>
            </w:r>
            <w:r>
              <w:rPr>
                <w:rFonts w:hint="default" w:ascii="Times New Roman" w:hAnsi="Times New Roman" w:cs="Times New Roman"/>
                <w:color w:val="000000" w:themeColor="text1"/>
                <w:sz w:val="24"/>
                <w:szCs w:val="24"/>
                <w14:textFill>
                  <w14:solidFill>
                    <w14:schemeClr w14:val="tx1"/>
                  </w14:solidFill>
                </w14:textFill>
              </w:rPr>
              <w:t>本加油站采用自吸泵负压吸入加油工艺，通过潜油泵输送至加油机，经过加油机的油气分离器、自动计量和自封式加油枪注入汽车油箱等受油容器。具体加油操作流程如下：车辆加油时，必须停稳熄火后，方可打开汽车油箱口盖或金属受油器盖，然</w:t>
            </w:r>
            <w:r>
              <w:rPr>
                <w:rFonts w:hint="default" w:ascii="Times New Roman" w:hAnsi="Times New Roman" w:eastAsia="宋体" w:cs="Times New Roman"/>
                <w:color w:val="000000" w:themeColor="text1"/>
                <w:sz w:val="24"/>
                <w:szCs w:val="24"/>
                <w14:textFill>
                  <w14:solidFill>
                    <w14:schemeClr w14:val="tx1"/>
                  </w14:solidFill>
                </w14:textFill>
              </w:rPr>
              <w:t>后把加油枪口插在容器内，启动加油机加油。加油完毕后，应尽快将油枪放回托架内，将油箱口盖盖好，汽车离开加油区。</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14:textFill>
                  <w14:solidFill>
                    <w14:schemeClr w14:val="tx1"/>
                  </w14:solidFill>
                </w14:textFill>
              </w:rPr>
              <w:t>）本项目油气回收工艺流图如下：</w:t>
            </w:r>
          </w:p>
          <w:p>
            <w:pPr>
              <w:spacing w:line="360" w:lineRule="auto"/>
              <w:ind w:firstLine="420" w:firstLineChars="200"/>
              <w:rPr>
                <w:rFonts w:hint="default" w:ascii="Times New Roman" w:hAnsi="Times New Roman" w:cs="Times New Roman"/>
                <w:color w:val="000000" w:themeColor="text1"/>
                <w:szCs w:val="2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drawing>
                <wp:inline distT="0" distB="0" distL="114300" distR="114300">
                  <wp:extent cx="5042535" cy="2614930"/>
                  <wp:effectExtent l="0" t="0" r="0" b="0"/>
                  <wp:docPr id="1" name="图片 27" descr="8705043dd9b76a1f1a02d1589c6a9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7" descr="8705043dd9b76a1f1a02d1589c6a9fe"/>
                          <pic:cNvPicPr>
                            <a:picLocks noChangeAspect="1"/>
                          </pic:cNvPicPr>
                        </pic:nvPicPr>
                        <pic:blipFill>
                          <a:blip r:embed="rId31"/>
                          <a:stretch>
                            <a:fillRect/>
                          </a:stretch>
                        </pic:blipFill>
                        <pic:spPr>
                          <a:xfrm>
                            <a:off x="0" y="0"/>
                            <a:ext cx="5042535" cy="2614930"/>
                          </a:xfrm>
                          <a:prstGeom prst="rect">
                            <a:avLst/>
                          </a:prstGeom>
                          <a:noFill/>
                          <a:ln w="19050" cap="flat" cmpd="sng">
                            <a:solidFill>
                              <a:srgbClr val="000000"/>
                            </a:solidFill>
                            <a:prstDash val="solid"/>
                            <a:miter/>
                            <a:headEnd type="none" w="med" len="med"/>
                            <a:tailEnd type="none" w="med" len="med"/>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b/>
                <w:bCs/>
                <w:color w:val="000000" w:themeColor="text1"/>
                <w14:textFill>
                  <w14:solidFill>
                    <w14:schemeClr w14:val="tx1"/>
                  </w14:solidFill>
                </w14:textFill>
              </w:rPr>
              <w:t>图</w:t>
            </w:r>
            <w:r>
              <w:rPr>
                <w:rFonts w:hint="default" w:ascii="Times New Roman" w:hAnsi="Times New Roman" w:cs="Times New Roman"/>
                <w:b/>
                <w:bCs/>
                <w:color w:val="000000" w:themeColor="text1"/>
                <w:lang w:val="en-US" w:eastAsia="zh-CN"/>
                <w14:textFill>
                  <w14:solidFill>
                    <w14:schemeClr w14:val="tx1"/>
                  </w14:solidFill>
                </w14:textFill>
              </w:rPr>
              <w:t>7</w:t>
            </w:r>
            <w:r>
              <w:rPr>
                <w:rFonts w:hint="default" w:ascii="Times New Roman" w:hAnsi="Times New Roman" w:cs="Times New Roman"/>
                <w:b/>
                <w:bCs/>
                <w:color w:val="000000" w:themeColor="text1"/>
                <w14:textFill>
                  <w14:solidFill>
                    <w14:schemeClr w14:val="tx1"/>
                  </w14:solidFill>
                </w14:textFill>
              </w:rPr>
              <w:t xml:space="preserve">  </w:t>
            </w:r>
            <w:r>
              <w:rPr>
                <w:rFonts w:hint="default" w:ascii="Times New Roman" w:hAnsi="Times New Roman" w:cs="Times New Roman"/>
                <w:b/>
                <w:bCs/>
                <w:color w:val="000000" w:themeColor="text1"/>
                <w:lang w:val="en-US" w:eastAsia="zh-CN"/>
                <w14:textFill>
                  <w14:solidFill>
                    <w14:schemeClr w14:val="tx1"/>
                  </w14:solidFill>
                </w14:textFill>
              </w:rPr>
              <w:t xml:space="preserve">    </w:t>
            </w:r>
            <w:r>
              <w:rPr>
                <w:rFonts w:hint="default" w:ascii="Times New Roman" w:hAnsi="Times New Roman" w:cs="Times New Roman"/>
                <w:b/>
                <w:bCs/>
                <w:color w:val="000000" w:themeColor="text1"/>
                <w14:textFill>
                  <w14:solidFill>
                    <w14:schemeClr w14:val="tx1"/>
                  </w14:solidFill>
                </w14:textFill>
              </w:rPr>
              <w:t>项目油气回收流程示意图</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本项目针对汽油设置有卸油油气回收系统（即一次油气回收系统）和加油油气回收系统（二次油气回收系统），油气回收系统回收率均可达到95%以上。</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①卸油油气回收系统（即一次油气回收系统）</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一次油气回收阶段是通过压力平衡原理，将在卸油过程中挥发的油气收集到油罐车内，运回储油库进行油气回收处理的过程。该阶段油气回收实现过程：在油罐车卸油过程中，储油车内压力减小，地下储罐内压力增加，地下储罐与油罐车内的压力差，使卸油过程中挥发的油气通过管线回到油罐车内，达到油气收集的目的。待卸油结束，地下储罐与油罐车内压力达到平衡状态，一次油气回收阶段结束。</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项目储油罐区设置密闭卸油口，储罐均设置有通气管口及通气软管，油罐车设置有油气回收管口及回收管道。卸油时，卸油软管连接罐车出油口和罐区卸油口，油气回收软管连接罐车油气回收口和卸油口的油气回收管道接口。当罐车内油品流入站区油罐时，罐内油气通过油气回收管道进入罐车内。卸油时由于通气管道上安装有压力真空阀，在设定工作压力内不会开启，不会造成油气通过通气管排放。经查阅相关资料可知，此方式的回收效率可达 95%以上。经罐车回收的油气，运回储油库进行油气回收处理。</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②加油油气回收系统（即二次油气回收阶段）</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二次油气回收阶段是采用真空辅助式油气回收设备，将在加油过程中挥发的油气通过地下油气回收管线收集到地下储罐内的油气回收过程。该阶段油气回收实现过程：在加油站为汽车加油过程中，通过真空泵产生一定真空度，经过加油枪、油气回收管、真空泵等油气回收设备，按照气液比控制在1.0至1.2之间的要求，将加油过程中挥发的油气回收到油罐内。汽车加油时利用加油枪上的特殊装置，将汽车油箱中的油气经加油枪、真空泵、油气回收管道回收，在加油站内加油机内部安装油气回收泵及相应的管道，加油机加油时回收的油气通过管道进入站内的油品储罐内，后与卸油时产生油气一并通过油罐车返回至储油库内进行集中处理。</w:t>
            </w:r>
          </w:p>
          <w:bookmarkEnd w:id="3"/>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本项目运营期污染物产生情况见下表。</w:t>
            </w:r>
          </w:p>
          <w:p>
            <w:pPr>
              <w:keepNext w:val="0"/>
              <w:keepLines w:val="0"/>
              <w:pageBreakBefore w:val="0"/>
              <w:widowControl/>
              <w:kinsoku/>
              <w:wordWrap/>
              <w:overflowPunct/>
              <w:topLinePunct w:val="0"/>
              <w:autoSpaceDE/>
              <w:autoSpaceDN/>
              <w:bidi w:val="0"/>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表15               项目运营期污染物产生情况一览表</w:t>
            </w:r>
          </w:p>
          <w:tbl>
            <w:tblPr>
              <w:tblStyle w:val="37"/>
              <w:tblW w:w="894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41"/>
              <w:gridCol w:w="2762"/>
              <w:gridCol w:w="2391"/>
              <w:gridCol w:w="23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污染类别</w:t>
                  </w:r>
                </w:p>
              </w:tc>
              <w:tc>
                <w:tcPr>
                  <w:tcW w:w="27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污染源名称</w:t>
                  </w:r>
                </w:p>
              </w:tc>
              <w:tc>
                <w:tcPr>
                  <w:tcW w:w="23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产生工序</w:t>
                  </w:r>
                </w:p>
              </w:tc>
              <w:tc>
                <w:tcPr>
                  <w:tcW w:w="23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主要污染因子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废气</w:t>
                  </w:r>
                </w:p>
              </w:tc>
              <w:tc>
                <w:tcPr>
                  <w:tcW w:w="27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汽油</w:t>
                  </w:r>
                  <w:r>
                    <w:rPr>
                      <w:rFonts w:hint="default" w:ascii="Times New Roman" w:hAnsi="Times New Roman" w:eastAsia="宋体" w:cs="Times New Roman"/>
                      <w:color w:val="000000" w:themeColor="text1"/>
                      <w:sz w:val="21"/>
                      <w:szCs w:val="21"/>
                      <w14:textFill>
                        <w14:solidFill>
                          <w14:schemeClr w14:val="tx1"/>
                        </w14:solidFill>
                      </w14:textFill>
                    </w:rPr>
                    <w:t>储罐、</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汽油</w:t>
                  </w:r>
                  <w:r>
                    <w:rPr>
                      <w:rFonts w:hint="default" w:ascii="Times New Roman" w:hAnsi="Times New Roman" w:eastAsia="宋体" w:cs="Times New Roman"/>
                      <w:color w:val="000000" w:themeColor="text1"/>
                      <w:sz w:val="21"/>
                      <w:szCs w:val="21"/>
                      <w14:textFill>
                        <w14:solidFill>
                          <w14:schemeClr w14:val="tx1"/>
                        </w14:solidFill>
                      </w14:textFill>
                    </w:rPr>
                    <w:t>加油机</w:t>
                  </w:r>
                </w:p>
              </w:tc>
              <w:tc>
                <w:tcPr>
                  <w:tcW w:w="23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卸油、储油、加油</w:t>
                  </w:r>
                </w:p>
              </w:tc>
              <w:tc>
                <w:tcPr>
                  <w:tcW w:w="23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废水</w:t>
                  </w:r>
                </w:p>
              </w:tc>
              <w:tc>
                <w:tcPr>
                  <w:tcW w:w="27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生活污水</w:t>
                  </w:r>
                </w:p>
              </w:tc>
              <w:tc>
                <w:tcPr>
                  <w:tcW w:w="23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生活用水</w:t>
                  </w:r>
                </w:p>
              </w:tc>
              <w:tc>
                <w:tcPr>
                  <w:tcW w:w="23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COD、SS、氨氮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噪声</w:t>
                  </w:r>
                </w:p>
              </w:tc>
              <w:tc>
                <w:tcPr>
                  <w:tcW w:w="27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设备噪声、车辆噪声</w:t>
                  </w:r>
                </w:p>
              </w:tc>
              <w:tc>
                <w:tcPr>
                  <w:tcW w:w="23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运营过程</w:t>
                  </w:r>
                </w:p>
              </w:tc>
              <w:tc>
                <w:tcPr>
                  <w:tcW w:w="23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噪声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固废</w:t>
                  </w:r>
                </w:p>
              </w:tc>
              <w:tc>
                <w:tcPr>
                  <w:tcW w:w="276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危险废物</w:t>
                  </w:r>
                </w:p>
              </w:tc>
              <w:tc>
                <w:tcPr>
                  <w:tcW w:w="23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运营过程</w:t>
                  </w:r>
                </w:p>
              </w:tc>
              <w:tc>
                <w:tcPr>
                  <w:tcW w:w="23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油泥</w:t>
                  </w:r>
                </w:p>
              </w:tc>
            </w:tr>
          </w:tbl>
          <w:p>
            <w:pPr>
              <w:pStyle w:val="33"/>
              <w:keepNext w:val="0"/>
              <w:keepLines w:val="0"/>
              <w:pageBreakBefore w:val="0"/>
              <w:widowControl/>
              <w:kinsoku/>
              <w:wordWrap/>
              <w:overflowPunct/>
              <w:topLinePunct w:val="0"/>
              <w:autoSpaceDE/>
              <w:autoSpaceDN/>
              <w:bidi w:val="0"/>
              <w:adjustRightInd/>
              <w:snapToGrid/>
              <w:spacing w:before="0" w:beforeAutospacing="0" w:after="0" w:afterAutospacing="0" w:line="480" w:lineRule="exact"/>
              <w:jc w:val="center"/>
              <w:textAlignment w:val="auto"/>
              <w:outlineLvl w:val="0"/>
              <w:rPr>
                <w:rFonts w:hint="default" w:ascii="Times New Roman" w:hAnsi="Times New Roman" w:eastAsia="黑体" w:cs="Times New Roman"/>
                <w:snapToGrid w:val="0"/>
                <w:color w:val="000000" w:themeColor="text1"/>
                <w:sz w:val="24"/>
                <w:szCs w:val="24"/>
                <w:vertAlign w:val="baseli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1" w:hRule="atLeast"/>
          <w:jc w:val="center"/>
        </w:trPr>
        <w:tc>
          <w:tcPr>
            <w:tcW w:w="551" w:type="dxa"/>
            <w:noWrap w:val="0"/>
            <w:vAlign w:val="center"/>
          </w:tcPr>
          <w:p>
            <w:pPr>
              <w:pStyle w:val="33"/>
              <w:keepNext w:val="0"/>
              <w:keepLines w:val="0"/>
              <w:pageBreakBefore w:val="0"/>
              <w:widowControl/>
              <w:kinsoku/>
              <w:wordWrap/>
              <w:overflowPunct/>
              <w:topLinePunct w:val="0"/>
              <w:autoSpaceDE/>
              <w:autoSpaceDN/>
              <w:bidi w:val="0"/>
              <w:adjustRightInd/>
              <w:snapToGrid/>
              <w:spacing w:before="0" w:beforeAutospacing="0" w:after="0" w:afterAutospacing="0" w:line="480" w:lineRule="exact"/>
              <w:jc w:val="center"/>
              <w:textAlignment w:val="auto"/>
              <w:outlineLvl w:val="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bCs/>
                <w:color w:val="000000" w:themeColor="text1"/>
                <w:kern w:val="2"/>
                <w:sz w:val="24"/>
                <w:szCs w:val="24"/>
                <w14:textFill>
                  <w14:solidFill>
                    <w14:schemeClr w14:val="tx1"/>
                  </w14:solidFill>
                </w14:textFill>
              </w:rPr>
              <w:t>与项目有关的原有环境污染问题</w:t>
            </w:r>
          </w:p>
        </w:tc>
        <w:tc>
          <w:tcPr>
            <w:tcW w:w="916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1</w:t>
            </w:r>
            <w:r>
              <w:rPr>
                <w:rFonts w:hint="default" w:ascii="Times New Roman" w:hAnsi="Times New Roman" w:cs="Times New Roman"/>
                <w:b/>
                <w:bCs/>
                <w:color w:val="000000" w:themeColor="text1"/>
                <w:sz w:val="24"/>
                <w:szCs w:val="24"/>
                <w:lang w:eastAsia="zh-CN"/>
                <w14:textFill>
                  <w14:solidFill>
                    <w14:schemeClr w14:val="tx1"/>
                  </w14:solidFill>
                </w14:textFill>
              </w:rPr>
              <w:t>、</w:t>
            </w:r>
            <w:r>
              <w:rPr>
                <w:rFonts w:hint="default" w:ascii="Times New Roman" w:hAnsi="Times New Roman" w:cs="Times New Roman"/>
                <w:b/>
                <w:bCs/>
                <w:color w:val="000000" w:themeColor="text1"/>
                <w:sz w:val="24"/>
                <w:szCs w:val="24"/>
                <w14:textFill>
                  <w14:solidFill>
                    <w14:schemeClr w14:val="tx1"/>
                  </w14:solidFill>
                </w14:textFill>
              </w:rPr>
              <w:t>现有工程环保手续履行情况</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中国石化销售股份有限公司河南漯河石油分公司</w:t>
            </w:r>
            <w:r>
              <w:rPr>
                <w:rFonts w:hint="default" w:ascii="Times New Roman" w:hAnsi="Times New Roman" w:cs="Times New Roman"/>
                <w:color w:val="000000" w:themeColor="text1"/>
                <w:sz w:val="24"/>
                <w:szCs w:val="24"/>
                <w:lang w:eastAsia="zh-CN"/>
                <w14:textFill>
                  <w14:solidFill>
                    <w14:schemeClr w14:val="tx1"/>
                  </w14:solidFill>
                </w14:textFill>
              </w:rPr>
              <w:t>南环路燕山加油站</w:t>
            </w:r>
            <w:r>
              <w:rPr>
                <w:rFonts w:hint="default" w:ascii="Times New Roman" w:hAnsi="Times New Roman" w:cs="Times New Roman"/>
                <w:color w:val="000000" w:themeColor="text1"/>
                <w:sz w:val="24"/>
                <w:szCs w:val="24"/>
                <w14:textFill>
                  <w14:solidFill>
                    <w14:schemeClr w14:val="tx1"/>
                  </w14:solidFill>
                </w14:textFill>
              </w:rPr>
              <w:t>位于漯河市经济技术产业集聚区（含漯河经济开发区）</w:t>
            </w:r>
            <w:r>
              <w:rPr>
                <w:rFonts w:hint="default" w:ascii="Times New Roman" w:hAnsi="Times New Roman" w:cs="Times New Roman"/>
                <w:color w:val="000000" w:themeColor="text1"/>
                <w:sz w:val="24"/>
                <w:szCs w:val="24"/>
                <w:lang w:eastAsia="zh-CN"/>
                <w14:textFill>
                  <w14:solidFill>
                    <w14:schemeClr w14:val="tx1"/>
                  </w14:solidFill>
                </w14:textFill>
              </w:rPr>
              <w:t>燕山南路与漳江东路交叉口往西北约210米</w:t>
            </w:r>
            <w:r>
              <w:rPr>
                <w:rFonts w:hint="default" w:ascii="Times New Roman" w:hAnsi="Times New Roman" w:cs="Times New Roman"/>
                <w:color w:val="000000" w:themeColor="text1"/>
                <w:sz w:val="24"/>
                <w:szCs w:val="24"/>
                <w14:textFill>
                  <w14:solidFill>
                    <w14:schemeClr w14:val="tx1"/>
                  </w14:solidFill>
                </w14:textFill>
              </w:rPr>
              <w:t>，于2016年10月委托</w:t>
            </w:r>
            <w:r>
              <w:rPr>
                <w:rFonts w:hint="default" w:ascii="Times New Roman" w:hAnsi="Times New Roman" w:cs="Times New Roman"/>
                <w:color w:val="000000" w:themeColor="text1"/>
                <w:sz w:val="24"/>
                <w:szCs w:val="24"/>
                <w:lang w:val="en-US" w:eastAsia="zh-CN"/>
                <w14:textFill>
                  <w14:solidFill>
                    <w14:schemeClr w14:val="tx1"/>
                  </w14:solidFill>
                </w14:textFill>
              </w:rPr>
              <w:t>东方环宇环保科技发展有限公司</w:t>
            </w:r>
            <w:r>
              <w:rPr>
                <w:rFonts w:hint="default" w:ascii="Times New Roman" w:hAnsi="Times New Roman" w:cs="Times New Roman"/>
                <w:color w:val="000000" w:themeColor="text1"/>
                <w:sz w:val="24"/>
                <w:szCs w:val="24"/>
                <w14:textFill>
                  <w14:solidFill>
                    <w14:schemeClr w14:val="tx1"/>
                  </w14:solidFill>
                </w14:textFill>
              </w:rPr>
              <w:t>编制《中国石化销售股份有限公司河南漯河石油分公司</w:t>
            </w:r>
            <w:r>
              <w:rPr>
                <w:rFonts w:hint="default" w:ascii="Times New Roman" w:hAnsi="Times New Roman" w:cs="Times New Roman"/>
                <w:color w:val="000000" w:themeColor="text1"/>
                <w:sz w:val="24"/>
                <w:szCs w:val="24"/>
                <w:lang w:eastAsia="zh-CN"/>
                <w14:textFill>
                  <w14:solidFill>
                    <w14:schemeClr w14:val="tx1"/>
                  </w14:solidFill>
                </w14:textFill>
              </w:rPr>
              <w:t>南环路燕山加油站</w:t>
            </w:r>
            <w:r>
              <w:rPr>
                <w:rFonts w:hint="default" w:ascii="Times New Roman" w:hAnsi="Times New Roman" w:cs="Times New Roman"/>
                <w:color w:val="000000" w:themeColor="text1"/>
                <w:sz w:val="24"/>
                <w:szCs w:val="24"/>
                <w14:textFill>
                  <w14:solidFill>
                    <w14:schemeClr w14:val="tx1"/>
                  </w14:solidFill>
                </w14:textFill>
              </w:rPr>
              <w:t>建设项目现状环境影响评估报告》；于2016年11月</w:t>
            </w:r>
            <w:r>
              <w:rPr>
                <w:rFonts w:hint="default" w:ascii="Times New Roman" w:hAnsi="Times New Roman" w:cs="Times New Roman"/>
                <w:color w:val="000000" w:themeColor="text1"/>
                <w:sz w:val="24"/>
                <w:szCs w:val="24"/>
                <w:lang w:val="en-US" w:eastAsia="zh-CN"/>
                <w14:textFill>
                  <w14:solidFill>
                    <w14:schemeClr w14:val="tx1"/>
                  </w14:solidFill>
                </w14:textFill>
              </w:rPr>
              <w:t>6</w:t>
            </w:r>
            <w:r>
              <w:rPr>
                <w:rFonts w:hint="default" w:ascii="Times New Roman" w:hAnsi="Times New Roman" w:cs="Times New Roman"/>
                <w:color w:val="000000" w:themeColor="text1"/>
                <w:sz w:val="24"/>
                <w:szCs w:val="24"/>
                <w14:textFill>
                  <w14:solidFill>
                    <w14:schemeClr w14:val="tx1"/>
                  </w14:solidFill>
                </w14:textFill>
              </w:rPr>
              <w:t>日通过漯河经济技术开发区建设和环境保护局</w:t>
            </w:r>
            <w:r>
              <w:rPr>
                <w:rFonts w:hint="default" w:ascii="Times New Roman" w:hAnsi="Times New Roman" w:cs="Times New Roman"/>
                <w:color w:val="000000" w:themeColor="text1"/>
                <w:sz w:val="24"/>
                <w:szCs w:val="24"/>
                <w:lang w:val="en-US" w:eastAsia="zh-CN"/>
                <w14:textFill>
                  <w14:solidFill>
                    <w14:schemeClr w14:val="tx1"/>
                  </w14:solidFill>
                </w14:textFill>
              </w:rPr>
              <w:t>环保备案公告，公告文号为</w:t>
            </w:r>
            <w:r>
              <w:rPr>
                <w:rFonts w:hint="default" w:ascii="Times New Roman" w:hAnsi="Times New Roman" w:cs="Times New Roman"/>
                <w:color w:val="000000" w:themeColor="text1"/>
                <w:sz w:val="24"/>
                <w:szCs w:val="24"/>
                <w14:textFill>
                  <w14:solidFill>
                    <w14:schemeClr w14:val="tx1"/>
                  </w14:solidFill>
                </w14:textFill>
              </w:rPr>
              <w:t>漯开环[2016]</w:t>
            </w:r>
            <w:r>
              <w:rPr>
                <w:rFonts w:hint="default" w:ascii="Times New Roman" w:hAnsi="Times New Roman" w:cs="Times New Roman"/>
                <w:color w:val="000000" w:themeColor="text1"/>
                <w:sz w:val="24"/>
                <w:szCs w:val="24"/>
                <w:lang w:val="en-US" w:eastAsia="zh-CN"/>
                <w14:textFill>
                  <w14:solidFill>
                    <w14:schemeClr w14:val="tx1"/>
                  </w14:solidFill>
                </w14:textFill>
              </w:rPr>
              <w:t>2</w:t>
            </w:r>
            <w:r>
              <w:rPr>
                <w:rFonts w:hint="default" w:ascii="Times New Roman" w:hAnsi="Times New Roman" w:cs="Times New Roman"/>
                <w:color w:val="000000" w:themeColor="text1"/>
                <w:sz w:val="24"/>
                <w:szCs w:val="24"/>
                <w14:textFill>
                  <w14:solidFill>
                    <w14:schemeClr w14:val="tx1"/>
                  </w14:solidFill>
                </w14:textFill>
              </w:rPr>
              <w:t>号</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中国石化销售股份有限公司河南漯河石油分公司</w:t>
            </w:r>
            <w:r>
              <w:rPr>
                <w:rFonts w:hint="default" w:ascii="Times New Roman" w:hAnsi="Times New Roman" w:cs="Times New Roman"/>
                <w:color w:val="000000" w:themeColor="text1"/>
                <w:sz w:val="24"/>
                <w:szCs w:val="24"/>
                <w:lang w:eastAsia="zh-CN"/>
                <w14:textFill>
                  <w14:solidFill>
                    <w14:schemeClr w14:val="tx1"/>
                  </w14:solidFill>
                </w14:textFill>
              </w:rPr>
              <w:t>南环路燕山加油站</w:t>
            </w:r>
            <w:r>
              <w:rPr>
                <w:rFonts w:hint="default" w:ascii="Times New Roman" w:hAnsi="Times New Roman" w:cs="Times New Roman"/>
                <w:color w:val="000000" w:themeColor="text1"/>
                <w:sz w:val="24"/>
                <w:szCs w:val="24"/>
                <w14:textFill>
                  <w14:solidFill>
                    <w14:schemeClr w14:val="tx1"/>
                  </w14:solidFill>
                </w14:textFill>
              </w:rPr>
              <w:t>于202</w:t>
            </w:r>
            <w:r>
              <w:rPr>
                <w:rFonts w:hint="default" w:ascii="Times New Roman" w:hAnsi="Times New Roman" w:cs="Times New Roman"/>
                <w:color w:val="000000" w:themeColor="text1"/>
                <w:sz w:val="24"/>
                <w:szCs w:val="24"/>
                <w:lang w:val="en-US" w:eastAsia="zh-CN"/>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年</w:t>
            </w:r>
            <w:r>
              <w:rPr>
                <w:rFonts w:hint="default" w:ascii="Times New Roman" w:hAnsi="Times New Roman" w:cs="Times New Roman"/>
                <w:color w:val="000000" w:themeColor="text1"/>
                <w:sz w:val="24"/>
                <w:szCs w:val="24"/>
                <w:lang w:val="en-US" w:eastAsia="zh-CN"/>
                <w14:textFill>
                  <w14:solidFill>
                    <w14:schemeClr w14:val="tx1"/>
                  </w14:solidFill>
                </w14:textFill>
              </w:rPr>
              <w:t>5</w:t>
            </w:r>
            <w:r>
              <w:rPr>
                <w:rFonts w:hint="default" w:ascii="Times New Roman" w:hAnsi="Times New Roman" w:cs="Times New Roman"/>
                <w:color w:val="000000" w:themeColor="text1"/>
                <w:sz w:val="24"/>
                <w:szCs w:val="24"/>
                <w14:textFill>
                  <w14:solidFill>
                    <w14:schemeClr w14:val="tx1"/>
                  </w14:solidFill>
                </w14:textFill>
              </w:rPr>
              <w:t>月</w:t>
            </w:r>
            <w:r>
              <w:rPr>
                <w:rFonts w:hint="default" w:ascii="Times New Roman" w:hAnsi="Times New Roman" w:cs="Times New Roman"/>
                <w:color w:val="000000" w:themeColor="text1"/>
                <w:sz w:val="24"/>
                <w:szCs w:val="24"/>
                <w:lang w:val="en-US" w:eastAsia="zh-CN"/>
                <w14:textFill>
                  <w14:solidFill>
                    <w14:schemeClr w14:val="tx1"/>
                  </w14:solidFill>
                </w14:textFill>
              </w:rPr>
              <w:t>15</w:t>
            </w:r>
            <w:r>
              <w:rPr>
                <w:rFonts w:hint="default" w:ascii="Times New Roman" w:hAnsi="Times New Roman" w:cs="Times New Roman"/>
                <w:color w:val="000000" w:themeColor="text1"/>
                <w:sz w:val="24"/>
                <w:szCs w:val="24"/>
                <w14:textFill>
                  <w14:solidFill>
                    <w14:schemeClr w14:val="tx1"/>
                  </w14:solidFill>
                </w14:textFill>
              </w:rPr>
              <w:t>日取得漯河市生态环境局颁发的排污许可证，证书编号：</w:t>
            </w:r>
            <w:r>
              <w:rPr>
                <w:rFonts w:hint="default" w:ascii="Times New Roman" w:hAnsi="Times New Roman" w:cs="Times New Roman"/>
                <w:color w:val="000000" w:themeColor="text1"/>
                <w:sz w:val="24"/>
                <w:szCs w:val="24"/>
                <w:lang w:val="en-US" w:eastAsia="zh-CN"/>
                <w14:textFill>
                  <w14:solidFill>
                    <w14:schemeClr w14:val="tx1"/>
                  </w14:solidFill>
                </w14:textFill>
              </w:rPr>
              <w:t>91411100684630299Q001Q</w:t>
            </w:r>
            <w:r>
              <w:rPr>
                <w:rFonts w:hint="default" w:ascii="Times New Roman" w:hAnsi="Times New Roman" w:cs="Times New Roman"/>
                <w:color w:val="000000" w:themeColor="text1"/>
                <w:sz w:val="24"/>
                <w:szCs w:val="24"/>
                <w14:textFill>
                  <w14:solidFill>
                    <w14:schemeClr w14:val="tx1"/>
                  </w14:solidFill>
                </w14:textFill>
              </w:rPr>
              <w:t>，有效期为自202</w:t>
            </w:r>
            <w:r>
              <w:rPr>
                <w:rFonts w:hint="default" w:ascii="Times New Roman" w:hAnsi="Times New Roman" w:cs="Times New Roman"/>
                <w:color w:val="000000" w:themeColor="text1"/>
                <w:sz w:val="24"/>
                <w:szCs w:val="24"/>
                <w:lang w:val="en-US" w:eastAsia="zh-CN"/>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年06月22日起至202</w:t>
            </w:r>
            <w:r>
              <w:rPr>
                <w:rFonts w:hint="default" w:ascii="Times New Roman" w:hAnsi="Times New Roman" w:cs="Times New Roman"/>
                <w:color w:val="000000" w:themeColor="text1"/>
                <w:sz w:val="24"/>
                <w:szCs w:val="24"/>
                <w:lang w:val="en-US" w:eastAsia="zh-CN"/>
                <w14:textFill>
                  <w14:solidFill>
                    <w14:schemeClr w14:val="tx1"/>
                  </w14:solidFill>
                </w14:textFill>
              </w:rPr>
              <w:t>8</w:t>
            </w:r>
            <w:r>
              <w:rPr>
                <w:rFonts w:hint="default" w:ascii="Times New Roman" w:hAnsi="Times New Roman" w:cs="Times New Roman"/>
                <w:color w:val="000000" w:themeColor="text1"/>
                <w:sz w:val="24"/>
                <w:szCs w:val="24"/>
                <w14:textFill>
                  <w14:solidFill>
                    <w14:schemeClr w14:val="tx1"/>
                  </w14:solidFill>
                </w14:textFill>
              </w:rPr>
              <w:t>年06月21日止）。</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现有工程环保手续履行情况见下表。</w:t>
            </w:r>
          </w:p>
          <w:p>
            <w:pPr>
              <w:keepNext w:val="0"/>
              <w:keepLines w:val="0"/>
              <w:pageBreakBefore w:val="0"/>
              <w:widowControl/>
              <w:kinsoku/>
              <w:wordWrap/>
              <w:overflowPunct/>
              <w:topLinePunct w:val="0"/>
              <w:autoSpaceDE/>
              <w:autoSpaceDN/>
              <w:bidi w:val="0"/>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表16              现有工程环保手续履行情况</w:t>
            </w:r>
          </w:p>
          <w:tbl>
            <w:tblPr>
              <w:tblStyle w:val="37"/>
              <w:tblW w:w="897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01"/>
              <w:gridCol w:w="1068"/>
              <w:gridCol w:w="2754"/>
              <w:gridCol w:w="1846"/>
              <w:gridCol w:w="1541"/>
              <w:gridCol w:w="106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01"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pacing w:line="40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序号</w:t>
                  </w:r>
                </w:p>
              </w:tc>
              <w:tc>
                <w:tcPr>
                  <w:tcW w:w="1068"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pacing w:line="40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时间</w:t>
                  </w:r>
                </w:p>
              </w:tc>
              <w:tc>
                <w:tcPr>
                  <w:tcW w:w="2754"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pacing w:line="40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项目名称</w:t>
                  </w:r>
                </w:p>
              </w:tc>
              <w:tc>
                <w:tcPr>
                  <w:tcW w:w="1846"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pacing w:line="40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文号</w:t>
                  </w:r>
                </w:p>
              </w:tc>
              <w:tc>
                <w:tcPr>
                  <w:tcW w:w="1541"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pacing w:line="40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批复部门</w:t>
                  </w:r>
                </w:p>
              </w:tc>
              <w:tc>
                <w:tcPr>
                  <w:tcW w:w="106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val="0"/>
                    <w:spacing w:line="40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履行情况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01" w:type="dxa"/>
                  <w:tcBorders>
                    <w:tl2br w:val="nil"/>
                    <w:tr2bl w:val="nil"/>
                  </w:tcBorders>
                  <w:noWrap w:val="0"/>
                  <w:vAlign w:val="center"/>
                </w:tcPr>
                <w:p>
                  <w:pPr>
                    <w:keepNext w:val="0"/>
                    <w:keepLines w:val="0"/>
                    <w:pageBreakBefore w:val="0"/>
                    <w:widowControl w:val="0"/>
                    <w:kinsoku/>
                    <w:wordWrap/>
                    <w:overflowPunct/>
                    <w:topLinePunct w:val="0"/>
                    <w:bidi w:val="0"/>
                    <w:adjustRightInd w:val="0"/>
                    <w:snapToGrid w:val="0"/>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1068" w:type="dxa"/>
                  <w:tcBorders>
                    <w:tl2br w:val="nil"/>
                    <w:tr2bl w:val="nil"/>
                  </w:tcBorders>
                  <w:noWrap w:val="0"/>
                  <w:vAlign w:val="center"/>
                </w:tcPr>
                <w:p>
                  <w:pPr>
                    <w:keepNext w:val="0"/>
                    <w:keepLines w:val="0"/>
                    <w:pageBreakBefore w:val="0"/>
                    <w:widowControl w:val="0"/>
                    <w:kinsoku/>
                    <w:wordWrap/>
                    <w:overflowPunct/>
                    <w:topLinePunct w:val="0"/>
                    <w:bidi w:val="0"/>
                    <w:adjustRightInd w:val="0"/>
                    <w:snapToGrid w:val="0"/>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2016.10</w:t>
                  </w:r>
                </w:p>
              </w:tc>
              <w:tc>
                <w:tcPr>
                  <w:tcW w:w="2754" w:type="dxa"/>
                  <w:tcBorders>
                    <w:tl2br w:val="nil"/>
                    <w:tr2bl w:val="nil"/>
                  </w:tcBorders>
                  <w:noWrap w:val="0"/>
                  <w:vAlign w:val="center"/>
                </w:tcPr>
                <w:p>
                  <w:pPr>
                    <w:keepNext w:val="0"/>
                    <w:keepLines w:val="0"/>
                    <w:pageBreakBefore w:val="0"/>
                    <w:widowControl w:val="0"/>
                    <w:kinsoku/>
                    <w:wordWrap/>
                    <w:overflowPunct/>
                    <w:topLinePunct w:val="0"/>
                    <w:bidi w:val="0"/>
                    <w:adjustRightInd w:val="0"/>
                    <w:snapToGrid w:val="0"/>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中国石化销售股份有限公司河南漯河石油分公司</w:t>
                  </w:r>
                  <w:r>
                    <w:rPr>
                      <w:rFonts w:hint="default" w:ascii="Times New Roman" w:hAnsi="Times New Roman" w:cs="Times New Roman"/>
                      <w:color w:val="000000" w:themeColor="text1"/>
                      <w:sz w:val="21"/>
                      <w:szCs w:val="21"/>
                      <w:lang w:eastAsia="zh-CN"/>
                      <w14:textFill>
                        <w14:solidFill>
                          <w14:schemeClr w14:val="tx1"/>
                        </w14:solidFill>
                      </w14:textFill>
                    </w:rPr>
                    <w:t>南环路燕山加油站</w:t>
                  </w:r>
                  <w:r>
                    <w:rPr>
                      <w:rFonts w:hint="default" w:ascii="Times New Roman" w:hAnsi="Times New Roman" w:cs="Times New Roman"/>
                      <w:color w:val="000000" w:themeColor="text1"/>
                      <w:sz w:val="21"/>
                      <w:szCs w:val="21"/>
                      <w14:textFill>
                        <w14:solidFill>
                          <w14:schemeClr w14:val="tx1"/>
                        </w14:solidFill>
                      </w14:textFill>
                    </w:rPr>
                    <w:t>建设项目现状环境影响评估报告</w:t>
                  </w:r>
                </w:p>
              </w:tc>
              <w:tc>
                <w:tcPr>
                  <w:tcW w:w="1846" w:type="dxa"/>
                  <w:tcBorders>
                    <w:tl2br w:val="nil"/>
                    <w:tr2bl w:val="nil"/>
                  </w:tcBorders>
                  <w:noWrap w:val="0"/>
                  <w:vAlign w:val="center"/>
                </w:tcPr>
                <w:p>
                  <w:pPr>
                    <w:keepNext w:val="0"/>
                    <w:keepLines w:val="0"/>
                    <w:pageBreakBefore w:val="0"/>
                    <w:widowControl w:val="0"/>
                    <w:kinsoku/>
                    <w:wordWrap/>
                    <w:overflowPunct/>
                    <w:topLinePunct w:val="0"/>
                    <w:bidi w:val="0"/>
                    <w:adjustRightInd w:val="0"/>
                    <w:snapToGrid w:val="0"/>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2016年11月</w:t>
                  </w:r>
                  <w:r>
                    <w:rPr>
                      <w:rFonts w:hint="default" w:ascii="Times New Roman" w:hAnsi="Times New Roman" w:cs="Times New Roman"/>
                      <w:color w:val="000000" w:themeColor="text1"/>
                      <w:sz w:val="21"/>
                      <w:szCs w:val="21"/>
                      <w:lang w:val="en-US" w:eastAsia="zh-CN"/>
                      <w14:textFill>
                        <w14:solidFill>
                          <w14:schemeClr w14:val="tx1"/>
                        </w14:solidFill>
                      </w14:textFill>
                    </w:rPr>
                    <w:t>6</w:t>
                  </w:r>
                  <w:r>
                    <w:rPr>
                      <w:rFonts w:hint="default" w:ascii="Times New Roman" w:hAnsi="Times New Roman" w:cs="Times New Roman"/>
                      <w:color w:val="000000" w:themeColor="text1"/>
                      <w:sz w:val="21"/>
                      <w:szCs w:val="21"/>
                      <w14:textFill>
                        <w14:solidFill>
                          <w14:schemeClr w14:val="tx1"/>
                        </w14:solidFill>
                      </w14:textFill>
                    </w:rPr>
                    <w:t>日漯开环[2016]</w:t>
                  </w:r>
                  <w:r>
                    <w:rPr>
                      <w:rFonts w:hint="default" w:ascii="Times New Roman" w:hAnsi="Times New Roman"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号</w:t>
                  </w:r>
                </w:p>
              </w:tc>
              <w:tc>
                <w:tcPr>
                  <w:tcW w:w="1541" w:type="dxa"/>
                  <w:tcBorders>
                    <w:tl2br w:val="nil"/>
                    <w:tr2bl w:val="nil"/>
                  </w:tcBorders>
                  <w:noWrap w:val="0"/>
                  <w:vAlign w:val="center"/>
                </w:tcPr>
                <w:p>
                  <w:pPr>
                    <w:keepNext w:val="0"/>
                    <w:keepLines w:val="0"/>
                    <w:pageBreakBefore w:val="0"/>
                    <w:widowControl w:val="0"/>
                    <w:kinsoku/>
                    <w:wordWrap/>
                    <w:overflowPunct/>
                    <w:topLinePunct w:val="0"/>
                    <w:bidi w:val="0"/>
                    <w:adjustRightInd w:val="0"/>
                    <w:snapToGrid w:val="0"/>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漯河经济技术开发区建设和环境保护局</w:t>
                  </w:r>
                </w:p>
              </w:tc>
              <w:tc>
                <w:tcPr>
                  <w:tcW w:w="1062" w:type="dxa"/>
                  <w:tcBorders>
                    <w:tl2br w:val="nil"/>
                    <w:tr2bl w:val="nil"/>
                  </w:tcBorders>
                  <w:noWrap w:val="0"/>
                  <w:vAlign w:val="center"/>
                </w:tcPr>
                <w:p>
                  <w:pPr>
                    <w:keepNext w:val="0"/>
                    <w:keepLines w:val="0"/>
                    <w:pageBreakBefore w:val="0"/>
                    <w:widowControl w:val="0"/>
                    <w:kinsoku/>
                    <w:wordWrap/>
                    <w:overflowPunct/>
                    <w:topLinePunct w:val="0"/>
                    <w:bidi w:val="0"/>
                    <w:adjustRightInd w:val="0"/>
                    <w:snapToGrid w:val="0"/>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履行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01" w:type="dxa"/>
                  <w:tcBorders>
                    <w:tl2br w:val="nil"/>
                    <w:tr2bl w:val="nil"/>
                  </w:tcBorders>
                  <w:noWrap w:val="0"/>
                  <w:vAlign w:val="center"/>
                </w:tcPr>
                <w:p>
                  <w:pPr>
                    <w:keepNext w:val="0"/>
                    <w:keepLines w:val="0"/>
                    <w:pageBreakBefore w:val="0"/>
                    <w:widowControl w:val="0"/>
                    <w:kinsoku/>
                    <w:wordWrap/>
                    <w:overflowPunct/>
                    <w:topLinePunct w:val="0"/>
                    <w:bidi w:val="0"/>
                    <w:adjustRightInd w:val="0"/>
                    <w:snapToGrid w:val="0"/>
                    <w:spacing w:line="400" w:lineRule="exact"/>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1068" w:type="dxa"/>
                  <w:tcBorders>
                    <w:tl2br w:val="nil"/>
                    <w:tr2bl w:val="nil"/>
                  </w:tcBorders>
                  <w:noWrap w:val="0"/>
                  <w:vAlign w:val="center"/>
                </w:tcPr>
                <w:p>
                  <w:pPr>
                    <w:keepNext w:val="0"/>
                    <w:keepLines w:val="0"/>
                    <w:pageBreakBefore w:val="0"/>
                    <w:widowControl w:val="0"/>
                    <w:kinsoku/>
                    <w:wordWrap/>
                    <w:overflowPunct/>
                    <w:topLinePunct w:val="0"/>
                    <w:bidi w:val="0"/>
                    <w:adjustRightInd w:val="0"/>
                    <w:snapToGrid w:val="0"/>
                    <w:spacing w:line="40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202</w:t>
                  </w:r>
                  <w:r>
                    <w:rPr>
                      <w:rFonts w:hint="default" w:ascii="Times New Roman" w:hAnsi="Times New Roman" w:cs="Times New Roman"/>
                      <w:color w:val="000000" w:themeColor="text1"/>
                      <w:sz w:val="21"/>
                      <w:szCs w:val="21"/>
                      <w:lang w:val="en-US" w:eastAsia="zh-CN"/>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5</w:t>
                  </w:r>
                  <w:r>
                    <w:rPr>
                      <w:rFonts w:hint="default" w:ascii="Times New Roman" w:hAnsi="Times New Roman" w:cs="Times New Roman"/>
                      <w:color w:val="000000" w:themeColor="text1"/>
                      <w:sz w:val="21"/>
                      <w:szCs w:val="21"/>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15</w:t>
                  </w:r>
                </w:p>
              </w:tc>
              <w:tc>
                <w:tcPr>
                  <w:tcW w:w="2754" w:type="dxa"/>
                  <w:tcBorders>
                    <w:tl2br w:val="nil"/>
                    <w:tr2bl w:val="nil"/>
                  </w:tcBorders>
                  <w:noWrap w:val="0"/>
                  <w:vAlign w:val="center"/>
                </w:tcPr>
                <w:p>
                  <w:pPr>
                    <w:keepNext w:val="0"/>
                    <w:keepLines w:val="0"/>
                    <w:pageBreakBefore w:val="0"/>
                    <w:widowControl w:val="0"/>
                    <w:kinsoku/>
                    <w:wordWrap/>
                    <w:overflowPunct/>
                    <w:topLinePunct w:val="0"/>
                    <w:bidi w:val="0"/>
                    <w:adjustRightInd w:val="0"/>
                    <w:snapToGrid w:val="0"/>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中国石化销售股份有限公司河南漯河石油分公司</w:t>
                  </w:r>
                  <w:r>
                    <w:rPr>
                      <w:rFonts w:hint="default" w:ascii="Times New Roman" w:hAnsi="Times New Roman" w:cs="Times New Roman"/>
                      <w:color w:val="000000" w:themeColor="text1"/>
                      <w:sz w:val="21"/>
                      <w:szCs w:val="21"/>
                      <w:lang w:eastAsia="zh-CN"/>
                      <w14:textFill>
                        <w14:solidFill>
                          <w14:schemeClr w14:val="tx1"/>
                        </w14:solidFill>
                      </w14:textFill>
                    </w:rPr>
                    <w:t>南环路燕山加油站</w:t>
                  </w:r>
                  <w:r>
                    <w:rPr>
                      <w:rFonts w:hint="default" w:ascii="Times New Roman" w:hAnsi="Times New Roman" w:cs="Times New Roman"/>
                      <w:color w:val="000000" w:themeColor="text1"/>
                      <w:sz w:val="21"/>
                      <w:szCs w:val="21"/>
                      <w14:textFill>
                        <w14:solidFill>
                          <w14:schemeClr w14:val="tx1"/>
                        </w14:solidFill>
                      </w14:textFill>
                    </w:rPr>
                    <w:t>排污许可证</w:t>
                  </w:r>
                </w:p>
              </w:tc>
              <w:tc>
                <w:tcPr>
                  <w:tcW w:w="1846" w:type="dxa"/>
                  <w:tcBorders>
                    <w:tl2br w:val="nil"/>
                    <w:tr2bl w:val="nil"/>
                  </w:tcBorders>
                  <w:noWrap w:val="0"/>
                  <w:vAlign w:val="center"/>
                </w:tcPr>
                <w:p>
                  <w:pPr>
                    <w:keepNext w:val="0"/>
                    <w:keepLines w:val="0"/>
                    <w:pageBreakBefore w:val="0"/>
                    <w:widowControl w:val="0"/>
                    <w:kinsoku/>
                    <w:wordWrap/>
                    <w:overflowPunct/>
                    <w:topLinePunct w:val="0"/>
                    <w:bidi w:val="0"/>
                    <w:adjustRightInd w:val="0"/>
                    <w:snapToGrid w:val="0"/>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91411100684630299Q001Q</w:t>
                  </w:r>
                </w:p>
              </w:tc>
              <w:tc>
                <w:tcPr>
                  <w:tcW w:w="1541" w:type="dxa"/>
                  <w:tcBorders>
                    <w:tl2br w:val="nil"/>
                    <w:tr2bl w:val="nil"/>
                  </w:tcBorders>
                  <w:noWrap w:val="0"/>
                  <w:vAlign w:val="center"/>
                </w:tcPr>
                <w:p>
                  <w:pPr>
                    <w:keepNext w:val="0"/>
                    <w:keepLines w:val="0"/>
                    <w:pageBreakBefore w:val="0"/>
                    <w:widowControl w:val="0"/>
                    <w:kinsoku/>
                    <w:wordWrap/>
                    <w:overflowPunct/>
                    <w:topLinePunct w:val="0"/>
                    <w:bidi w:val="0"/>
                    <w:adjustRightInd w:val="0"/>
                    <w:snapToGrid w:val="0"/>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1062" w:type="dxa"/>
                  <w:tcBorders>
                    <w:tl2br w:val="nil"/>
                    <w:tr2bl w:val="nil"/>
                  </w:tcBorders>
                  <w:noWrap w:val="0"/>
                  <w:vAlign w:val="center"/>
                </w:tcPr>
                <w:p>
                  <w:pPr>
                    <w:keepNext w:val="0"/>
                    <w:keepLines w:val="0"/>
                    <w:pageBreakBefore w:val="0"/>
                    <w:widowControl w:val="0"/>
                    <w:kinsoku/>
                    <w:wordWrap/>
                    <w:overflowPunct/>
                    <w:topLinePunct w:val="0"/>
                    <w:bidi w:val="0"/>
                    <w:adjustRightInd w:val="0"/>
                    <w:snapToGrid w:val="0"/>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w:t>
                  </w:r>
                </w:p>
              </w:tc>
            </w:tr>
          </w:tbl>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2现有工程污染物排放情况</w:t>
            </w:r>
          </w:p>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2.1废气</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2022年4月20日，中国石化销售股份有限公司河南漯河石油分公司委托河南省华威化工咨询服务有限公司对加油站油气回收系统进行了检测，根据检测结果，加油站油气回收系统密闭性液阻、加油机液阻、气液比和油气回收系统密闭点位油气泄漏浓度检测结果均满足《加油站大气污染物排放标准》（GB20952-2020）的要求。</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①汽油卸油、加油过程产生的有机废气量核算</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根据《散装液态石油产品损耗》（GB11085-89），汽油在卸油过程的损耗率0.2%、在加油过程损耗率为0.29%。现有工程针对汽油设置有卸油油气回收系统（即一次油气回收系统）和加油油气回收系统（二次油气回收系统），油气回收系统回收率95%。现有工程汽油年销售量为800t/a，汽油油气损耗量计算结果见下表。</w:t>
            </w:r>
          </w:p>
          <w:p>
            <w:pPr>
              <w:keepNext w:val="0"/>
              <w:keepLines w:val="0"/>
              <w:pageBreakBefore w:val="0"/>
              <w:widowControl/>
              <w:kinsoku/>
              <w:wordWrap/>
              <w:overflowPunct/>
              <w:topLinePunct w:val="0"/>
              <w:autoSpaceDE/>
              <w:autoSpaceDN/>
              <w:bidi w:val="0"/>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表17              汽油油气损耗量计算结果表</w:t>
            </w:r>
          </w:p>
          <w:tbl>
            <w:tblPr>
              <w:tblStyle w:val="37"/>
              <w:tblW w:w="893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88"/>
              <w:gridCol w:w="1172"/>
              <w:gridCol w:w="1200"/>
              <w:gridCol w:w="1600"/>
              <w:gridCol w:w="2221"/>
              <w:gridCol w:w="145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93" w:hRule="atLeast"/>
                <w:jc w:val="center"/>
              </w:trPr>
              <w:tc>
                <w:tcPr>
                  <w:tcW w:w="12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val="0"/>
                    <w:spacing w:line="400" w:lineRule="exact"/>
                    <w:jc w:val="center"/>
                    <w:textAlignment w:val="auto"/>
                    <w:rPr>
                      <w:rFonts w:hint="default" w:ascii="Times New Roman" w:hAnsi="Times New Roman" w:eastAsia="宋体" w:cs="Times New Roman"/>
                      <w:b/>
                      <w:bCs/>
                      <w:color w:val="000000" w:themeColor="text1"/>
                      <w:kern w:val="0"/>
                      <w:sz w:val="21"/>
                      <w:szCs w:val="21"/>
                      <w14:textFill>
                        <w14:solidFill>
                          <w14:schemeClr w14:val="tx1"/>
                        </w14:solidFill>
                      </w14:textFill>
                    </w:rPr>
                  </w:pPr>
                  <w:r>
                    <w:rPr>
                      <w:rFonts w:hint="default" w:ascii="Times New Roman" w:hAnsi="Times New Roman" w:eastAsia="宋体" w:cs="Times New Roman"/>
                      <w:b/>
                      <w:bCs/>
                      <w:color w:val="000000" w:themeColor="text1"/>
                      <w:kern w:val="0"/>
                      <w:sz w:val="21"/>
                      <w:szCs w:val="21"/>
                      <w14:textFill>
                        <w14:solidFill>
                          <w14:schemeClr w14:val="tx1"/>
                        </w14:solidFill>
                      </w14:textFill>
                    </w:rPr>
                    <w:t>项目</w:t>
                  </w:r>
                </w:p>
              </w:tc>
              <w:tc>
                <w:tcPr>
                  <w:tcW w:w="11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b/>
                      <w:bCs/>
                      <w:color w:val="000000" w:themeColor="text1"/>
                      <w:kern w:val="0"/>
                      <w:sz w:val="21"/>
                      <w:szCs w:val="21"/>
                      <w14:textFill>
                        <w14:solidFill>
                          <w14:schemeClr w14:val="tx1"/>
                        </w14:solidFill>
                      </w14:textFill>
                    </w:rPr>
                  </w:pPr>
                  <w:r>
                    <w:rPr>
                      <w:rFonts w:hint="default" w:ascii="Times New Roman" w:hAnsi="Times New Roman" w:eastAsia="宋体" w:cs="Times New Roman"/>
                      <w:b/>
                      <w:bCs/>
                      <w:color w:val="000000" w:themeColor="text1"/>
                      <w:kern w:val="0"/>
                      <w:sz w:val="21"/>
                      <w:szCs w:val="21"/>
                      <w14:textFill>
                        <w14:solidFill>
                          <w14:schemeClr w14:val="tx1"/>
                        </w14:solidFill>
                      </w14:textFill>
                    </w:rPr>
                    <w:t>损耗率</w:t>
                  </w:r>
                </w:p>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b/>
                      <w:bCs/>
                      <w:color w:val="000000" w:themeColor="text1"/>
                      <w:kern w:val="0"/>
                      <w:sz w:val="21"/>
                      <w:szCs w:val="21"/>
                      <w14:textFill>
                        <w14:solidFill>
                          <w14:schemeClr w14:val="tx1"/>
                        </w14:solidFill>
                      </w14:textFill>
                    </w:rPr>
                  </w:pPr>
                  <w:r>
                    <w:rPr>
                      <w:rFonts w:hint="default" w:ascii="Times New Roman" w:hAnsi="Times New Roman" w:eastAsia="宋体" w:cs="Times New Roman"/>
                      <w:b/>
                      <w:bCs/>
                      <w:color w:val="000000" w:themeColor="text1"/>
                      <w:kern w:val="0"/>
                      <w:sz w:val="21"/>
                      <w:szCs w:val="21"/>
                      <w14:textFill>
                        <w14:solidFill>
                          <w14:schemeClr w14:val="tx1"/>
                        </w14:solidFill>
                      </w14:textFill>
                    </w:rPr>
                    <w:t>%</w:t>
                  </w:r>
                </w:p>
              </w:tc>
              <w:tc>
                <w:tcPr>
                  <w:tcW w:w="12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b/>
                      <w:bCs/>
                      <w:color w:val="000000" w:themeColor="text1"/>
                      <w:kern w:val="0"/>
                      <w:sz w:val="21"/>
                      <w:szCs w:val="21"/>
                      <w14:textFill>
                        <w14:solidFill>
                          <w14:schemeClr w14:val="tx1"/>
                        </w14:solidFill>
                      </w14:textFill>
                    </w:rPr>
                  </w:pPr>
                  <w:r>
                    <w:rPr>
                      <w:rFonts w:hint="default" w:ascii="Times New Roman" w:hAnsi="Times New Roman" w:eastAsia="宋体" w:cs="Times New Roman"/>
                      <w:b/>
                      <w:bCs/>
                      <w:color w:val="000000" w:themeColor="text1"/>
                      <w:kern w:val="0"/>
                      <w:sz w:val="21"/>
                      <w:szCs w:val="21"/>
                      <w14:textFill>
                        <w14:solidFill>
                          <w14:schemeClr w14:val="tx1"/>
                        </w14:solidFill>
                      </w14:textFill>
                    </w:rPr>
                    <w:t>损耗量</w:t>
                  </w:r>
                </w:p>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b/>
                      <w:bCs/>
                      <w:color w:val="000000" w:themeColor="text1"/>
                      <w:kern w:val="0"/>
                      <w:sz w:val="21"/>
                      <w:szCs w:val="21"/>
                      <w14:textFill>
                        <w14:solidFill>
                          <w14:schemeClr w14:val="tx1"/>
                        </w14:solidFill>
                      </w14:textFill>
                    </w:rPr>
                  </w:pPr>
                  <w:r>
                    <w:rPr>
                      <w:rFonts w:hint="default" w:ascii="Times New Roman" w:hAnsi="Times New Roman" w:eastAsia="宋体" w:cs="Times New Roman"/>
                      <w:b/>
                      <w:bCs/>
                      <w:color w:val="000000" w:themeColor="text1"/>
                      <w:kern w:val="0"/>
                      <w:sz w:val="21"/>
                      <w:szCs w:val="21"/>
                      <w14:textFill>
                        <w14:solidFill>
                          <w14:schemeClr w14:val="tx1"/>
                        </w14:solidFill>
                      </w14:textFill>
                    </w:rPr>
                    <w:t>t/a</w:t>
                  </w:r>
                </w:p>
              </w:tc>
              <w:tc>
                <w:tcPr>
                  <w:tcW w:w="16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b/>
                      <w:bCs/>
                      <w:color w:val="000000" w:themeColor="text1"/>
                      <w:kern w:val="0"/>
                      <w:sz w:val="21"/>
                      <w:szCs w:val="21"/>
                      <w14:textFill>
                        <w14:solidFill>
                          <w14:schemeClr w14:val="tx1"/>
                        </w14:solidFill>
                      </w14:textFill>
                    </w:rPr>
                  </w:pPr>
                  <w:r>
                    <w:rPr>
                      <w:rFonts w:hint="default" w:ascii="Times New Roman" w:hAnsi="Times New Roman" w:eastAsia="宋体" w:cs="Times New Roman"/>
                      <w:b/>
                      <w:bCs/>
                      <w:color w:val="000000" w:themeColor="text1"/>
                      <w:kern w:val="0"/>
                      <w:sz w:val="21"/>
                      <w:szCs w:val="21"/>
                      <w14:textFill>
                        <w14:solidFill>
                          <w14:schemeClr w14:val="tx1"/>
                        </w14:solidFill>
                      </w14:textFill>
                    </w:rPr>
                    <w:t>油气回收率</w:t>
                  </w:r>
                </w:p>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b/>
                      <w:bCs/>
                      <w:color w:val="000000" w:themeColor="text1"/>
                      <w:kern w:val="0"/>
                      <w:sz w:val="21"/>
                      <w:szCs w:val="21"/>
                      <w14:textFill>
                        <w14:solidFill>
                          <w14:schemeClr w14:val="tx1"/>
                        </w14:solidFill>
                      </w14:textFill>
                    </w:rPr>
                  </w:pPr>
                  <w:r>
                    <w:rPr>
                      <w:rFonts w:hint="default" w:ascii="Times New Roman" w:hAnsi="Times New Roman" w:eastAsia="宋体" w:cs="Times New Roman"/>
                      <w:b/>
                      <w:bCs/>
                      <w:color w:val="000000" w:themeColor="text1"/>
                      <w:kern w:val="0"/>
                      <w:sz w:val="21"/>
                      <w:szCs w:val="21"/>
                      <w14:textFill>
                        <w14:solidFill>
                          <w14:schemeClr w14:val="tx1"/>
                        </w14:solidFill>
                      </w14:textFill>
                    </w:rPr>
                    <w:t>%</w:t>
                  </w:r>
                </w:p>
              </w:tc>
              <w:tc>
                <w:tcPr>
                  <w:tcW w:w="22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b/>
                      <w:bCs/>
                      <w:color w:val="000000" w:themeColor="text1"/>
                      <w:kern w:val="0"/>
                      <w:sz w:val="21"/>
                      <w:szCs w:val="21"/>
                      <w14:textFill>
                        <w14:solidFill>
                          <w14:schemeClr w14:val="tx1"/>
                        </w14:solidFill>
                      </w14:textFill>
                    </w:rPr>
                  </w:pPr>
                  <w:r>
                    <w:rPr>
                      <w:rFonts w:hint="default" w:ascii="Times New Roman" w:hAnsi="Times New Roman" w:eastAsia="宋体" w:cs="Times New Roman"/>
                      <w:b/>
                      <w:bCs/>
                      <w:color w:val="000000" w:themeColor="text1"/>
                      <w:kern w:val="0"/>
                      <w:sz w:val="21"/>
                      <w:szCs w:val="21"/>
                      <w14:textFill>
                        <w14:solidFill>
                          <w14:schemeClr w14:val="tx1"/>
                        </w14:solidFill>
                      </w14:textFill>
                    </w:rPr>
                    <w:t>油气回收系统收集量t/a</w:t>
                  </w:r>
                </w:p>
              </w:tc>
              <w:tc>
                <w:tcPr>
                  <w:tcW w:w="14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b/>
                      <w:bCs/>
                      <w:color w:val="000000" w:themeColor="text1"/>
                      <w:kern w:val="0"/>
                      <w:sz w:val="21"/>
                      <w:szCs w:val="21"/>
                      <w14:textFill>
                        <w14:solidFill>
                          <w14:schemeClr w14:val="tx1"/>
                        </w14:solidFill>
                      </w14:textFill>
                    </w:rPr>
                  </w:pPr>
                  <w:r>
                    <w:rPr>
                      <w:rFonts w:hint="default" w:ascii="Times New Roman" w:hAnsi="Times New Roman" w:eastAsia="宋体" w:cs="Times New Roman"/>
                      <w:b/>
                      <w:bCs/>
                      <w:color w:val="000000" w:themeColor="text1"/>
                      <w:kern w:val="0"/>
                      <w:sz w:val="21"/>
                      <w:szCs w:val="21"/>
                      <w14:textFill>
                        <w14:solidFill>
                          <w14:schemeClr w14:val="tx1"/>
                        </w14:solidFill>
                      </w14:textFill>
                    </w:rPr>
                    <w:t>油气排放量t/a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卸油</w:t>
                  </w:r>
                </w:p>
              </w:tc>
              <w:tc>
                <w:tcPr>
                  <w:tcW w:w="11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0.2</w:t>
                  </w:r>
                </w:p>
              </w:tc>
              <w:tc>
                <w:tcPr>
                  <w:tcW w:w="12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1.6</w:t>
                  </w:r>
                </w:p>
              </w:tc>
              <w:tc>
                <w:tcPr>
                  <w:tcW w:w="16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95</w:t>
                  </w:r>
                </w:p>
              </w:tc>
              <w:tc>
                <w:tcPr>
                  <w:tcW w:w="22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1.52</w:t>
                  </w:r>
                </w:p>
              </w:tc>
              <w:tc>
                <w:tcPr>
                  <w:tcW w:w="14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0.08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12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加油零售</w:t>
                  </w:r>
                </w:p>
              </w:tc>
              <w:tc>
                <w:tcPr>
                  <w:tcW w:w="11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0.29</w:t>
                  </w:r>
                </w:p>
              </w:tc>
              <w:tc>
                <w:tcPr>
                  <w:tcW w:w="12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2.32</w:t>
                  </w:r>
                </w:p>
              </w:tc>
              <w:tc>
                <w:tcPr>
                  <w:tcW w:w="16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95</w:t>
                  </w:r>
                </w:p>
              </w:tc>
              <w:tc>
                <w:tcPr>
                  <w:tcW w:w="22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2.204</w:t>
                  </w:r>
                </w:p>
              </w:tc>
              <w:tc>
                <w:tcPr>
                  <w:tcW w:w="14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0.116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12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合计损耗量</w:t>
                  </w:r>
                </w:p>
              </w:tc>
              <w:tc>
                <w:tcPr>
                  <w:tcW w:w="117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w:t>
                  </w:r>
                </w:p>
              </w:tc>
              <w:tc>
                <w:tcPr>
                  <w:tcW w:w="12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3.92</w:t>
                  </w:r>
                </w:p>
              </w:tc>
              <w:tc>
                <w:tcPr>
                  <w:tcW w:w="16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w:t>
                  </w:r>
                </w:p>
              </w:tc>
              <w:tc>
                <w:tcPr>
                  <w:tcW w:w="22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3.724</w:t>
                  </w:r>
                </w:p>
              </w:tc>
              <w:tc>
                <w:tcPr>
                  <w:tcW w:w="145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0.196</w:t>
                  </w:r>
                </w:p>
              </w:tc>
            </w:tr>
          </w:tbl>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由上表可知，现有工程汽油卸油、加油过程挥发产生的非甲烷总烃量为0.196t/a。</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②油罐小呼吸产生的有机废气</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根据《散装液态石油产品损耗》（GB11085-89），汽油在贮存（即小呼吸）过程的损耗率为0.01%。现有工程汽油销售量为800t/a，小呼吸损耗量计算结果见下表。</w:t>
            </w:r>
          </w:p>
          <w:p>
            <w:pPr>
              <w:keepNext w:val="0"/>
              <w:keepLines w:val="0"/>
              <w:pageBreakBefore w:val="0"/>
              <w:widowControl/>
              <w:kinsoku/>
              <w:wordWrap/>
              <w:overflowPunct/>
              <w:topLinePunct w:val="0"/>
              <w:autoSpaceDE/>
              <w:autoSpaceDN/>
              <w:bidi w:val="0"/>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表18                     小呼吸耗量计算结果表</w:t>
            </w:r>
          </w:p>
          <w:tbl>
            <w:tblPr>
              <w:tblStyle w:val="37"/>
              <w:tblW w:w="891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984"/>
              <w:gridCol w:w="2064"/>
              <w:gridCol w:w="1848"/>
              <w:gridCol w:w="301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项目</w:t>
                  </w:r>
                </w:p>
              </w:tc>
              <w:tc>
                <w:tcPr>
                  <w:tcW w:w="20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损耗率%</w:t>
                  </w:r>
                </w:p>
              </w:tc>
              <w:tc>
                <w:tcPr>
                  <w:tcW w:w="18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损耗量t/a</w:t>
                  </w:r>
                </w:p>
              </w:tc>
              <w:tc>
                <w:tcPr>
                  <w:tcW w:w="301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油气排放量t/a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汽油</w:t>
                  </w:r>
                </w:p>
              </w:tc>
              <w:tc>
                <w:tcPr>
                  <w:tcW w:w="20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0.01</w:t>
                  </w:r>
                </w:p>
              </w:tc>
              <w:tc>
                <w:tcPr>
                  <w:tcW w:w="18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0.08</w:t>
                  </w:r>
                </w:p>
              </w:tc>
              <w:tc>
                <w:tcPr>
                  <w:tcW w:w="301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0.08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8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合计损耗量</w:t>
                  </w:r>
                </w:p>
              </w:tc>
              <w:tc>
                <w:tcPr>
                  <w:tcW w:w="206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w:t>
                  </w:r>
                </w:p>
              </w:tc>
              <w:tc>
                <w:tcPr>
                  <w:tcW w:w="184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0.08</w:t>
                  </w:r>
                </w:p>
              </w:tc>
              <w:tc>
                <w:tcPr>
                  <w:tcW w:w="301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0.08</w:t>
                  </w:r>
                </w:p>
              </w:tc>
            </w:tr>
          </w:tbl>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由上表可知，油罐小呼吸产生的非甲烷总烃量为0.08t/a。</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根据上述分析，现有工程运营期油气产排情况见下表。</w:t>
            </w:r>
          </w:p>
          <w:p>
            <w:pPr>
              <w:keepNext w:val="0"/>
              <w:keepLines w:val="0"/>
              <w:pageBreakBefore w:val="0"/>
              <w:widowControl/>
              <w:kinsoku/>
              <w:wordWrap/>
              <w:overflowPunct/>
              <w:topLinePunct w:val="0"/>
              <w:autoSpaceDE/>
              <w:autoSpaceDN/>
              <w:bidi w:val="0"/>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表19                     项目油气产排情况一览表</w:t>
            </w:r>
          </w:p>
          <w:tbl>
            <w:tblPr>
              <w:tblStyle w:val="37"/>
              <w:tblW w:w="891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29"/>
              <w:gridCol w:w="1871"/>
              <w:gridCol w:w="2735"/>
              <w:gridCol w:w="19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90" w:hRule="atLeast"/>
                <w:jc w:val="center"/>
              </w:trPr>
              <w:tc>
                <w:tcPr>
                  <w:tcW w:w="23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项目</w:t>
                  </w:r>
                </w:p>
              </w:tc>
              <w:tc>
                <w:tcPr>
                  <w:tcW w:w="18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产生量t/a</w:t>
                  </w:r>
                </w:p>
              </w:tc>
              <w:tc>
                <w:tcPr>
                  <w:tcW w:w="273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油气回收系统收集量t/a</w:t>
                  </w:r>
                </w:p>
              </w:tc>
              <w:tc>
                <w:tcPr>
                  <w:tcW w:w="19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油气排放量t/a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23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汽油卸油、加油过程</w:t>
                  </w:r>
                </w:p>
              </w:tc>
              <w:tc>
                <w:tcPr>
                  <w:tcW w:w="18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3.92</w:t>
                  </w:r>
                </w:p>
              </w:tc>
              <w:tc>
                <w:tcPr>
                  <w:tcW w:w="273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3.724</w:t>
                  </w:r>
                </w:p>
              </w:tc>
              <w:tc>
                <w:tcPr>
                  <w:tcW w:w="19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0.196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3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油罐小呼吸</w:t>
                  </w:r>
                </w:p>
              </w:tc>
              <w:tc>
                <w:tcPr>
                  <w:tcW w:w="18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0.08</w:t>
                  </w:r>
                </w:p>
              </w:tc>
              <w:tc>
                <w:tcPr>
                  <w:tcW w:w="273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w:t>
                  </w:r>
                </w:p>
              </w:tc>
              <w:tc>
                <w:tcPr>
                  <w:tcW w:w="19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0.08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232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合计损耗量</w:t>
                  </w:r>
                </w:p>
              </w:tc>
              <w:tc>
                <w:tcPr>
                  <w:tcW w:w="187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4</w:t>
                  </w:r>
                </w:p>
              </w:tc>
              <w:tc>
                <w:tcPr>
                  <w:tcW w:w="273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3.724</w:t>
                  </w:r>
                </w:p>
              </w:tc>
              <w:tc>
                <w:tcPr>
                  <w:tcW w:w="19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0.276</w:t>
                  </w:r>
                </w:p>
              </w:tc>
            </w:tr>
          </w:tbl>
          <w:p>
            <w:pPr>
              <w:keepNext w:val="0"/>
              <w:keepLines w:val="0"/>
              <w:pageBreakBefore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由上表可知，现有工程运营期油气产生总量为4t/a，损耗的油气经油气回收系统收集后，排放量为0.276t/a。</w:t>
            </w:r>
          </w:p>
          <w:p>
            <w:pPr>
              <w:keepNext w:val="0"/>
              <w:keepLines w:val="0"/>
              <w:pageBreakBefore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2.2废水</w:t>
            </w:r>
          </w:p>
          <w:p>
            <w:pPr>
              <w:keepNext w:val="0"/>
              <w:keepLines w:val="0"/>
              <w:pageBreakBefore w:val="0"/>
              <w:kinsoku/>
              <w:wordWrap/>
              <w:overflowPunct/>
              <w:topLinePunct w:val="0"/>
              <w:autoSpaceDE/>
              <w:autoSpaceDN/>
              <w:bidi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现有工程用水主要为生活用水。现有工程生活污水排放量为</w:t>
            </w:r>
            <w:r>
              <w:rPr>
                <w:rFonts w:hint="default" w:ascii="Times New Roman" w:hAnsi="Times New Roman" w:cs="Times New Roman"/>
                <w:color w:val="000000" w:themeColor="text1"/>
                <w:sz w:val="24"/>
                <w:szCs w:val="24"/>
                <w:lang w:val="en-US" w:eastAsia="zh-CN"/>
                <w14:textFill>
                  <w14:solidFill>
                    <w14:schemeClr w14:val="tx1"/>
                  </w14:solidFill>
                </w14:textFill>
              </w:rPr>
              <w:t>160.6</w:t>
            </w:r>
            <w:r>
              <w:rPr>
                <w:rFonts w:hint="default" w:ascii="Times New Roman" w:hAnsi="Times New Roman" w:cs="Times New Roman"/>
                <w:color w:val="000000" w:themeColor="text1"/>
                <w:sz w:val="24"/>
                <w:szCs w:val="24"/>
                <w14:textFill>
                  <w14:solidFill>
                    <w14:schemeClr w14:val="tx1"/>
                  </w14:solidFill>
                </w14:textFill>
              </w:rPr>
              <w:t>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/a，经市政污水管网排入漯河经济技术产业集聚区污水处理厂处理。根据评估报告，COD、SS、NH</w:t>
            </w:r>
            <w:r>
              <w:rPr>
                <w:rFonts w:hint="default" w:ascii="Times New Roman" w:hAnsi="Times New Roman" w:cs="Times New Roman"/>
                <w:color w:val="000000" w:themeColor="text1"/>
                <w:sz w:val="24"/>
                <w:szCs w:val="24"/>
                <w:vertAlign w:val="sub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-N排放量分别为0.0</w:t>
            </w:r>
            <w:r>
              <w:rPr>
                <w:rFonts w:hint="default" w:ascii="Times New Roman" w:hAnsi="Times New Roman" w:cs="Times New Roman"/>
                <w:color w:val="000000" w:themeColor="text1"/>
                <w:sz w:val="24"/>
                <w:szCs w:val="24"/>
                <w:lang w:val="en-US" w:eastAsia="zh-CN"/>
                <w14:textFill>
                  <w14:solidFill>
                    <w14:schemeClr w14:val="tx1"/>
                  </w14:solidFill>
                </w14:textFill>
              </w:rPr>
              <w:t>241</w:t>
            </w:r>
            <w:r>
              <w:rPr>
                <w:rFonts w:hint="default" w:ascii="Times New Roman" w:hAnsi="Times New Roman" w:cs="Times New Roman"/>
                <w:color w:val="000000" w:themeColor="text1"/>
                <w:sz w:val="24"/>
                <w:szCs w:val="24"/>
                <w14:textFill>
                  <w14:solidFill>
                    <w14:schemeClr w14:val="tx1"/>
                  </w14:solidFill>
                </w14:textFill>
              </w:rPr>
              <w:t>t/a、0.0</w:t>
            </w:r>
            <w:r>
              <w:rPr>
                <w:rFonts w:hint="default" w:ascii="Times New Roman" w:hAnsi="Times New Roman" w:cs="Times New Roman"/>
                <w:color w:val="000000" w:themeColor="text1"/>
                <w:sz w:val="24"/>
                <w:szCs w:val="24"/>
                <w:lang w:val="en-US" w:eastAsia="zh-CN"/>
                <w14:textFill>
                  <w14:solidFill>
                    <w14:schemeClr w14:val="tx1"/>
                  </w14:solidFill>
                </w14:textFill>
              </w:rPr>
              <w:t>193</w:t>
            </w:r>
            <w:r>
              <w:rPr>
                <w:rFonts w:hint="default" w:ascii="Times New Roman" w:hAnsi="Times New Roman" w:cs="Times New Roman"/>
                <w:color w:val="000000" w:themeColor="text1"/>
                <w:sz w:val="24"/>
                <w:szCs w:val="24"/>
                <w14:textFill>
                  <w14:solidFill>
                    <w14:schemeClr w14:val="tx1"/>
                  </w14:solidFill>
                </w14:textFill>
              </w:rPr>
              <w:t>t/a、0.00</w:t>
            </w:r>
            <w:r>
              <w:rPr>
                <w:rFonts w:hint="default" w:ascii="Times New Roman" w:hAnsi="Times New Roman" w:cs="Times New Roman"/>
                <w:color w:val="000000" w:themeColor="text1"/>
                <w:sz w:val="24"/>
                <w:szCs w:val="24"/>
                <w:lang w:val="en-US" w:eastAsia="zh-CN"/>
                <w14:textFill>
                  <w14:solidFill>
                    <w14:schemeClr w14:val="tx1"/>
                  </w14:solidFill>
                </w14:textFill>
              </w:rPr>
              <w:t>20</w:t>
            </w:r>
            <w:r>
              <w:rPr>
                <w:rFonts w:hint="default" w:ascii="Times New Roman" w:hAnsi="Times New Roman" w:cs="Times New Roman"/>
                <w:color w:val="000000" w:themeColor="text1"/>
                <w:sz w:val="24"/>
                <w:szCs w:val="24"/>
                <w14:textFill>
                  <w14:solidFill>
                    <w14:schemeClr w14:val="tx1"/>
                  </w14:solidFill>
                </w14:textFill>
              </w:rPr>
              <w:t>t/a。</w:t>
            </w:r>
          </w:p>
          <w:p>
            <w:pPr>
              <w:keepNext w:val="0"/>
              <w:keepLines w:val="0"/>
              <w:pageBreakBefore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2.3噪声</w:t>
            </w:r>
          </w:p>
          <w:p>
            <w:pPr>
              <w:keepNext w:val="0"/>
              <w:keepLines w:val="0"/>
              <w:pageBreakBefore w:val="0"/>
              <w:widowControl/>
              <w:kinsoku/>
              <w:wordWrap/>
              <w:overflowPunct/>
              <w:topLinePunct w:val="0"/>
              <w:autoSpaceDE/>
              <w:autoSpaceDN/>
              <w:bidi w:val="0"/>
              <w:spacing w:line="480" w:lineRule="exact"/>
              <w:ind w:firstLine="480" w:firstLineChars="200"/>
              <w:jc w:val="lef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现有工程没有明显高噪声设施，检测结果见下表。</w:t>
            </w:r>
          </w:p>
          <w:p>
            <w:pPr>
              <w:keepNext w:val="0"/>
              <w:keepLines w:val="0"/>
              <w:pageBreakBefore w:val="0"/>
              <w:widowControl/>
              <w:kinsoku/>
              <w:wordWrap/>
              <w:overflowPunct/>
              <w:topLinePunct w:val="0"/>
              <w:autoSpaceDE/>
              <w:autoSpaceDN/>
              <w:bidi w:val="0"/>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表20                          噪声现状监测结果</w:t>
            </w:r>
          </w:p>
          <w:tbl>
            <w:tblPr>
              <w:tblStyle w:val="37"/>
              <w:tblW w:w="8884" w:type="dxa"/>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38"/>
              <w:gridCol w:w="1058"/>
              <w:gridCol w:w="1008"/>
              <w:gridCol w:w="967"/>
              <w:gridCol w:w="1183"/>
              <w:gridCol w:w="1042"/>
              <w:gridCol w:w="1135"/>
              <w:gridCol w:w="12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38"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
                      <w:snapToGrid w:val="0"/>
                      <w:color w:val="000000" w:themeColor="text1"/>
                      <w:sz w:val="21"/>
                      <w:szCs w:val="21"/>
                      <w14:textFill>
                        <w14:solidFill>
                          <w14:schemeClr w14:val="tx1"/>
                        </w14:solidFill>
                      </w14:textFill>
                    </w:rPr>
                  </w:pPr>
                  <w:r>
                    <w:rPr>
                      <w:rFonts w:hint="default" w:ascii="Times New Roman" w:hAnsi="Times New Roman" w:eastAsia="宋体" w:cs="Times New Roman"/>
                      <w:b/>
                      <w:snapToGrid w:val="0"/>
                      <w:color w:val="000000" w:themeColor="text1"/>
                      <w:sz w:val="21"/>
                      <w:szCs w:val="21"/>
                      <w:lang w:val="en-US" w:eastAsia="zh-CN"/>
                      <w14:textFill>
                        <w14:solidFill>
                          <w14:schemeClr w14:val="tx1"/>
                        </w14:solidFill>
                      </w14:textFill>
                    </w:rPr>
                    <w:t>检测点位名称</w:t>
                  </w:r>
                </w:p>
              </w:tc>
              <w:tc>
                <w:tcPr>
                  <w:tcW w:w="2066"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
                      <w:snapToGrid w:val="0"/>
                      <w:color w:val="000000" w:themeColor="text1"/>
                      <w:sz w:val="21"/>
                      <w:szCs w:val="21"/>
                      <w14:textFill>
                        <w14:solidFill>
                          <w14:schemeClr w14:val="tx1"/>
                        </w14:solidFill>
                      </w14:textFill>
                    </w:rPr>
                  </w:pPr>
                  <w:r>
                    <w:rPr>
                      <w:rFonts w:hint="default" w:ascii="Times New Roman" w:hAnsi="Times New Roman" w:cs="Times New Roman"/>
                      <w:b/>
                      <w:snapToGrid w:val="0"/>
                      <w:color w:val="000000" w:themeColor="text1"/>
                      <w:sz w:val="21"/>
                      <w:szCs w:val="21"/>
                      <w:lang w:val="en-US" w:eastAsia="zh-CN"/>
                      <w14:textFill>
                        <w14:solidFill>
                          <w14:schemeClr w14:val="tx1"/>
                        </w14:solidFill>
                      </w14:textFill>
                    </w:rPr>
                    <w:t>2023.09.09</w:t>
                  </w:r>
                  <w:r>
                    <w:rPr>
                      <w:rFonts w:hint="default" w:ascii="Times New Roman" w:hAnsi="Times New Roman" w:cs="Times New Roman"/>
                      <w:b/>
                      <w:snapToGrid w:val="0"/>
                      <w:color w:val="000000" w:themeColor="text1"/>
                      <w:sz w:val="21"/>
                      <w:szCs w:val="21"/>
                      <w14:textFill>
                        <w14:solidFill>
                          <w14:schemeClr w14:val="tx1"/>
                        </w14:solidFill>
                      </w14:textFill>
                    </w:rPr>
                    <w:t>检测值</w:t>
                  </w:r>
                </w:p>
              </w:tc>
              <w:tc>
                <w:tcPr>
                  <w:tcW w:w="2150"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
                      <w:snapToGrid w:val="0"/>
                      <w:color w:val="000000" w:themeColor="text1"/>
                      <w:sz w:val="21"/>
                      <w:szCs w:val="21"/>
                      <w:lang w:val="en-US" w:eastAsia="zh-CN"/>
                      <w14:textFill>
                        <w14:solidFill>
                          <w14:schemeClr w14:val="tx1"/>
                        </w14:solidFill>
                      </w14:textFill>
                    </w:rPr>
                  </w:pPr>
                  <w:r>
                    <w:rPr>
                      <w:rFonts w:hint="default" w:ascii="Times New Roman" w:hAnsi="Times New Roman" w:cs="Times New Roman"/>
                      <w:b/>
                      <w:snapToGrid w:val="0"/>
                      <w:color w:val="000000" w:themeColor="text1"/>
                      <w:sz w:val="21"/>
                      <w:szCs w:val="21"/>
                      <w:lang w:val="en-US" w:eastAsia="zh-CN"/>
                      <w14:textFill>
                        <w14:solidFill>
                          <w14:schemeClr w14:val="tx1"/>
                        </w14:solidFill>
                      </w14:textFill>
                    </w:rPr>
                    <w:t>2023.09.10</w:t>
                  </w:r>
                  <w:r>
                    <w:rPr>
                      <w:rFonts w:hint="default" w:ascii="Times New Roman" w:hAnsi="Times New Roman" w:cs="Times New Roman"/>
                      <w:b/>
                      <w:snapToGrid w:val="0"/>
                      <w:color w:val="000000" w:themeColor="text1"/>
                      <w:sz w:val="21"/>
                      <w:szCs w:val="21"/>
                      <w14:textFill>
                        <w14:solidFill>
                          <w14:schemeClr w14:val="tx1"/>
                        </w14:solidFill>
                      </w14:textFill>
                    </w:rPr>
                    <w:t>检测值</w:t>
                  </w:r>
                </w:p>
              </w:tc>
              <w:tc>
                <w:tcPr>
                  <w:tcW w:w="2177"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
                      <w:snapToGrid w:val="0"/>
                      <w:color w:val="000000" w:themeColor="text1"/>
                      <w:sz w:val="21"/>
                      <w:szCs w:val="21"/>
                      <w:lang w:val="en-US" w:eastAsia="zh-CN"/>
                      <w14:textFill>
                        <w14:solidFill>
                          <w14:schemeClr w14:val="tx1"/>
                        </w14:solidFill>
                      </w14:textFill>
                    </w:rPr>
                  </w:pPr>
                  <w:r>
                    <w:rPr>
                      <w:rFonts w:hint="default" w:ascii="Times New Roman" w:hAnsi="Times New Roman" w:cs="Times New Roman"/>
                      <w:b/>
                      <w:snapToGrid w:val="0"/>
                      <w:color w:val="000000" w:themeColor="text1"/>
                      <w:sz w:val="21"/>
                      <w:szCs w:val="21"/>
                      <w:lang w:val="en-US" w:eastAsia="zh-CN"/>
                      <w14:textFill>
                        <w14:solidFill>
                          <w14:schemeClr w14:val="tx1"/>
                        </w14:solidFill>
                      </w14:textFill>
                    </w:rPr>
                    <w:t>标准值</w:t>
                  </w:r>
                </w:p>
              </w:tc>
              <w:tc>
                <w:tcPr>
                  <w:tcW w:w="1253"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Cs/>
                      <w:snapToGrid w:val="0"/>
                      <w:color w:val="000000" w:themeColor="text1"/>
                      <w:sz w:val="21"/>
                      <w:szCs w:val="21"/>
                      <w14:textFill>
                        <w14:solidFill>
                          <w14:schemeClr w14:val="tx1"/>
                        </w14:solidFill>
                      </w14:textFill>
                    </w:rPr>
                  </w:pPr>
                  <w:r>
                    <w:rPr>
                      <w:rFonts w:hint="default" w:ascii="Times New Roman" w:hAnsi="Times New Roman" w:cs="Times New Roman"/>
                      <w:b/>
                      <w:snapToGrid w:val="0"/>
                      <w:color w:val="000000" w:themeColor="text1"/>
                      <w:sz w:val="21"/>
                      <w:szCs w:val="21"/>
                      <w14:textFill>
                        <w14:solidFill>
                          <w14:schemeClr w14:val="tx1"/>
                        </w14:solidFill>
                      </w14:textFill>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38"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
                      <w:snapToGrid w:val="0"/>
                      <w:color w:val="000000" w:themeColor="text1"/>
                      <w:sz w:val="21"/>
                      <w:szCs w:val="21"/>
                      <w14:textFill>
                        <w14:solidFill>
                          <w14:schemeClr w14:val="tx1"/>
                        </w14:solidFill>
                      </w14:textFill>
                    </w:rPr>
                  </w:pPr>
                </w:p>
              </w:tc>
              <w:tc>
                <w:tcPr>
                  <w:tcW w:w="105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
                      <w:snapToGrid w:val="0"/>
                      <w:color w:val="000000" w:themeColor="text1"/>
                      <w:sz w:val="21"/>
                      <w:szCs w:val="21"/>
                      <w14:textFill>
                        <w14:solidFill>
                          <w14:schemeClr w14:val="tx1"/>
                        </w14:solidFill>
                      </w14:textFill>
                    </w:rPr>
                  </w:pPr>
                  <w:r>
                    <w:rPr>
                      <w:rFonts w:hint="default" w:ascii="Times New Roman" w:hAnsi="Times New Roman" w:cs="Times New Roman"/>
                      <w:b/>
                      <w:snapToGrid w:val="0"/>
                      <w:color w:val="000000" w:themeColor="text1"/>
                      <w:sz w:val="21"/>
                      <w:szCs w:val="21"/>
                      <w14:textFill>
                        <w14:solidFill>
                          <w14:schemeClr w14:val="tx1"/>
                        </w14:solidFill>
                      </w14:textFill>
                    </w:rPr>
                    <w:t>昼间</w:t>
                  </w:r>
                </w:p>
              </w:tc>
              <w:tc>
                <w:tcPr>
                  <w:tcW w:w="100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
                      <w:snapToGrid w:val="0"/>
                      <w:color w:val="000000" w:themeColor="text1"/>
                      <w:sz w:val="21"/>
                      <w:szCs w:val="21"/>
                      <w14:textFill>
                        <w14:solidFill>
                          <w14:schemeClr w14:val="tx1"/>
                        </w14:solidFill>
                      </w14:textFill>
                    </w:rPr>
                  </w:pPr>
                  <w:r>
                    <w:rPr>
                      <w:rFonts w:hint="default" w:ascii="Times New Roman" w:hAnsi="Times New Roman" w:cs="Times New Roman"/>
                      <w:b/>
                      <w:snapToGrid w:val="0"/>
                      <w:color w:val="000000" w:themeColor="text1"/>
                      <w:sz w:val="21"/>
                      <w:szCs w:val="21"/>
                      <w14:textFill>
                        <w14:solidFill>
                          <w14:schemeClr w14:val="tx1"/>
                        </w14:solidFill>
                      </w14:textFill>
                    </w:rPr>
                    <w:t>夜间</w:t>
                  </w:r>
                </w:p>
              </w:tc>
              <w:tc>
                <w:tcPr>
                  <w:tcW w:w="967"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
                      <w:snapToGrid w:val="0"/>
                      <w:color w:val="000000" w:themeColor="text1"/>
                      <w:sz w:val="21"/>
                      <w:szCs w:val="21"/>
                      <w14:textFill>
                        <w14:solidFill>
                          <w14:schemeClr w14:val="tx1"/>
                        </w14:solidFill>
                      </w14:textFill>
                    </w:rPr>
                  </w:pPr>
                  <w:r>
                    <w:rPr>
                      <w:rFonts w:hint="default" w:ascii="Times New Roman" w:hAnsi="Times New Roman" w:cs="Times New Roman"/>
                      <w:b/>
                      <w:snapToGrid w:val="0"/>
                      <w:color w:val="000000" w:themeColor="text1"/>
                      <w:sz w:val="21"/>
                      <w:szCs w:val="21"/>
                      <w14:textFill>
                        <w14:solidFill>
                          <w14:schemeClr w14:val="tx1"/>
                        </w14:solidFill>
                      </w14:textFill>
                    </w:rPr>
                    <w:t>昼间</w:t>
                  </w:r>
                </w:p>
              </w:tc>
              <w:tc>
                <w:tcPr>
                  <w:tcW w:w="1183"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
                      <w:snapToGrid w:val="0"/>
                      <w:color w:val="000000" w:themeColor="text1"/>
                      <w:sz w:val="21"/>
                      <w:szCs w:val="21"/>
                      <w14:textFill>
                        <w14:solidFill>
                          <w14:schemeClr w14:val="tx1"/>
                        </w14:solidFill>
                      </w14:textFill>
                    </w:rPr>
                  </w:pPr>
                  <w:r>
                    <w:rPr>
                      <w:rFonts w:hint="default" w:ascii="Times New Roman" w:hAnsi="Times New Roman" w:cs="Times New Roman"/>
                      <w:b/>
                      <w:snapToGrid w:val="0"/>
                      <w:color w:val="000000" w:themeColor="text1"/>
                      <w:sz w:val="21"/>
                      <w:szCs w:val="21"/>
                      <w14:textFill>
                        <w14:solidFill>
                          <w14:schemeClr w14:val="tx1"/>
                        </w14:solidFill>
                      </w14:textFill>
                    </w:rPr>
                    <w:t>夜间</w:t>
                  </w:r>
                </w:p>
              </w:tc>
              <w:tc>
                <w:tcPr>
                  <w:tcW w:w="1042"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b/>
                      <w:snapToGrid w:val="0"/>
                      <w:color w:val="000000" w:themeColor="text1"/>
                      <w:sz w:val="21"/>
                      <w:szCs w:val="21"/>
                      <w14:textFill>
                        <w14:solidFill>
                          <w14:schemeClr w14:val="tx1"/>
                        </w14:solidFill>
                      </w14:textFill>
                    </w:rPr>
                    <w:t>昼间</w:t>
                  </w:r>
                </w:p>
              </w:tc>
              <w:tc>
                <w:tcPr>
                  <w:tcW w:w="1135"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b/>
                      <w:snapToGrid w:val="0"/>
                      <w:color w:val="000000" w:themeColor="text1"/>
                      <w:sz w:val="21"/>
                      <w:szCs w:val="21"/>
                      <w14:textFill>
                        <w14:solidFill>
                          <w14:schemeClr w14:val="tx1"/>
                        </w14:solidFill>
                      </w14:textFill>
                    </w:rPr>
                    <w:t>夜间</w:t>
                  </w:r>
                </w:p>
              </w:tc>
              <w:tc>
                <w:tcPr>
                  <w:tcW w:w="1253"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Cs/>
                      <w:snapToGrid w:val="0"/>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3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14:textFill>
                        <w14:solidFill>
                          <w14:schemeClr w14:val="tx1"/>
                        </w14:solidFill>
                      </w14:textFill>
                    </w:rPr>
                    <w:t>东</w:t>
                  </w:r>
                  <w:r>
                    <w:rPr>
                      <w:rFonts w:hint="default" w:ascii="Times New Roman" w:hAnsi="Times New Roman" w:eastAsia="宋体" w:cs="Times New Roman"/>
                      <w:bCs/>
                      <w:snapToGrid w:val="0"/>
                      <w:color w:val="000000" w:themeColor="text1"/>
                      <w:sz w:val="21"/>
                      <w:szCs w:val="21"/>
                      <w:lang w:eastAsia="zh-CN"/>
                      <w14:textFill>
                        <w14:solidFill>
                          <w14:schemeClr w14:val="tx1"/>
                        </w14:solidFill>
                      </w14:textFill>
                    </w:rPr>
                    <w:t>边界</w:t>
                  </w:r>
                </w:p>
              </w:tc>
              <w:tc>
                <w:tcPr>
                  <w:tcW w:w="105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54</w:t>
                  </w:r>
                </w:p>
              </w:tc>
              <w:tc>
                <w:tcPr>
                  <w:tcW w:w="100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44</w:t>
                  </w:r>
                </w:p>
              </w:tc>
              <w:tc>
                <w:tcPr>
                  <w:tcW w:w="967"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54</w:t>
                  </w:r>
                </w:p>
              </w:tc>
              <w:tc>
                <w:tcPr>
                  <w:tcW w:w="1183"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44</w:t>
                  </w:r>
                </w:p>
              </w:tc>
              <w:tc>
                <w:tcPr>
                  <w:tcW w:w="1042"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60</w:t>
                  </w:r>
                </w:p>
              </w:tc>
              <w:tc>
                <w:tcPr>
                  <w:tcW w:w="1135"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50</w:t>
                  </w:r>
                </w:p>
              </w:tc>
              <w:tc>
                <w:tcPr>
                  <w:tcW w:w="1253"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Cs/>
                      <w:snapToGrid w:val="0"/>
                      <w:color w:val="000000" w:themeColor="text1"/>
                      <w:sz w:val="21"/>
                      <w:szCs w:val="21"/>
                      <w14:textFill>
                        <w14:solidFill>
                          <w14:schemeClr w14:val="tx1"/>
                        </w14:solidFill>
                      </w14:textFill>
                    </w:rPr>
                  </w:pPr>
                  <w:r>
                    <w:rPr>
                      <w:rFonts w:hint="default" w:ascii="Times New Roman" w:hAnsi="Times New Roman" w:cs="Times New Roman"/>
                      <w:bCs/>
                      <w:snapToGrid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3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14:textFill>
                        <w14:solidFill>
                          <w14:schemeClr w14:val="tx1"/>
                        </w14:solidFill>
                      </w14:textFill>
                    </w:rPr>
                    <w:t>南</w:t>
                  </w:r>
                  <w:r>
                    <w:rPr>
                      <w:rFonts w:hint="default" w:ascii="Times New Roman" w:hAnsi="Times New Roman" w:eastAsia="宋体" w:cs="Times New Roman"/>
                      <w:bCs/>
                      <w:snapToGrid w:val="0"/>
                      <w:color w:val="000000" w:themeColor="text1"/>
                      <w:sz w:val="21"/>
                      <w:szCs w:val="21"/>
                      <w:lang w:eastAsia="zh-CN"/>
                      <w14:textFill>
                        <w14:solidFill>
                          <w14:schemeClr w14:val="tx1"/>
                        </w14:solidFill>
                      </w14:textFill>
                    </w:rPr>
                    <w:t>边界</w:t>
                  </w:r>
                </w:p>
              </w:tc>
              <w:tc>
                <w:tcPr>
                  <w:tcW w:w="105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55</w:t>
                  </w:r>
                </w:p>
              </w:tc>
              <w:tc>
                <w:tcPr>
                  <w:tcW w:w="100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45</w:t>
                  </w:r>
                </w:p>
              </w:tc>
              <w:tc>
                <w:tcPr>
                  <w:tcW w:w="967"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55</w:t>
                  </w:r>
                </w:p>
              </w:tc>
              <w:tc>
                <w:tcPr>
                  <w:tcW w:w="1183"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45</w:t>
                  </w:r>
                </w:p>
              </w:tc>
              <w:tc>
                <w:tcPr>
                  <w:tcW w:w="1042"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60</w:t>
                  </w:r>
                </w:p>
              </w:tc>
              <w:tc>
                <w:tcPr>
                  <w:tcW w:w="1135"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50</w:t>
                  </w:r>
                </w:p>
              </w:tc>
              <w:tc>
                <w:tcPr>
                  <w:tcW w:w="1253"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Cs/>
                      <w:snapToGrid w:val="0"/>
                      <w:color w:val="000000" w:themeColor="text1"/>
                      <w:sz w:val="21"/>
                      <w:szCs w:val="21"/>
                      <w14:textFill>
                        <w14:solidFill>
                          <w14:schemeClr w14:val="tx1"/>
                        </w14:solidFill>
                      </w14:textFill>
                    </w:rPr>
                  </w:pPr>
                  <w:r>
                    <w:rPr>
                      <w:rFonts w:hint="default" w:ascii="Times New Roman" w:hAnsi="Times New Roman" w:cs="Times New Roman"/>
                      <w:bCs/>
                      <w:snapToGrid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3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14:textFill>
                        <w14:solidFill>
                          <w14:schemeClr w14:val="tx1"/>
                        </w14:solidFill>
                      </w14:textFill>
                    </w:rPr>
                    <w:t>西</w:t>
                  </w:r>
                  <w:r>
                    <w:rPr>
                      <w:rFonts w:hint="default" w:ascii="Times New Roman" w:hAnsi="Times New Roman" w:eastAsia="宋体" w:cs="Times New Roman"/>
                      <w:bCs/>
                      <w:snapToGrid w:val="0"/>
                      <w:color w:val="000000" w:themeColor="text1"/>
                      <w:sz w:val="21"/>
                      <w:szCs w:val="21"/>
                      <w:lang w:eastAsia="zh-CN"/>
                      <w14:textFill>
                        <w14:solidFill>
                          <w14:schemeClr w14:val="tx1"/>
                        </w14:solidFill>
                      </w14:textFill>
                    </w:rPr>
                    <w:t>边界</w:t>
                  </w:r>
                </w:p>
              </w:tc>
              <w:tc>
                <w:tcPr>
                  <w:tcW w:w="105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52</w:t>
                  </w:r>
                </w:p>
              </w:tc>
              <w:tc>
                <w:tcPr>
                  <w:tcW w:w="100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42</w:t>
                  </w:r>
                </w:p>
              </w:tc>
              <w:tc>
                <w:tcPr>
                  <w:tcW w:w="967"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52</w:t>
                  </w:r>
                </w:p>
              </w:tc>
              <w:tc>
                <w:tcPr>
                  <w:tcW w:w="1183"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43</w:t>
                  </w:r>
                </w:p>
              </w:tc>
              <w:tc>
                <w:tcPr>
                  <w:tcW w:w="1042"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60</w:t>
                  </w:r>
                </w:p>
              </w:tc>
              <w:tc>
                <w:tcPr>
                  <w:tcW w:w="1135"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50</w:t>
                  </w:r>
                </w:p>
              </w:tc>
              <w:tc>
                <w:tcPr>
                  <w:tcW w:w="1253"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Cs/>
                      <w:snapToGrid w:val="0"/>
                      <w:color w:val="000000" w:themeColor="text1"/>
                      <w:sz w:val="21"/>
                      <w:szCs w:val="21"/>
                      <w14:textFill>
                        <w14:solidFill>
                          <w14:schemeClr w14:val="tx1"/>
                        </w14:solidFill>
                      </w14:textFill>
                    </w:rPr>
                  </w:pPr>
                  <w:r>
                    <w:rPr>
                      <w:rFonts w:hint="default" w:ascii="Times New Roman" w:hAnsi="Times New Roman" w:cs="Times New Roman"/>
                      <w:bCs/>
                      <w:snapToGrid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3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14:textFill>
                        <w14:solidFill>
                          <w14:schemeClr w14:val="tx1"/>
                        </w14:solidFill>
                      </w14:textFill>
                    </w:rPr>
                    <w:t>北</w:t>
                  </w:r>
                  <w:r>
                    <w:rPr>
                      <w:rFonts w:hint="default" w:ascii="Times New Roman" w:hAnsi="Times New Roman" w:eastAsia="宋体" w:cs="Times New Roman"/>
                      <w:bCs/>
                      <w:snapToGrid w:val="0"/>
                      <w:color w:val="000000" w:themeColor="text1"/>
                      <w:sz w:val="21"/>
                      <w:szCs w:val="21"/>
                      <w:lang w:eastAsia="zh-CN"/>
                      <w14:textFill>
                        <w14:solidFill>
                          <w14:schemeClr w14:val="tx1"/>
                        </w14:solidFill>
                      </w14:textFill>
                    </w:rPr>
                    <w:t>边界</w:t>
                  </w:r>
                </w:p>
              </w:tc>
              <w:tc>
                <w:tcPr>
                  <w:tcW w:w="105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52</w:t>
                  </w:r>
                </w:p>
              </w:tc>
              <w:tc>
                <w:tcPr>
                  <w:tcW w:w="100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43</w:t>
                  </w:r>
                </w:p>
              </w:tc>
              <w:tc>
                <w:tcPr>
                  <w:tcW w:w="967"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51</w:t>
                  </w:r>
                </w:p>
              </w:tc>
              <w:tc>
                <w:tcPr>
                  <w:tcW w:w="1183"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43</w:t>
                  </w:r>
                </w:p>
              </w:tc>
              <w:tc>
                <w:tcPr>
                  <w:tcW w:w="1042"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70</w:t>
                  </w:r>
                </w:p>
              </w:tc>
              <w:tc>
                <w:tcPr>
                  <w:tcW w:w="1135"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55</w:t>
                  </w:r>
                </w:p>
              </w:tc>
              <w:tc>
                <w:tcPr>
                  <w:tcW w:w="1253"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Cs/>
                      <w:snapToGrid w:val="0"/>
                      <w:color w:val="000000" w:themeColor="text1"/>
                      <w:sz w:val="21"/>
                      <w:szCs w:val="21"/>
                      <w14:textFill>
                        <w14:solidFill>
                          <w14:schemeClr w14:val="tx1"/>
                        </w14:solidFill>
                      </w14:textFill>
                    </w:rPr>
                  </w:pPr>
                  <w:r>
                    <w:rPr>
                      <w:rFonts w:hint="default" w:ascii="Times New Roman" w:hAnsi="Times New Roman" w:cs="Times New Roman"/>
                      <w:bCs/>
                      <w:snapToGrid w:val="0"/>
                      <w:color w:val="000000" w:themeColor="text1"/>
                      <w:sz w:val="21"/>
                      <w:szCs w:val="21"/>
                      <w14:textFill>
                        <w14:solidFill>
                          <w14:schemeClr w14:val="tx1"/>
                        </w14:solidFill>
                      </w14:textFill>
                    </w:rPr>
                    <w:t>达标</w:t>
                  </w:r>
                </w:p>
              </w:tc>
            </w:tr>
          </w:tbl>
          <w:p>
            <w:pPr>
              <w:keepNext w:val="0"/>
              <w:keepLines w:val="0"/>
              <w:pageBreakBefore w:val="0"/>
              <w:widowControl/>
              <w:kinsoku/>
              <w:wordWrap/>
              <w:overflowPunct/>
              <w:topLinePunct w:val="0"/>
              <w:autoSpaceDE/>
              <w:autoSpaceDN/>
              <w:bidi w:val="0"/>
              <w:spacing w:line="480" w:lineRule="exact"/>
              <w:ind w:firstLine="480" w:firstLineChars="200"/>
              <w:jc w:val="lef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由上表可知，项目东、西、南</w:t>
            </w:r>
            <w:r>
              <w:rPr>
                <w:rFonts w:hint="default" w:ascii="Times New Roman" w:hAnsi="Times New Roman" w:cs="Times New Roman"/>
                <w:color w:val="000000" w:themeColor="text1"/>
                <w:sz w:val="24"/>
                <w:szCs w:val="24"/>
                <w:lang w:eastAsia="zh-CN"/>
                <w14:textFill>
                  <w14:solidFill>
                    <w14:schemeClr w14:val="tx1"/>
                  </w14:solidFill>
                </w14:textFill>
              </w:rPr>
              <w:t>边界</w:t>
            </w:r>
            <w:r>
              <w:rPr>
                <w:rFonts w:hint="default" w:ascii="Times New Roman" w:hAnsi="Times New Roman" w:cs="Times New Roman"/>
                <w:color w:val="000000" w:themeColor="text1"/>
                <w:sz w:val="24"/>
                <w:szCs w:val="24"/>
                <w14:textFill>
                  <w14:solidFill>
                    <w14:schemeClr w14:val="tx1"/>
                  </w14:solidFill>
                </w14:textFill>
              </w:rPr>
              <w:t>的昼间、夜间噪声监测值均满足《声环境质量标准》（GB3096-2008）2类标准要求，北</w:t>
            </w:r>
            <w:r>
              <w:rPr>
                <w:rFonts w:hint="default" w:ascii="Times New Roman" w:hAnsi="Times New Roman" w:cs="Times New Roman"/>
                <w:color w:val="000000" w:themeColor="text1"/>
                <w:sz w:val="24"/>
                <w:szCs w:val="24"/>
                <w:lang w:eastAsia="zh-CN"/>
                <w14:textFill>
                  <w14:solidFill>
                    <w14:schemeClr w14:val="tx1"/>
                  </w14:solidFill>
                </w14:textFill>
              </w:rPr>
              <w:t>边界</w:t>
            </w:r>
            <w:r>
              <w:rPr>
                <w:rFonts w:hint="default" w:ascii="Times New Roman" w:hAnsi="Times New Roman" w:cs="Times New Roman"/>
                <w:color w:val="000000" w:themeColor="text1"/>
                <w:sz w:val="24"/>
                <w:szCs w:val="24"/>
                <w14:textFill>
                  <w14:solidFill>
                    <w14:schemeClr w14:val="tx1"/>
                  </w14:solidFill>
                </w14:textFill>
              </w:rPr>
              <w:t>的昼间、夜间噪声监测值均满足《声环境质量标准》（GB3096-2008）4a类标准要求。</w:t>
            </w:r>
          </w:p>
          <w:p>
            <w:pPr>
              <w:keepNext w:val="0"/>
              <w:keepLines w:val="0"/>
              <w:pageBreakBefore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2.4固体废物</w:t>
            </w:r>
          </w:p>
          <w:p>
            <w:pPr>
              <w:keepNext w:val="0"/>
              <w:keepLines w:val="0"/>
              <w:pageBreakBefore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现有工程固体废物主要为职工生活垃圾和油罐罐底油泥。生活垃圾通过在站区设置生活垃圾桶，收集后由环卫部门清运处理；油罐</w:t>
            </w:r>
            <w:r>
              <w:rPr>
                <w:rFonts w:hint="default" w:ascii="Times New Roman" w:hAnsi="Times New Roman" w:cs="Times New Roman"/>
                <w:color w:val="000000" w:themeColor="text1"/>
                <w:sz w:val="24"/>
                <w:szCs w:val="24"/>
                <w:lang w:val="en-US" w:eastAsia="zh-CN"/>
                <w14:textFill>
                  <w14:solidFill>
                    <w14:schemeClr w14:val="tx1"/>
                  </w14:solidFill>
                </w14:textFill>
              </w:rPr>
              <w:t>油</w:t>
            </w:r>
            <w:r>
              <w:rPr>
                <w:rFonts w:hint="default" w:ascii="Times New Roman" w:hAnsi="Times New Roman" w:cs="Times New Roman"/>
                <w:color w:val="000000" w:themeColor="text1"/>
                <w:sz w:val="24"/>
                <w:szCs w:val="24"/>
                <w14:textFill>
                  <w14:solidFill>
                    <w14:schemeClr w14:val="tx1"/>
                  </w14:solidFill>
                </w14:textFill>
              </w:rPr>
              <w:t>泥委托资质单位清罐并带走，不在站区内暂存。</w:t>
            </w:r>
          </w:p>
          <w:p>
            <w:pPr>
              <w:keepNext w:val="0"/>
              <w:keepLines w:val="0"/>
              <w:pageBreakBefore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2.5现有工程污染物排放情况</w:t>
            </w:r>
          </w:p>
          <w:p>
            <w:pPr>
              <w:keepNext w:val="0"/>
              <w:keepLines w:val="0"/>
              <w:pageBreakBefore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根据现有工程资料，现有工程污染物实际排放总量情况见下表。</w:t>
            </w:r>
          </w:p>
          <w:p>
            <w:pPr>
              <w:keepNext w:val="0"/>
              <w:keepLines w:val="0"/>
              <w:pageBreakBefore w:val="0"/>
              <w:widowControl/>
              <w:kinsoku/>
              <w:wordWrap/>
              <w:overflowPunct/>
              <w:topLinePunct w:val="0"/>
              <w:autoSpaceDE/>
              <w:autoSpaceDN/>
              <w:bidi w:val="0"/>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表21              现有工程污染物实际排放总量情况一览表</w:t>
            </w:r>
          </w:p>
          <w:tbl>
            <w:tblPr>
              <w:tblStyle w:val="37"/>
              <w:tblW w:w="896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53"/>
              <w:gridCol w:w="3820"/>
              <w:gridCol w:w="35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类别</w:t>
                  </w:r>
                </w:p>
              </w:tc>
              <w:tc>
                <w:tcPr>
                  <w:tcW w:w="38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污染物名称</w:t>
                  </w:r>
                </w:p>
              </w:tc>
              <w:tc>
                <w:tcPr>
                  <w:tcW w:w="35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现有工程实际排放量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5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废气</w:t>
                  </w:r>
                </w:p>
              </w:tc>
              <w:tc>
                <w:tcPr>
                  <w:tcW w:w="38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非甲烷总烃（无组织）</w:t>
                  </w:r>
                </w:p>
              </w:tc>
              <w:tc>
                <w:tcPr>
                  <w:tcW w:w="35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0.276t/a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155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废水</w:t>
                  </w:r>
                </w:p>
              </w:tc>
              <w:tc>
                <w:tcPr>
                  <w:tcW w:w="38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COD</w:t>
                  </w:r>
                </w:p>
              </w:tc>
              <w:tc>
                <w:tcPr>
                  <w:tcW w:w="35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241</w:t>
                  </w:r>
                  <w:r>
                    <w:rPr>
                      <w:rFonts w:hint="default" w:ascii="Times New Roman" w:hAnsi="Times New Roman" w:eastAsia="宋体" w:cs="Times New Roman"/>
                      <w:color w:val="000000" w:themeColor="text1"/>
                      <w:sz w:val="21"/>
                      <w:szCs w:val="21"/>
                      <w14:textFill>
                        <w14:solidFill>
                          <w14:schemeClr w14:val="tx1"/>
                        </w14:solidFill>
                      </w14:textFill>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155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38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氨氮</w:t>
                  </w:r>
                </w:p>
              </w:tc>
              <w:tc>
                <w:tcPr>
                  <w:tcW w:w="35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0.00</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w:t>
                  </w:r>
                  <w:r>
                    <w:rPr>
                      <w:rFonts w:hint="default" w:ascii="Times New Roman" w:hAnsi="Times New Roman" w:eastAsia="宋体" w:cs="Times New Roman"/>
                      <w:color w:val="000000" w:themeColor="text1"/>
                      <w:sz w:val="21"/>
                      <w:szCs w:val="21"/>
                      <w14:textFill>
                        <w14:solidFill>
                          <w14:schemeClr w14:val="tx1"/>
                        </w14:solidFill>
                      </w14:textFill>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155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38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SS</w:t>
                  </w:r>
                </w:p>
              </w:tc>
              <w:tc>
                <w:tcPr>
                  <w:tcW w:w="35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193</w:t>
                  </w:r>
                  <w:r>
                    <w:rPr>
                      <w:rFonts w:hint="default" w:ascii="Times New Roman" w:hAnsi="Times New Roman" w:eastAsia="宋体" w:cs="Times New Roman"/>
                      <w:color w:val="000000" w:themeColor="text1"/>
                      <w:sz w:val="21"/>
                      <w:szCs w:val="21"/>
                      <w14:textFill>
                        <w14:solidFill>
                          <w14:schemeClr w14:val="tx1"/>
                        </w14:solidFill>
                      </w14:textFill>
                    </w:rPr>
                    <w:t>t/a</w:t>
                  </w:r>
                </w:p>
              </w:tc>
            </w:tr>
          </w:tbl>
          <w:p>
            <w:pPr>
              <w:pStyle w:val="33"/>
              <w:keepNext w:val="0"/>
              <w:keepLines w:val="0"/>
              <w:pageBreakBefore w:val="0"/>
              <w:widowControl/>
              <w:kinsoku/>
              <w:wordWrap/>
              <w:overflowPunct/>
              <w:topLinePunct w:val="0"/>
              <w:autoSpaceDE/>
              <w:autoSpaceDN/>
              <w:bidi w:val="0"/>
              <w:adjustRightInd/>
              <w:snapToGrid/>
              <w:spacing w:before="0" w:beforeAutospacing="0" w:after="0" w:afterAutospacing="0" w:line="480" w:lineRule="exact"/>
              <w:jc w:val="center"/>
              <w:textAlignment w:val="auto"/>
              <w:outlineLvl w:val="0"/>
              <w:rPr>
                <w:rFonts w:hint="default" w:ascii="Times New Roman" w:hAnsi="Times New Roman" w:eastAsia="黑体" w:cs="Times New Roman"/>
                <w:snapToGrid w:val="0"/>
                <w:color w:val="000000" w:themeColor="text1"/>
                <w:sz w:val="24"/>
                <w:szCs w:val="24"/>
                <w:vertAlign w:val="baseline"/>
                <w14:textFill>
                  <w14:solidFill>
                    <w14:schemeClr w14:val="tx1"/>
                  </w14:solidFill>
                </w14:textFill>
              </w:rPr>
            </w:pPr>
          </w:p>
        </w:tc>
      </w:tr>
    </w:tbl>
    <w:p>
      <w:pPr>
        <w:bidi w:val="0"/>
        <w:rPr>
          <w:rFonts w:hint="default" w:ascii="Times New Roman" w:hAnsi="Times New Roman" w:cs="Times New Roman"/>
          <w:color w:val="000000" w:themeColor="text1"/>
          <w14:textFill>
            <w14:solidFill>
              <w14:schemeClr w14:val="tx1"/>
            </w14:solidFill>
          </w14:textFill>
        </w:rPr>
      </w:pPr>
    </w:p>
    <w:p>
      <w:pPr>
        <w:rPr>
          <w:rFonts w:hint="default" w:ascii="Times New Roman" w:hAnsi="Times New Roman" w:cs="Times New Roman"/>
          <w:color w:val="000000" w:themeColor="text1"/>
          <w14:textFill>
            <w14:solidFill>
              <w14:schemeClr w14:val="tx1"/>
            </w14:solidFill>
          </w14:textFill>
        </w:rPr>
        <w:sectPr>
          <w:pgSz w:w="11905" w:h="16838"/>
          <w:pgMar w:top="1247" w:right="1247" w:bottom="1247" w:left="1247" w:header="851" w:footer="1077" w:gutter="0"/>
          <w:pgBorders>
            <w:top w:val="none" w:sz="0" w:space="0"/>
            <w:left w:val="none" w:sz="0" w:space="0"/>
            <w:bottom w:val="none" w:sz="0" w:space="0"/>
            <w:right w:val="none" w:sz="0" w:space="0"/>
          </w:pgBorders>
          <w:cols w:space="720" w:num="1"/>
          <w:rtlGutter w:val="0"/>
          <w:docGrid w:linePitch="312" w:charSpace="0"/>
        </w:sectPr>
      </w:pPr>
    </w:p>
    <w:p>
      <w:pPr>
        <w:pStyle w:val="33"/>
        <w:jc w:val="center"/>
        <w:outlineLvl w:val="0"/>
        <w:rPr>
          <w:rFonts w:hint="default" w:ascii="Times New Roman" w:hAnsi="Times New Roman" w:eastAsia="黑体" w:cs="Times New Roman"/>
          <w:snapToGrid w:val="0"/>
          <w:color w:val="000000" w:themeColor="text1"/>
          <w:sz w:val="30"/>
          <w:szCs w:val="30"/>
          <w14:textFill>
            <w14:solidFill>
              <w14:schemeClr w14:val="tx1"/>
            </w14:solidFill>
          </w14:textFill>
        </w:rPr>
      </w:pPr>
      <w:r>
        <w:rPr>
          <w:rFonts w:hint="default" w:ascii="Times New Roman" w:hAnsi="Times New Roman" w:eastAsia="黑体" w:cs="Times New Roman"/>
          <w:snapToGrid w:val="0"/>
          <w:color w:val="000000" w:themeColor="text1"/>
          <w:sz w:val="30"/>
          <w:szCs w:val="30"/>
          <w14:textFill>
            <w14:solidFill>
              <w14:schemeClr w14:val="tx1"/>
            </w14:solidFill>
          </w14:textFill>
        </w:rPr>
        <w:t>三、区域环境质量现状、环境保护目标及评价标准</w:t>
      </w:r>
    </w:p>
    <w:tbl>
      <w:tblPr>
        <w:tblStyle w:val="37"/>
        <w:tblW w:w="969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68"/>
        <w:gridCol w:w="902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40" w:hRule="atLeast"/>
          <w:jc w:val="center"/>
        </w:trPr>
        <w:tc>
          <w:tcPr>
            <w:tcW w:w="668" w:type="dxa"/>
            <w:noWrap w:val="0"/>
            <w:vAlign w:val="center"/>
          </w:tcPr>
          <w:p>
            <w:pPr>
              <w:adjustRightInd w:val="0"/>
              <w:snapToGrid w:val="0"/>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区域</w:t>
            </w:r>
          </w:p>
          <w:p>
            <w:pPr>
              <w:adjustRightInd w:val="0"/>
              <w:snapToGrid w:val="0"/>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环境</w:t>
            </w:r>
          </w:p>
          <w:p>
            <w:pPr>
              <w:adjustRightInd w:val="0"/>
              <w:snapToGrid w:val="0"/>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质量</w:t>
            </w:r>
          </w:p>
          <w:p>
            <w:pPr>
              <w:adjustRightInd w:val="0"/>
              <w:snapToGrid w:val="0"/>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现状</w:t>
            </w:r>
          </w:p>
        </w:tc>
        <w:tc>
          <w:tcPr>
            <w:tcW w:w="9024" w:type="dxa"/>
            <w:noWrap w:val="0"/>
            <w:vAlign w:val="center"/>
          </w:tcPr>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cs="Times New Roman"/>
                <w:b/>
                <w:snapToGrid w:val="0"/>
                <w:color w:val="000000" w:themeColor="text1"/>
                <w:sz w:val="24"/>
                <w:szCs w:val="24"/>
                <w14:textFill>
                  <w14:solidFill>
                    <w14:schemeClr w14:val="tx1"/>
                  </w14:solidFill>
                </w14:textFill>
              </w:rPr>
            </w:pPr>
            <w:r>
              <w:rPr>
                <w:rFonts w:hint="default" w:ascii="Times New Roman" w:hAnsi="Times New Roman" w:cs="Times New Roman"/>
                <w:b/>
                <w:snapToGrid w:val="0"/>
                <w:color w:val="000000" w:themeColor="text1"/>
                <w:sz w:val="24"/>
                <w:szCs w:val="24"/>
                <w14:textFill>
                  <w14:solidFill>
                    <w14:schemeClr w14:val="tx1"/>
                  </w14:solidFill>
                </w14:textFill>
              </w:rPr>
              <w:t>1、环境空气质量现状</w:t>
            </w:r>
          </w:p>
          <w:p>
            <w:pPr>
              <w:keepNext w:val="0"/>
              <w:keepLines w:val="0"/>
              <w:pageBreakBefore w:val="0"/>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1.1空气质量达标区判定</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 w:val="0"/>
                <w:bCs/>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kern w:val="2"/>
                <w:sz w:val="24"/>
                <w:szCs w:val="24"/>
                <w:highlight w:val="none"/>
                <w:u w:val="none"/>
                <w:lang w:val="en-US" w:eastAsia="zh-CN" w:bidi="ar-SA"/>
                <w14:textFill>
                  <w14:solidFill>
                    <w14:schemeClr w14:val="tx1"/>
                  </w14:solidFill>
                </w14:textFill>
              </w:rPr>
              <w:t>根据环境空气质量功能区划分，项目所在地为二类功能区，执行《环境空气质量标准》（GB3095-2012）二级标准。</w:t>
            </w:r>
            <w:r>
              <w:rPr>
                <w:rFonts w:hint="default" w:ascii="Times New Roman" w:hAnsi="Times New Roman" w:cs="Times New Roman"/>
                <w:color w:val="000000" w:themeColor="text1"/>
                <w:sz w:val="24"/>
                <w:szCs w:val="24"/>
                <w:highlight w:val="none"/>
                <w14:textFill>
                  <w14:solidFill>
                    <w14:schemeClr w14:val="tx1"/>
                  </w14:solidFill>
                </w14:textFill>
              </w:rPr>
              <w:t>本项目环境空气质量现状评价采用</w:t>
            </w:r>
            <w:r>
              <w:rPr>
                <w:rFonts w:hint="default" w:ascii="Times New Roman" w:hAnsi="Times New Roman" w:cs="Times New Roman"/>
                <w:bCs/>
                <w:color w:val="000000" w:themeColor="text1"/>
                <w:sz w:val="24"/>
                <w:szCs w:val="24"/>
                <w:highlight w:val="none"/>
                <w14:textFill>
                  <w14:solidFill>
                    <w14:schemeClr w14:val="tx1"/>
                  </w14:solidFill>
                </w14:textFill>
              </w:rPr>
              <w:t>漯河生态环境局公布2022年漯河市环境质量公告</w:t>
            </w:r>
            <w:r>
              <w:rPr>
                <w:rFonts w:hint="default" w:ascii="Times New Roman" w:hAnsi="Times New Roman" w:cs="Times New Roman"/>
                <w:color w:val="000000" w:themeColor="text1"/>
                <w:sz w:val="24"/>
                <w:szCs w:val="24"/>
                <w:highlight w:val="none"/>
                <w14:textFill>
                  <w14:solidFill>
                    <w14:schemeClr w14:val="tx1"/>
                  </w14:solidFill>
                </w14:textFill>
              </w:rPr>
              <w:t>，2022年全市环境空气中二氧化硫（SO</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）年均值为8μg/m</w:t>
            </w:r>
            <w:r>
              <w:rPr>
                <w:rFonts w:hint="default" w:ascii="Times New Roman" w:hAnsi="Times New Roman"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，二氧化氮</w:t>
            </w:r>
            <w:r>
              <w:rPr>
                <w:rFonts w:hint="default" w:ascii="Times New Roman" w:hAnsi="Times New Roman" w:cs="Times New Roman"/>
                <w:color w:val="000000" w:themeColor="text1"/>
                <w:sz w:val="24"/>
                <w:highlight w:val="none"/>
                <w14:textFill>
                  <w14:solidFill>
                    <w14:schemeClr w14:val="tx1"/>
                  </w14:solidFill>
                </w14:textFill>
              </w:rPr>
              <w:t>（NO</w:t>
            </w:r>
            <w:r>
              <w:rPr>
                <w:rFonts w:hint="default" w:ascii="Times New Roman" w:hAnsi="Times New Roman" w:cs="Times New Roman"/>
                <w:color w:val="000000" w:themeColor="text1"/>
                <w:sz w:val="24"/>
                <w:highlight w:val="none"/>
                <w:vertAlign w:val="sub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）年均值为22μg/m</w:t>
            </w:r>
            <w:r>
              <w:rPr>
                <w:rFonts w:hint="default" w:ascii="Times New Roman" w:hAnsi="Times New Roman" w:cs="Times New Roman"/>
                <w:color w:val="000000" w:themeColor="text1"/>
                <w:sz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，可吸入颗粒物（PM</w:t>
            </w:r>
            <w:r>
              <w:rPr>
                <w:rFonts w:hint="default" w:ascii="Times New Roman" w:hAnsi="Times New Roman" w:cs="Times New Roman"/>
                <w:color w:val="000000" w:themeColor="text1"/>
                <w:sz w:val="24"/>
                <w:highlight w:val="none"/>
                <w:vertAlign w:val="subscript"/>
                <w14:textFill>
                  <w14:solidFill>
                    <w14:schemeClr w14:val="tx1"/>
                  </w14:solidFill>
                </w14:textFill>
              </w:rPr>
              <w:t>10</w:t>
            </w:r>
            <w:r>
              <w:rPr>
                <w:rFonts w:hint="default" w:ascii="Times New Roman" w:hAnsi="Times New Roman" w:cs="Times New Roman"/>
                <w:color w:val="000000" w:themeColor="text1"/>
                <w:sz w:val="24"/>
                <w:highlight w:val="none"/>
                <w14:textFill>
                  <w14:solidFill>
                    <w14:schemeClr w14:val="tx1"/>
                  </w14:solidFill>
                </w14:textFill>
              </w:rPr>
              <w:t>）年均值为80μg/m</w:t>
            </w:r>
            <w:r>
              <w:rPr>
                <w:rFonts w:hint="default" w:ascii="Times New Roman" w:hAnsi="Times New Roman" w:cs="Times New Roman"/>
                <w:color w:val="000000" w:themeColor="text1"/>
                <w:sz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，细颗粒物（PM</w:t>
            </w:r>
            <w:r>
              <w:rPr>
                <w:rFonts w:hint="default" w:ascii="Times New Roman" w:hAnsi="Times New Roman" w:cs="Times New Roman"/>
                <w:color w:val="000000" w:themeColor="text1"/>
                <w:sz w:val="24"/>
                <w:highlight w:val="none"/>
                <w:vertAlign w:val="subscript"/>
                <w14:textFill>
                  <w14:solidFill>
                    <w14:schemeClr w14:val="tx1"/>
                  </w14:solidFill>
                </w14:textFill>
              </w:rPr>
              <w:t>2.5</w:t>
            </w:r>
            <w:r>
              <w:rPr>
                <w:rFonts w:hint="default" w:ascii="Times New Roman" w:hAnsi="Times New Roman" w:cs="Times New Roman"/>
                <w:color w:val="000000" w:themeColor="text1"/>
                <w:sz w:val="24"/>
                <w:highlight w:val="none"/>
                <w14:textFill>
                  <w14:solidFill>
                    <w14:schemeClr w14:val="tx1"/>
                  </w14:solidFill>
                </w14:textFill>
              </w:rPr>
              <w:t>）年均值为51μg/m</w:t>
            </w:r>
            <w:r>
              <w:rPr>
                <w:rFonts w:hint="default" w:ascii="Times New Roman" w:hAnsi="Times New Roman" w:cs="Times New Roman"/>
                <w:color w:val="000000" w:themeColor="text1"/>
                <w:sz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，臭氧8小时为111μg/m</w:t>
            </w:r>
            <w:r>
              <w:rPr>
                <w:rFonts w:hint="default" w:ascii="Times New Roman" w:hAnsi="Times New Roman" w:cs="Times New Roman"/>
                <w:color w:val="000000" w:themeColor="text1"/>
                <w:sz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，一氧化碳年均值为0.7mg/m</w:t>
            </w:r>
            <w:r>
              <w:rPr>
                <w:rFonts w:hint="default" w:ascii="Times New Roman" w:hAnsi="Times New Roman" w:cs="Times New Roman"/>
                <w:color w:val="000000" w:themeColor="text1"/>
                <w:sz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。对照《环境空气质量标准》（GB3095-2012）二级标准，PM</w:t>
            </w:r>
            <w:r>
              <w:rPr>
                <w:rFonts w:hint="default" w:ascii="Times New Roman" w:hAnsi="Times New Roman" w:cs="Times New Roman"/>
                <w:color w:val="000000" w:themeColor="text1"/>
                <w:sz w:val="24"/>
                <w:highlight w:val="none"/>
                <w:vertAlign w:val="subscript"/>
                <w14:textFill>
                  <w14:solidFill>
                    <w14:schemeClr w14:val="tx1"/>
                  </w14:solidFill>
                </w14:textFill>
              </w:rPr>
              <w:t>10</w:t>
            </w:r>
            <w:r>
              <w:rPr>
                <w:rFonts w:hint="default" w:ascii="Times New Roman" w:hAnsi="Times New Roman" w:cs="Times New Roman"/>
                <w:color w:val="000000" w:themeColor="text1"/>
                <w:sz w:val="24"/>
                <w:highlight w:val="none"/>
                <w14:textFill>
                  <w14:solidFill>
                    <w14:schemeClr w14:val="tx1"/>
                  </w14:solidFill>
                </w14:textFill>
              </w:rPr>
              <w:t>和PM</w:t>
            </w:r>
            <w:r>
              <w:rPr>
                <w:rFonts w:hint="default" w:ascii="Times New Roman" w:hAnsi="Times New Roman" w:cs="Times New Roman"/>
                <w:color w:val="000000" w:themeColor="text1"/>
                <w:sz w:val="24"/>
                <w:highlight w:val="none"/>
                <w:vertAlign w:val="subscript"/>
                <w14:textFill>
                  <w14:solidFill>
                    <w14:schemeClr w14:val="tx1"/>
                  </w14:solidFill>
                </w14:textFill>
              </w:rPr>
              <w:t>2.5</w:t>
            </w:r>
            <w:r>
              <w:rPr>
                <w:rFonts w:hint="default" w:ascii="Times New Roman" w:hAnsi="Times New Roman" w:cs="Times New Roman"/>
                <w:color w:val="000000" w:themeColor="text1"/>
                <w:sz w:val="24"/>
                <w:highlight w:val="none"/>
                <w14:textFill>
                  <w14:solidFill>
                    <w14:schemeClr w14:val="tx1"/>
                  </w14:solidFill>
                </w14:textFill>
              </w:rPr>
              <w:t>均超标，所以本项目所在区域为环境空气质量不达标区</w:t>
            </w:r>
            <w:r>
              <w:rPr>
                <w:rFonts w:hint="default" w:ascii="Times New Roman" w:hAnsi="Times New Roman" w:eastAsia="宋体" w:cs="Times New Roman"/>
                <w:b w:val="0"/>
                <w:bCs/>
                <w:color w:val="000000" w:themeColor="text1"/>
                <w:kern w:val="2"/>
                <w:sz w:val="24"/>
                <w:szCs w:val="24"/>
                <w:highlight w:val="none"/>
                <w:u w:val="none"/>
                <w:lang w:val="en-US" w:eastAsia="zh-CN" w:bidi="ar-SA"/>
                <w14:textFill>
                  <w14:solidFill>
                    <w14:schemeClr w14:val="tx1"/>
                  </w14:solidFill>
                </w14:textFill>
              </w:rPr>
              <w:t>。</w:t>
            </w:r>
          </w:p>
          <w:p>
            <w:pPr>
              <w:pStyle w:val="123"/>
              <w:keepNext w:val="0"/>
              <w:keepLines w:val="0"/>
              <w:pageBreakBefore w:val="0"/>
              <w:widowControl w:val="0"/>
              <w:kinsoku/>
              <w:wordWrap/>
              <w:overflowPunct/>
              <w:topLinePunct w:val="0"/>
              <w:bidi w:val="0"/>
              <w:spacing w:line="480" w:lineRule="exact"/>
              <w:ind w:firstLine="480"/>
              <w:textAlignment w:val="auto"/>
              <w:rPr>
                <w:rFonts w:hint="default" w:ascii="Times New Roman" w:hAnsi="Times New Roman" w:cs="Times New Roman"/>
                <w:b w:val="0"/>
                <w:bCs w:val="0"/>
                <w:color w:val="000000" w:themeColor="text1"/>
                <w:sz w:val="24"/>
                <w:szCs w:val="24"/>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24"/>
                <w:szCs w:val="24"/>
                <w:u w:val="none" w:color="auto"/>
                <w:lang w:val="en-US" w:eastAsia="zh-CN"/>
                <w14:textFill>
                  <w14:solidFill>
                    <w14:schemeClr w14:val="tx1"/>
                  </w14:solidFill>
                </w14:textFill>
              </w:rPr>
              <w:t>针对环境空气质量不达标的情况，漯河市正在实施《漯河市蓝天工程行动计划》《漯河市2022年大气污染防治攻坚战实施方案》，进一步促进空气质量改善；根据方案要求，2022年全市可吸入颗粒物（PM</w:t>
            </w:r>
            <w:r>
              <w:rPr>
                <w:rFonts w:hint="default" w:ascii="Times New Roman" w:hAnsi="Times New Roman" w:cs="Times New Roman"/>
                <w:b w:val="0"/>
                <w:bCs w:val="0"/>
                <w:color w:val="000000" w:themeColor="text1"/>
                <w:sz w:val="24"/>
                <w:szCs w:val="24"/>
                <w:u w:val="none" w:color="auto"/>
                <w:vertAlign w:val="subscript"/>
                <w:lang w:val="en-US" w:eastAsia="zh-CN"/>
                <w14:textFill>
                  <w14:solidFill>
                    <w14:schemeClr w14:val="tx1"/>
                  </w14:solidFill>
                </w14:textFill>
              </w:rPr>
              <w:t>10</w:t>
            </w:r>
            <w:r>
              <w:rPr>
                <w:rFonts w:hint="default" w:ascii="Times New Roman" w:hAnsi="Times New Roman" w:cs="Times New Roman"/>
                <w:b w:val="0"/>
                <w:bCs w:val="0"/>
                <w:color w:val="000000" w:themeColor="text1"/>
                <w:sz w:val="24"/>
                <w:szCs w:val="24"/>
                <w:u w:val="none" w:color="auto"/>
                <w:lang w:val="en-US" w:eastAsia="zh-CN"/>
                <w14:textFill>
                  <w14:solidFill>
                    <w14:schemeClr w14:val="tx1"/>
                  </w14:solidFill>
                </w14:textFill>
              </w:rPr>
              <w:t>）年均浓度控制在83微克/立方米以下，细颗粒物（PM</w:t>
            </w:r>
            <w:r>
              <w:rPr>
                <w:rFonts w:hint="default" w:ascii="Times New Roman" w:hAnsi="Times New Roman" w:cs="Times New Roman"/>
                <w:b w:val="0"/>
                <w:bCs w:val="0"/>
                <w:color w:val="000000" w:themeColor="text1"/>
                <w:sz w:val="24"/>
                <w:szCs w:val="24"/>
                <w:u w:val="none" w:color="auto"/>
                <w:vertAlign w:val="subscript"/>
                <w:lang w:val="en-US" w:eastAsia="zh-CN"/>
                <w14:textFill>
                  <w14:solidFill>
                    <w14:schemeClr w14:val="tx1"/>
                  </w14:solidFill>
                </w14:textFill>
              </w:rPr>
              <w:t>2.5</w:t>
            </w:r>
            <w:r>
              <w:rPr>
                <w:rFonts w:hint="default" w:ascii="Times New Roman" w:hAnsi="Times New Roman" w:cs="Times New Roman"/>
                <w:b w:val="0"/>
                <w:bCs w:val="0"/>
                <w:color w:val="000000" w:themeColor="text1"/>
                <w:sz w:val="24"/>
                <w:szCs w:val="24"/>
                <w:u w:val="none" w:color="auto"/>
                <w:lang w:val="en-US" w:eastAsia="zh-CN"/>
                <w14:textFill>
                  <w14:solidFill>
                    <w14:schemeClr w14:val="tx1"/>
                  </w14:solidFill>
                </w14:textFill>
              </w:rPr>
              <w:t>）年均浓度控制在51微克/立方米以下，环境空气质量优良天数不少于251天，重度及以上污染天数不超过12天，5-9月份臭氧（O</w:t>
            </w:r>
            <w:r>
              <w:rPr>
                <w:rFonts w:hint="default" w:ascii="Times New Roman" w:hAnsi="Times New Roman" w:cs="Times New Roman"/>
                <w:b w:val="0"/>
                <w:bCs w:val="0"/>
                <w:color w:val="000000" w:themeColor="text1"/>
                <w:sz w:val="24"/>
                <w:szCs w:val="24"/>
                <w:u w:val="none" w:color="auto"/>
                <w:vertAlign w:val="subscript"/>
                <w:lang w:val="en-US" w:eastAsia="zh-CN"/>
                <w14:textFill>
                  <w14:solidFill>
                    <w14:schemeClr w14:val="tx1"/>
                  </w14:solidFill>
                </w14:textFill>
              </w:rPr>
              <w:t>3</w:t>
            </w:r>
            <w:r>
              <w:rPr>
                <w:rFonts w:hint="default" w:ascii="Times New Roman" w:hAnsi="Times New Roman" w:cs="Times New Roman"/>
                <w:b w:val="0"/>
                <w:bCs w:val="0"/>
                <w:color w:val="000000" w:themeColor="text1"/>
                <w:sz w:val="24"/>
                <w:szCs w:val="24"/>
                <w:u w:val="none" w:color="auto"/>
                <w:lang w:val="en-US" w:eastAsia="zh-CN"/>
                <w14:textFill>
                  <w14:solidFill>
                    <w14:schemeClr w14:val="tx1"/>
                  </w14:solidFill>
                </w14:textFill>
              </w:rPr>
              <w:t>）超标天数不超过26天</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2023年</w:t>
            </w:r>
            <w:r>
              <w:rPr>
                <w:rFonts w:hint="default" w:ascii="Times New Roman" w:hAnsi="Times New Roman" w:cs="Times New Roman"/>
                <w:bCs/>
                <w:color w:val="000000" w:themeColor="text1"/>
                <w:sz w:val="24"/>
                <w:szCs w:val="24"/>
                <w14:textFill>
                  <w14:solidFill>
                    <w14:schemeClr w14:val="tx1"/>
                  </w14:solidFill>
                </w14:textFill>
              </w:rPr>
              <w:t>漯河市生态环境</w:t>
            </w:r>
            <w:r>
              <w:rPr>
                <w:rFonts w:hint="default" w:ascii="Times New Roman" w:hAnsi="Times New Roman" w:cs="Times New Roman"/>
                <w:bCs/>
                <w:color w:val="000000" w:themeColor="text1"/>
                <w:sz w:val="24"/>
                <w:szCs w:val="24"/>
                <w:lang w:val="en-US" w:eastAsia="zh-CN"/>
                <w14:textFill>
                  <w14:solidFill>
                    <w14:schemeClr w14:val="tx1"/>
                  </w14:solidFill>
                </w14:textFill>
              </w:rPr>
              <w:t>发布了</w:t>
            </w:r>
            <w:r>
              <w:rPr>
                <w:rFonts w:hint="default" w:ascii="Times New Roman" w:hAnsi="Times New Roman" w:cs="Times New Roman"/>
                <w:bCs/>
                <w:color w:val="000000" w:themeColor="text1"/>
                <w:sz w:val="24"/>
                <w:szCs w:val="24"/>
                <w14:textFill>
                  <w14:solidFill>
                    <w14:schemeClr w14:val="tx1"/>
                  </w14:solidFill>
                </w14:textFill>
              </w:rPr>
              <w:t>《关于印发漯河市2023年蓝天保卫战实施方案的通知》漯环委办[2023]18号</w:t>
            </w:r>
            <w:r>
              <w:rPr>
                <w:rFonts w:hint="default" w:ascii="Times New Roman" w:hAnsi="Times New Roman" w:cs="Times New Roman"/>
                <w:bCs/>
                <w:color w:val="000000" w:themeColor="text1"/>
                <w:sz w:val="24"/>
                <w:szCs w:val="24"/>
                <w:lang w:val="en-US" w:eastAsia="zh-CN"/>
                <w14:textFill>
                  <w14:solidFill>
                    <w14:schemeClr w14:val="tx1"/>
                  </w14:solidFill>
                </w14:textFill>
              </w:rPr>
              <w:t>文件，进一步提出</w:t>
            </w:r>
            <w:r>
              <w:rPr>
                <w:rFonts w:hint="default" w:ascii="Times New Roman" w:hAnsi="Times New Roman" w:cs="Times New Roman"/>
                <w:b w:val="0"/>
                <w:bCs w:val="0"/>
                <w:color w:val="000000" w:themeColor="text1"/>
                <w:sz w:val="24"/>
                <w:szCs w:val="24"/>
                <w:u w:val="none" w:color="auto"/>
                <w:lang w:val="en-US" w:eastAsia="zh-CN"/>
                <w14:textFill>
                  <w14:solidFill>
                    <w14:schemeClr w14:val="tx1"/>
                  </w14:solidFill>
                </w14:textFill>
              </w:rPr>
              <w:t>空气质量改善计划。</w:t>
            </w:r>
            <w:r>
              <w:rPr>
                <w:rFonts w:hint="default" w:ascii="Times New Roman" w:hAnsi="Times New Roman" w:eastAsia="FZSSK--GBK1-0" w:cs="Times New Roman"/>
                <w:b w:val="0"/>
                <w:bCs w:val="0"/>
                <w:i w:val="0"/>
                <w:iCs w:val="0"/>
                <w:color w:val="000000" w:themeColor="text1"/>
                <w:kern w:val="0"/>
                <w:sz w:val="24"/>
                <w:szCs w:val="24"/>
                <w:lang w:val="en-US" w:eastAsia="zh-CN" w:bidi="ar"/>
                <w14:textFill>
                  <w14:solidFill>
                    <w14:schemeClr w14:val="tx1"/>
                  </w14:solidFill>
                </w14:textFill>
              </w:rPr>
              <w:t>通过以上大气污染治理措施的实施，预计区域环境空气质量将会逐步改善。</w:t>
            </w:r>
          </w:p>
          <w:p>
            <w:pPr>
              <w:keepNext w:val="0"/>
              <w:keepLines w:val="0"/>
              <w:pageBreakBefore w:val="0"/>
              <w:widowControl/>
              <w:kinsoku/>
              <w:wordWrap/>
              <w:overflowPunct/>
              <w:topLinePunct w:val="0"/>
              <w:bidi w:val="0"/>
              <w:spacing w:line="480" w:lineRule="exact"/>
              <w:ind w:firstLine="482" w:firstLineChars="200"/>
              <w:textAlignment w:val="auto"/>
              <w:rPr>
                <w:rFonts w:hint="default" w:ascii="Times New Roman" w:hAnsi="Times New Roman" w:cs="Times New Roman"/>
                <w:b/>
                <w:snapToGrid w:val="0"/>
                <w:color w:val="000000" w:themeColor="text1"/>
                <w:sz w:val="24"/>
                <w:szCs w:val="24"/>
                <w14:textFill>
                  <w14:solidFill>
                    <w14:schemeClr w14:val="tx1"/>
                  </w14:solidFill>
                </w14:textFill>
              </w:rPr>
            </w:pPr>
            <w:r>
              <w:rPr>
                <w:rFonts w:hint="default" w:ascii="Times New Roman" w:hAnsi="Times New Roman" w:cs="Times New Roman"/>
                <w:b/>
                <w:snapToGrid w:val="0"/>
                <w:color w:val="000000" w:themeColor="text1"/>
                <w:sz w:val="24"/>
                <w:szCs w:val="24"/>
                <w14:textFill>
                  <w14:solidFill>
                    <w14:schemeClr w14:val="tx1"/>
                  </w14:solidFill>
                </w14:textFill>
              </w:rPr>
              <w:t>1.2特征污染物环境质量现状数据</w:t>
            </w:r>
          </w:p>
          <w:p>
            <w:pPr>
              <w:keepNext w:val="0"/>
              <w:keepLines w:val="0"/>
              <w:pageBreakBefore w:val="0"/>
              <w:widowControl/>
              <w:kinsoku/>
              <w:wordWrap/>
              <w:overflowPunct/>
              <w:topLinePunct w:val="0"/>
              <w:bidi w:val="0"/>
              <w:spacing w:line="480" w:lineRule="exact"/>
              <w:ind w:firstLine="480" w:firstLineChars="200"/>
              <w:textAlignment w:val="auto"/>
              <w:rPr>
                <w:rFonts w:hint="default" w:ascii="Times New Roman" w:hAnsi="Times New Roman" w:cs="Times New Roman"/>
                <w:bCs/>
                <w:snapToGrid w:val="0"/>
                <w:color w:val="000000" w:themeColor="text1"/>
                <w:sz w:val="24"/>
                <w:szCs w:val="24"/>
                <w14:textFill>
                  <w14:solidFill>
                    <w14:schemeClr w14:val="tx1"/>
                  </w14:solidFill>
                </w14:textFill>
              </w:rPr>
            </w:pPr>
            <w:r>
              <w:rPr>
                <w:rFonts w:hint="default" w:ascii="Times New Roman" w:hAnsi="Times New Roman" w:eastAsia="宋体" w:cs="Times New Roman"/>
                <w:bCs/>
                <w:snapToGrid w:val="0"/>
                <w:color w:val="000000" w:themeColor="text1"/>
                <w:sz w:val="24"/>
                <w:szCs w:val="24"/>
                <w:lang w:val="en-US" w:eastAsia="zh-CN"/>
                <w14:textFill>
                  <w14:solidFill>
                    <w14:schemeClr w14:val="tx1"/>
                  </w14:solidFill>
                </w14:textFill>
              </w:rPr>
              <w:t>本项目特征因子为非甲烷总烃。评价引用《漯河沙河实业有限公司年产20万箱烟标建设项目环境影响报告书》中的</w:t>
            </w:r>
            <w:r>
              <w:rPr>
                <w:rFonts w:hint="default" w:ascii="Times New Roman" w:hAnsi="Times New Roman" w:cs="Times New Roman"/>
                <w:color w:val="000000" w:themeColor="text1"/>
                <w:kern w:val="0"/>
                <w:sz w:val="24"/>
                <w:szCs w:val="24"/>
                <w:lang w:val="en-US" w:eastAsia="zh-CN"/>
                <w14:textFill>
                  <w14:solidFill>
                    <w14:schemeClr w14:val="tx1"/>
                  </w14:solidFill>
                </w14:textFill>
              </w:rPr>
              <w:t>检测</w:t>
            </w:r>
            <w:r>
              <w:rPr>
                <w:rFonts w:hint="default" w:ascii="Times New Roman" w:hAnsi="Times New Roman" w:eastAsia="宋体" w:cs="Times New Roman"/>
                <w:bCs/>
                <w:snapToGrid w:val="0"/>
                <w:color w:val="000000" w:themeColor="text1"/>
                <w:sz w:val="24"/>
                <w:szCs w:val="24"/>
                <w:lang w:val="en-US" w:eastAsia="zh-CN"/>
                <w14:textFill>
                  <w14:solidFill>
                    <w14:schemeClr w14:val="tx1"/>
                  </w14:solidFill>
                </w14:textFill>
              </w:rPr>
              <w:t>数据（2022年6月10日至16日）。</w:t>
            </w:r>
            <w:r>
              <w:rPr>
                <w:rFonts w:hint="default" w:ascii="Times New Roman" w:hAnsi="Times New Roman" w:cs="Times New Roman"/>
                <w:color w:val="000000" w:themeColor="text1"/>
                <w:kern w:val="0"/>
                <w:sz w:val="24"/>
                <w:szCs w:val="24"/>
                <w:lang w:val="en-US" w:eastAsia="zh-CN"/>
                <w14:textFill>
                  <w14:solidFill>
                    <w14:schemeClr w14:val="tx1"/>
                  </w14:solidFill>
                </w14:textFill>
              </w:rPr>
              <w:t>检测</w:t>
            </w:r>
            <w:r>
              <w:rPr>
                <w:rFonts w:hint="default" w:ascii="Times New Roman" w:hAnsi="Times New Roman" w:eastAsia="宋体" w:cs="Times New Roman"/>
                <w:bCs/>
                <w:snapToGrid w:val="0"/>
                <w:color w:val="000000" w:themeColor="text1"/>
                <w:sz w:val="24"/>
                <w:szCs w:val="24"/>
                <w:lang w:val="en-US" w:eastAsia="zh-CN"/>
                <w14:textFill>
                  <w14:solidFill>
                    <w14:schemeClr w14:val="tx1"/>
                  </w14:solidFill>
                </w14:textFill>
              </w:rPr>
              <w:t>点位：白坡村（位于本项目东南988m）。特征因子质量</w:t>
            </w:r>
            <w:r>
              <w:rPr>
                <w:rFonts w:hint="default" w:ascii="Times New Roman" w:hAnsi="Times New Roman" w:eastAsia="宋体" w:cs="Times New Roman"/>
                <w:bCs/>
                <w:snapToGrid w:val="0"/>
                <w:color w:val="000000" w:themeColor="text1"/>
                <w:sz w:val="24"/>
                <w:szCs w:val="24"/>
                <w14:textFill>
                  <w14:solidFill>
                    <w14:schemeClr w14:val="tx1"/>
                  </w14:solidFill>
                </w14:textFill>
              </w:rPr>
              <w:t>现状评价</w:t>
            </w:r>
            <w:r>
              <w:rPr>
                <w:rFonts w:hint="default" w:ascii="Times New Roman" w:hAnsi="Times New Roman" w:eastAsia="宋体" w:cs="Times New Roman"/>
                <w:bCs/>
                <w:snapToGrid w:val="0"/>
                <w:color w:val="000000" w:themeColor="text1"/>
                <w:sz w:val="24"/>
                <w:szCs w:val="24"/>
                <w:lang w:val="en-US" w:eastAsia="zh-CN"/>
                <w14:textFill>
                  <w14:solidFill>
                    <w14:schemeClr w14:val="tx1"/>
                  </w14:solidFill>
                </w14:textFill>
              </w:rPr>
              <w:t>如下表所示。</w:t>
            </w:r>
          </w:p>
          <w:p>
            <w:pPr>
              <w:keepNext w:val="0"/>
              <w:keepLines w:val="0"/>
              <w:pageBreakBefore w:val="0"/>
              <w:widowControl/>
              <w:kinsoku/>
              <w:wordWrap/>
              <w:overflowPunct/>
              <w:topLinePunct w:val="0"/>
              <w:autoSpaceDE/>
              <w:autoSpaceDN/>
              <w:bidi w:val="0"/>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表22              环境质量现状检测结果一览表          单位：mg/m</w:t>
            </w:r>
            <w:r>
              <w:rPr>
                <w:rFonts w:hint="default" w:ascii="Times New Roman" w:hAnsi="Times New Roman" w:eastAsia="宋体" w:cs="Times New Roman"/>
                <w:b/>
                <w:color w:val="000000" w:themeColor="text1"/>
                <w:kern w:val="2"/>
                <w:sz w:val="24"/>
                <w:szCs w:val="24"/>
                <w:highlight w:val="none"/>
                <w:u w:val="none"/>
                <w:vertAlign w:val="superscript"/>
                <w:lang w:val="en-US" w:eastAsia="zh-CN" w:bidi="ar-SA"/>
                <w14:textFill>
                  <w14:solidFill>
                    <w14:schemeClr w14:val="tx1"/>
                  </w14:solidFill>
                </w14:textFill>
              </w:rPr>
              <w:t>3</w:t>
            </w:r>
          </w:p>
          <w:tbl>
            <w:tblPr>
              <w:tblStyle w:val="37"/>
              <w:tblW w:w="895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19"/>
              <w:gridCol w:w="1358"/>
              <w:gridCol w:w="792"/>
              <w:gridCol w:w="1965"/>
              <w:gridCol w:w="1534"/>
              <w:gridCol w:w="1191"/>
              <w:gridCol w:w="119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color w:val="000000" w:themeColor="text1"/>
                      <w:spacing w:val="5"/>
                      <w:sz w:val="21"/>
                      <w:szCs w:val="21"/>
                      <w14:textFill>
                        <w14:solidFill>
                          <w14:schemeClr w14:val="tx1"/>
                        </w14:solidFill>
                      </w14:textFill>
                    </w:rPr>
                  </w:pPr>
                  <w:r>
                    <w:rPr>
                      <w:rFonts w:hint="default" w:ascii="Times New Roman" w:hAnsi="Times New Roman" w:eastAsia="宋体" w:cs="Times New Roman"/>
                      <w:b/>
                      <w:color w:val="000000" w:themeColor="text1"/>
                      <w:spacing w:val="5"/>
                      <w:sz w:val="21"/>
                      <w:szCs w:val="21"/>
                      <w:lang w:val="en-US" w:eastAsia="zh-CN"/>
                      <w14:textFill>
                        <w14:solidFill>
                          <w14:schemeClr w14:val="tx1"/>
                        </w14:solidFill>
                      </w14:textFill>
                    </w:rPr>
                    <w:t>检测</w:t>
                  </w:r>
                  <w:r>
                    <w:rPr>
                      <w:rFonts w:hint="default" w:ascii="Times New Roman" w:hAnsi="Times New Roman" w:eastAsia="宋体" w:cs="Times New Roman"/>
                      <w:b/>
                      <w:color w:val="000000" w:themeColor="text1"/>
                      <w:spacing w:val="5"/>
                      <w:sz w:val="21"/>
                      <w:szCs w:val="21"/>
                      <w14:textFill>
                        <w14:solidFill>
                          <w14:schemeClr w14:val="tx1"/>
                        </w14:solidFill>
                      </w14:textFill>
                    </w:rPr>
                    <w:t>点位</w:t>
                  </w:r>
                </w:p>
              </w:tc>
              <w:tc>
                <w:tcPr>
                  <w:tcW w:w="13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color w:val="000000" w:themeColor="text1"/>
                      <w:spacing w:val="5"/>
                      <w:sz w:val="21"/>
                      <w:szCs w:val="21"/>
                      <w14:textFill>
                        <w14:solidFill>
                          <w14:schemeClr w14:val="tx1"/>
                        </w14:solidFill>
                      </w14:textFill>
                    </w:rPr>
                  </w:pPr>
                  <w:r>
                    <w:rPr>
                      <w:rFonts w:hint="default" w:ascii="Times New Roman" w:hAnsi="Times New Roman" w:eastAsia="宋体" w:cs="Times New Roman"/>
                      <w:b/>
                      <w:color w:val="000000" w:themeColor="text1"/>
                      <w:spacing w:val="5"/>
                      <w:sz w:val="21"/>
                      <w:szCs w:val="21"/>
                      <w14:textFill>
                        <w14:solidFill>
                          <w14:schemeClr w14:val="tx1"/>
                        </w14:solidFill>
                      </w14:textFill>
                    </w:rPr>
                    <w:t>污染物</w:t>
                  </w:r>
                </w:p>
              </w:tc>
              <w:tc>
                <w:tcPr>
                  <w:tcW w:w="7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color w:val="000000" w:themeColor="text1"/>
                      <w:spacing w:val="5"/>
                      <w:sz w:val="21"/>
                      <w:szCs w:val="21"/>
                      <w14:textFill>
                        <w14:solidFill>
                          <w14:schemeClr w14:val="tx1"/>
                        </w14:solidFill>
                      </w14:textFill>
                    </w:rPr>
                  </w:pPr>
                  <w:r>
                    <w:rPr>
                      <w:rFonts w:hint="default" w:ascii="Times New Roman" w:hAnsi="Times New Roman" w:eastAsia="宋体" w:cs="Times New Roman"/>
                      <w:b/>
                      <w:color w:val="000000" w:themeColor="text1"/>
                      <w:spacing w:val="5"/>
                      <w:sz w:val="21"/>
                      <w:szCs w:val="21"/>
                      <w14:textFill>
                        <w14:solidFill>
                          <w14:schemeClr w14:val="tx1"/>
                        </w14:solidFill>
                      </w14:textFill>
                    </w:rPr>
                    <w:t>评价</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color w:val="000000" w:themeColor="text1"/>
                      <w:spacing w:val="5"/>
                      <w:sz w:val="21"/>
                      <w:szCs w:val="21"/>
                      <w14:textFill>
                        <w14:solidFill>
                          <w14:schemeClr w14:val="tx1"/>
                        </w14:solidFill>
                      </w14:textFill>
                    </w:rPr>
                  </w:pPr>
                  <w:r>
                    <w:rPr>
                      <w:rFonts w:hint="default" w:ascii="Times New Roman" w:hAnsi="Times New Roman" w:eastAsia="宋体" w:cs="Times New Roman"/>
                      <w:b/>
                      <w:color w:val="000000" w:themeColor="text1"/>
                      <w:spacing w:val="5"/>
                      <w:sz w:val="21"/>
                      <w:szCs w:val="21"/>
                      <w14:textFill>
                        <w14:solidFill>
                          <w14:schemeClr w14:val="tx1"/>
                        </w14:solidFill>
                      </w14:textFill>
                    </w:rPr>
                    <w:t>标准</w:t>
                  </w:r>
                </w:p>
              </w:tc>
              <w:tc>
                <w:tcPr>
                  <w:tcW w:w="19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color w:val="000000" w:themeColor="text1"/>
                      <w:spacing w:val="5"/>
                      <w:sz w:val="21"/>
                      <w:szCs w:val="21"/>
                      <w14:textFill>
                        <w14:solidFill>
                          <w14:schemeClr w14:val="tx1"/>
                        </w14:solidFill>
                      </w14:textFill>
                    </w:rPr>
                  </w:pPr>
                  <w:r>
                    <w:rPr>
                      <w:rFonts w:hint="default" w:ascii="Times New Roman" w:hAnsi="Times New Roman" w:eastAsia="宋体" w:cs="Times New Roman"/>
                      <w:b/>
                      <w:color w:val="000000" w:themeColor="text1"/>
                      <w:spacing w:val="5"/>
                      <w:sz w:val="21"/>
                      <w:szCs w:val="21"/>
                      <w:lang w:val="en-US" w:eastAsia="zh-CN"/>
                      <w14:textFill>
                        <w14:solidFill>
                          <w14:schemeClr w14:val="tx1"/>
                        </w14:solidFill>
                      </w14:textFill>
                    </w:rPr>
                    <w:t>检测</w:t>
                  </w:r>
                  <w:r>
                    <w:rPr>
                      <w:rFonts w:hint="default" w:ascii="Times New Roman" w:hAnsi="Times New Roman" w:eastAsia="宋体" w:cs="Times New Roman"/>
                      <w:b/>
                      <w:color w:val="000000" w:themeColor="text1"/>
                      <w:spacing w:val="5"/>
                      <w:sz w:val="21"/>
                      <w:szCs w:val="21"/>
                      <w14:textFill>
                        <w14:solidFill>
                          <w14:schemeClr w14:val="tx1"/>
                        </w14:solidFill>
                      </w14:textFill>
                    </w:rPr>
                    <w:t>浓</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color w:val="000000" w:themeColor="text1"/>
                      <w:spacing w:val="5"/>
                      <w:sz w:val="21"/>
                      <w:szCs w:val="21"/>
                      <w14:textFill>
                        <w14:solidFill>
                          <w14:schemeClr w14:val="tx1"/>
                        </w14:solidFill>
                      </w14:textFill>
                    </w:rPr>
                  </w:pPr>
                  <w:r>
                    <w:rPr>
                      <w:rFonts w:hint="default" w:ascii="Times New Roman" w:hAnsi="Times New Roman" w:eastAsia="宋体" w:cs="Times New Roman"/>
                      <w:b/>
                      <w:color w:val="000000" w:themeColor="text1"/>
                      <w:spacing w:val="5"/>
                      <w:sz w:val="21"/>
                      <w:szCs w:val="21"/>
                      <w14:textFill>
                        <w14:solidFill>
                          <w14:schemeClr w14:val="tx1"/>
                        </w14:solidFill>
                      </w14:textFill>
                    </w:rPr>
                    <w:t>度范围</w:t>
                  </w:r>
                </w:p>
              </w:tc>
              <w:tc>
                <w:tcPr>
                  <w:tcW w:w="153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color w:val="000000" w:themeColor="text1"/>
                      <w:spacing w:val="5"/>
                      <w:sz w:val="21"/>
                      <w:szCs w:val="21"/>
                      <w:lang w:val="en-US" w:eastAsia="zh-CN"/>
                      <w14:textFill>
                        <w14:solidFill>
                          <w14:schemeClr w14:val="tx1"/>
                        </w14:solidFill>
                      </w14:textFill>
                    </w:rPr>
                  </w:pPr>
                  <w:r>
                    <w:rPr>
                      <w:rFonts w:hint="default" w:ascii="Times New Roman" w:hAnsi="Times New Roman" w:eastAsia="宋体" w:cs="Times New Roman"/>
                      <w:b/>
                      <w:color w:val="000000" w:themeColor="text1"/>
                      <w:spacing w:val="5"/>
                      <w:sz w:val="21"/>
                      <w:szCs w:val="21"/>
                      <w:lang w:val="en-US" w:eastAsia="zh-CN"/>
                      <w14:textFill>
                        <w14:solidFill>
                          <w14:schemeClr w14:val="tx1"/>
                        </w14:solidFill>
                      </w14:textFill>
                    </w:rPr>
                    <w:t>单因子指数</w:t>
                  </w:r>
                </w:p>
              </w:tc>
              <w:tc>
                <w:tcPr>
                  <w:tcW w:w="11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color w:val="000000" w:themeColor="text1"/>
                      <w:spacing w:val="5"/>
                      <w:sz w:val="21"/>
                      <w:szCs w:val="21"/>
                      <w14:textFill>
                        <w14:solidFill>
                          <w14:schemeClr w14:val="tx1"/>
                        </w14:solidFill>
                      </w14:textFill>
                    </w:rPr>
                  </w:pPr>
                  <w:r>
                    <w:rPr>
                      <w:rFonts w:hint="default" w:ascii="Times New Roman" w:hAnsi="Times New Roman" w:eastAsia="宋体" w:cs="Times New Roman"/>
                      <w:b/>
                      <w:color w:val="000000" w:themeColor="text1"/>
                      <w:spacing w:val="5"/>
                      <w:sz w:val="21"/>
                      <w:szCs w:val="21"/>
                      <w14:textFill>
                        <w14:solidFill>
                          <w14:schemeClr w14:val="tx1"/>
                        </w14:solidFill>
                      </w14:textFill>
                    </w:rPr>
                    <w:t>超标</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color w:val="000000" w:themeColor="text1"/>
                      <w:spacing w:val="5"/>
                      <w:sz w:val="21"/>
                      <w:szCs w:val="21"/>
                      <w14:textFill>
                        <w14:solidFill>
                          <w14:schemeClr w14:val="tx1"/>
                        </w14:solidFill>
                      </w14:textFill>
                    </w:rPr>
                  </w:pPr>
                  <w:r>
                    <w:rPr>
                      <w:rFonts w:hint="default" w:ascii="Times New Roman" w:hAnsi="Times New Roman" w:eastAsia="宋体" w:cs="Times New Roman"/>
                      <w:b/>
                      <w:color w:val="000000" w:themeColor="text1"/>
                      <w:spacing w:val="5"/>
                      <w:sz w:val="21"/>
                      <w:szCs w:val="21"/>
                      <w14:textFill>
                        <w14:solidFill>
                          <w14:schemeClr w14:val="tx1"/>
                        </w14:solidFill>
                      </w14:textFill>
                    </w:rPr>
                    <w:t>率%</w:t>
                  </w:r>
                </w:p>
              </w:tc>
              <w:tc>
                <w:tcPr>
                  <w:tcW w:w="11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color w:val="000000" w:themeColor="text1"/>
                      <w:spacing w:val="5"/>
                      <w:sz w:val="21"/>
                      <w:szCs w:val="21"/>
                      <w14:textFill>
                        <w14:solidFill>
                          <w14:schemeClr w14:val="tx1"/>
                        </w14:solidFill>
                      </w14:textFill>
                    </w:rPr>
                  </w:pPr>
                  <w:r>
                    <w:rPr>
                      <w:rFonts w:hint="default" w:ascii="Times New Roman" w:hAnsi="Times New Roman" w:eastAsia="宋体" w:cs="Times New Roman"/>
                      <w:b/>
                      <w:color w:val="000000" w:themeColor="text1"/>
                      <w:spacing w:val="5"/>
                      <w:sz w:val="21"/>
                      <w:szCs w:val="21"/>
                      <w14:textFill>
                        <w14:solidFill>
                          <w14:schemeClr w14:val="tx1"/>
                        </w14:solidFill>
                      </w14:textFill>
                    </w:rPr>
                    <w:t>达标</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color w:val="000000" w:themeColor="text1"/>
                      <w:spacing w:val="5"/>
                      <w:sz w:val="21"/>
                      <w:szCs w:val="21"/>
                      <w14:textFill>
                        <w14:solidFill>
                          <w14:schemeClr w14:val="tx1"/>
                        </w14:solidFill>
                      </w14:textFill>
                    </w:rPr>
                  </w:pPr>
                  <w:r>
                    <w:rPr>
                      <w:rFonts w:hint="default" w:ascii="Times New Roman" w:hAnsi="Times New Roman" w:eastAsia="宋体" w:cs="Times New Roman"/>
                      <w:b/>
                      <w:color w:val="000000" w:themeColor="text1"/>
                      <w:spacing w:val="5"/>
                      <w:sz w:val="21"/>
                      <w:szCs w:val="21"/>
                      <w14:textFill>
                        <w14:solidFill>
                          <w14:schemeClr w14:val="tx1"/>
                        </w14:solidFill>
                      </w14:textFill>
                    </w:rPr>
                    <w:t>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color w:val="000000" w:themeColor="text1"/>
                      <w:spacing w:val="5"/>
                      <w:sz w:val="21"/>
                      <w:szCs w:val="21"/>
                      <w14:textFill>
                        <w14:solidFill>
                          <w14:schemeClr w14:val="tx1"/>
                        </w14:solidFill>
                      </w14:textFill>
                    </w:rPr>
                  </w:pPr>
                  <w:r>
                    <w:rPr>
                      <w:rFonts w:hint="default" w:ascii="Times New Roman" w:hAnsi="Times New Roman" w:eastAsia="宋体" w:cs="Times New Roman"/>
                      <w:bCs/>
                      <w:color w:val="000000" w:themeColor="text1"/>
                      <w:spacing w:val="5"/>
                      <w:sz w:val="21"/>
                      <w:szCs w:val="21"/>
                      <w:lang w:val="en-US" w:eastAsia="zh-CN"/>
                      <w14:textFill>
                        <w14:solidFill>
                          <w14:schemeClr w14:val="tx1"/>
                        </w14:solidFill>
                      </w14:textFill>
                    </w:rPr>
                    <w:t>白坡村</w:t>
                  </w:r>
                </w:p>
              </w:tc>
              <w:tc>
                <w:tcPr>
                  <w:tcW w:w="13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color w:val="000000" w:themeColor="text1"/>
                      <w:spacing w:val="5"/>
                      <w:sz w:val="21"/>
                      <w:szCs w:val="21"/>
                      <w14:textFill>
                        <w14:solidFill>
                          <w14:schemeClr w14:val="tx1"/>
                        </w14:solidFill>
                      </w14:textFill>
                    </w:rPr>
                  </w:pPr>
                  <w:r>
                    <w:rPr>
                      <w:rFonts w:hint="default" w:ascii="Times New Roman" w:hAnsi="Times New Roman" w:eastAsia="宋体" w:cs="Times New Roman"/>
                      <w:bCs/>
                      <w:color w:val="000000" w:themeColor="text1"/>
                      <w:spacing w:val="5"/>
                      <w:sz w:val="21"/>
                      <w:szCs w:val="21"/>
                      <w14:textFill>
                        <w14:solidFill>
                          <w14:schemeClr w14:val="tx1"/>
                        </w14:solidFill>
                      </w14:textFill>
                    </w:rPr>
                    <w:t>非甲烷总烃</w:t>
                  </w:r>
                </w:p>
              </w:tc>
              <w:tc>
                <w:tcPr>
                  <w:tcW w:w="7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color w:val="000000" w:themeColor="text1"/>
                      <w:spacing w:val="5"/>
                      <w:sz w:val="21"/>
                      <w:szCs w:val="21"/>
                      <w14:textFill>
                        <w14:solidFill>
                          <w14:schemeClr w14:val="tx1"/>
                        </w14:solidFill>
                      </w14:textFill>
                    </w:rPr>
                  </w:pPr>
                  <w:r>
                    <w:rPr>
                      <w:rFonts w:hint="default" w:ascii="Times New Roman" w:hAnsi="Times New Roman" w:eastAsia="宋体" w:cs="Times New Roman"/>
                      <w:bCs/>
                      <w:color w:val="000000" w:themeColor="text1"/>
                      <w:spacing w:val="5"/>
                      <w:sz w:val="21"/>
                      <w:szCs w:val="21"/>
                      <w14:textFill>
                        <w14:solidFill>
                          <w14:schemeClr w14:val="tx1"/>
                        </w14:solidFill>
                      </w14:textFill>
                    </w:rPr>
                    <w:t>2.0</w:t>
                  </w:r>
                </w:p>
              </w:tc>
              <w:tc>
                <w:tcPr>
                  <w:tcW w:w="19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color w:val="000000" w:themeColor="text1"/>
                      <w:spacing w:val="5"/>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pacing w:val="5"/>
                      <w:sz w:val="21"/>
                      <w:szCs w:val="21"/>
                      <w:lang w:val="en-US" w:eastAsia="zh-CN"/>
                      <w14:textFill>
                        <w14:solidFill>
                          <w14:schemeClr w14:val="tx1"/>
                        </w14:solidFill>
                      </w14:textFill>
                    </w:rPr>
                    <w:t>0.35~0.58</w:t>
                  </w:r>
                </w:p>
              </w:tc>
              <w:tc>
                <w:tcPr>
                  <w:tcW w:w="153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color w:val="000000" w:themeColor="text1"/>
                      <w:spacing w:val="5"/>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pacing w:val="5"/>
                      <w:sz w:val="21"/>
                      <w:szCs w:val="21"/>
                      <w:lang w:val="en-US" w:eastAsia="zh-CN"/>
                      <w14:textFill>
                        <w14:solidFill>
                          <w14:schemeClr w14:val="tx1"/>
                        </w14:solidFill>
                      </w14:textFill>
                    </w:rPr>
                    <w:t>0.18~0.29</w:t>
                  </w:r>
                </w:p>
              </w:tc>
              <w:tc>
                <w:tcPr>
                  <w:tcW w:w="11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color w:val="000000" w:themeColor="text1"/>
                      <w:spacing w:val="5"/>
                      <w:sz w:val="21"/>
                      <w:szCs w:val="21"/>
                      <w14:textFill>
                        <w14:solidFill>
                          <w14:schemeClr w14:val="tx1"/>
                        </w14:solidFill>
                      </w14:textFill>
                    </w:rPr>
                  </w:pPr>
                  <w:r>
                    <w:rPr>
                      <w:rFonts w:hint="default" w:ascii="Times New Roman" w:hAnsi="Times New Roman" w:eastAsia="宋体" w:cs="Times New Roman"/>
                      <w:bCs/>
                      <w:color w:val="000000" w:themeColor="text1"/>
                      <w:spacing w:val="5"/>
                      <w:sz w:val="21"/>
                      <w:szCs w:val="21"/>
                      <w14:textFill>
                        <w14:solidFill>
                          <w14:schemeClr w14:val="tx1"/>
                        </w14:solidFill>
                      </w14:textFill>
                    </w:rPr>
                    <w:t>0</w:t>
                  </w:r>
                </w:p>
              </w:tc>
              <w:tc>
                <w:tcPr>
                  <w:tcW w:w="11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Cs/>
                      <w:color w:val="000000" w:themeColor="text1"/>
                      <w:spacing w:val="5"/>
                      <w:sz w:val="21"/>
                      <w:szCs w:val="21"/>
                      <w14:textFill>
                        <w14:solidFill>
                          <w14:schemeClr w14:val="tx1"/>
                        </w14:solidFill>
                      </w14:textFill>
                    </w:rPr>
                  </w:pPr>
                  <w:r>
                    <w:rPr>
                      <w:rFonts w:hint="default" w:ascii="Times New Roman" w:hAnsi="Times New Roman" w:eastAsia="宋体" w:cs="Times New Roman"/>
                      <w:bCs/>
                      <w:color w:val="000000" w:themeColor="text1"/>
                      <w:spacing w:val="5"/>
                      <w:sz w:val="21"/>
                      <w:szCs w:val="21"/>
                      <w14:textFill>
                        <w14:solidFill>
                          <w14:schemeClr w14:val="tx1"/>
                        </w14:solidFill>
                      </w14:textFill>
                    </w:rPr>
                    <w:t>达标</w:t>
                  </w:r>
                </w:p>
              </w:tc>
            </w:tr>
          </w:tbl>
          <w:p>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bCs/>
                <w:snapToGrid w:val="0"/>
                <w:color w:val="000000" w:themeColor="text1"/>
                <w:sz w:val="24"/>
                <w:szCs w:val="24"/>
                <w14:textFill>
                  <w14:solidFill>
                    <w14:schemeClr w14:val="tx1"/>
                  </w14:solidFill>
                </w14:textFill>
              </w:rPr>
            </w:pPr>
            <w:r>
              <w:rPr>
                <w:rFonts w:hint="default" w:ascii="Times New Roman" w:hAnsi="Times New Roman" w:eastAsia="宋体" w:cs="Times New Roman"/>
                <w:bCs/>
                <w:snapToGrid w:val="0"/>
                <w:color w:val="000000" w:themeColor="text1"/>
                <w:sz w:val="24"/>
                <w:szCs w:val="24"/>
                <w:lang w:val="en-US" w:eastAsia="zh-CN"/>
                <w14:textFill>
                  <w14:solidFill>
                    <w14:schemeClr w14:val="tx1"/>
                  </w14:solidFill>
                </w14:textFill>
              </w:rPr>
              <w:t>由上表可知，白坡村</w:t>
            </w:r>
            <w:r>
              <w:rPr>
                <w:rFonts w:hint="default" w:ascii="Times New Roman" w:hAnsi="Times New Roman" w:cs="Times New Roman"/>
                <w:color w:val="000000" w:themeColor="text1"/>
                <w:kern w:val="0"/>
                <w:sz w:val="24"/>
                <w:szCs w:val="24"/>
                <w:lang w:val="en-US" w:eastAsia="zh-CN"/>
                <w14:textFill>
                  <w14:solidFill>
                    <w14:schemeClr w14:val="tx1"/>
                  </w14:solidFill>
                </w14:textFill>
              </w:rPr>
              <w:t>检测</w:t>
            </w:r>
            <w:r>
              <w:rPr>
                <w:rFonts w:hint="default" w:ascii="Times New Roman" w:hAnsi="Times New Roman" w:eastAsia="宋体" w:cs="Times New Roman"/>
                <w:bCs/>
                <w:snapToGrid w:val="0"/>
                <w:color w:val="000000" w:themeColor="text1"/>
                <w:sz w:val="24"/>
                <w:szCs w:val="24"/>
                <w:lang w:val="en-US" w:eastAsia="zh-CN"/>
                <w14:textFill>
                  <w14:solidFill>
                    <w14:schemeClr w14:val="tx1"/>
                  </w14:solidFill>
                </w14:textFill>
              </w:rPr>
              <w:t>点位非甲烷总烃满足《大气污染物综合排放标准详解》，评价区域环境空气质量良好。</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cs="Times New Roman"/>
                <w:b/>
                <w:snapToGrid w:val="0"/>
                <w:color w:val="000000" w:themeColor="text1"/>
                <w:sz w:val="24"/>
                <w:szCs w:val="24"/>
                <w14:textFill>
                  <w14:solidFill>
                    <w14:schemeClr w14:val="tx1"/>
                  </w14:solidFill>
                </w14:textFill>
              </w:rPr>
            </w:pPr>
            <w:r>
              <w:rPr>
                <w:rFonts w:hint="default" w:ascii="Times New Roman" w:hAnsi="Times New Roman" w:cs="Times New Roman"/>
                <w:b/>
                <w:snapToGrid w:val="0"/>
                <w:color w:val="000000" w:themeColor="text1"/>
                <w:sz w:val="24"/>
                <w:szCs w:val="24"/>
                <w14:textFill>
                  <w14:solidFill>
                    <w14:schemeClr w14:val="tx1"/>
                  </w14:solidFill>
                </w14:textFill>
              </w:rPr>
              <w:t>2、地表水</w:t>
            </w:r>
          </w:p>
          <w:p>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snapToGrid w:val="0"/>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项目所在区域纳污水体为黑河，位于项目</w:t>
            </w:r>
            <w:r>
              <w:rPr>
                <w:rFonts w:hint="default" w:ascii="Times New Roman" w:hAnsi="Times New Roman" w:cs="Times New Roman"/>
                <w:color w:val="000000" w:themeColor="text1"/>
                <w:sz w:val="24"/>
                <w:highlight w:val="none"/>
                <w:lang w:val="en-US" w:eastAsia="zh-CN"/>
                <w14:textFill>
                  <w14:solidFill>
                    <w14:schemeClr w14:val="tx1"/>
                  </w14:solidFill>
                </w14:textFill>
              </w:rPr>
              <w:t>东</w:t>
            </w:r>
            <w:r>
              <w:rPr>
                <w:rFonts w:hint="default" w:ascii="Times New Roman" w:hAnsi="Times New Roman" w:cs="Times New Roman"/>
                <w:color w:val="000000" w:themeColor="text1"/>
                <w:sz w:val="24"/>
                <w:highlight w:val="none"/>
                <w14:textFill>
                  <w14:solidFill>
                    <w14:schemeClr w14:val="tx1"/>
                  </w14:solidFill>
                </w14:textFill>
              </w:rPr>
              <w:t>侧</w:t>
            </w:r>
            <w:r>
              <w:rPr>
                <w:rFonts w:hint="default" w:ascii="Times New Roman" w:hAnsi="Times New Roman" w:cs="Times New Roman"/>
                <w:color w:val="000000" w:themeColor="text1"/>
                <w:sz w:val="24"/>
                <w:highlight w:val="none"/>
                <w:lang w:val="en-US" w:eastAsia="zh-CN"/>
                <w14:textFill>
                  <w14:solidFill>
                    <w14:schemeClr w14:val="tx1"/>
                  </w14:solidFill>
                </w14:textFill>
              </w:rPr>
              <w:t>1430m</w:t>
            </w:r>
            <w:r>
              <w:rPr>
                <w:rFonts w:hint="default" w:ascii="Times New Roman" w:hAnsi="Times New Roman" w:cs="Times New Roman"/>
                <w:color w:val="000000" w:themeColor="text1"/>
                <w:sz w:val="24"/>
                <w:highlight w:val="none"/>
                <w14:textFill>
                  <w14:solidFill>
                    <w14:schemeClr w14:val="tx1"/>
                  </w14:solidFill>
                </w14:textFill>
              </w:rPr>
              <w:t>处，根据河南省地表水功能区划分，黑河规划水质目标执行《地表水环境质量标准》（GB3838-2002）Ⅲ类标准。本次评价收集到202</w:t>
            </w:r>
            <w:r>
              <w:rPr>
                <w:rFonts w:hint="default" w:ascii="Times New Roman" w:hAnsi="Times New Roman" w:cs="Times New Roman"/>
                <w:color w:val="000000" w:themeColor="text1"/>
                <w:sz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年黑河-漯邓桥断面</w:t>
            </w:r>
            <w:r>
              <w:rPr>
                <w:rFonts w:hint="default"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kern w:val="0"/>
                <w:sz w:val="24"/>
                <w:lang w:bidi="ar"/>
                <w14:textFill>
                  <w14:solidFill>
                    <w14:schemeClr w14:val="tx1"/>
                  </w14:solidFill>
                </w14:textFill>
              </w:rPr>
              <w:t>漯河经济技术开发区污水处理厂</w:t>
            </w:r>
            <w:r>
              <w:rPr>
                <w:rFonts w:hint="default" w:ascii="Times New Roman" w:hAnsi="Times New Roman" w:cs="Times New Roman"/>
                <w:color w:val="000000" w:themeColor="text1"/>
                <w:sz w:val="24"/>
                <w:highlight w:val="none"/>
                <w:lang w:val="en-US" w:eastAsia="zh-CN"/>
                <w14:textFill>
                  <w14:solidFill>
                    <w14:schemeClr w14:val="tx1"/>
                  </w14:solidFill>
                </w14:textFill>
              </w:rPr>
              <w:t>排放口下游</w:t>
            </w:r>
            <w:r>
              <w:rPr>
                <w:rFonts w:hint="default"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的常规监测数据，统计结果见下表</w:t>
            </w:r>
            <w:r>
              <w:rPr>
                <w:rFonts w:hint="default" w:ascii="Times New Roman" w:hAnsi="Times New Roman" w:cs="Times New Roman"/>
                <w:snapToGrid w:val="0"/>
                <w:color w:val="000000" w:themeColor="text1"/>
                <w:sz w:val="24"/>
                <w:szCs w:val="24"/>
                <w14:textFill>
                  <w14:solidFill>
                    <w14:schemeClr w14:val="tx1"/>
                  </w14:solidFill>
                </w14:textFill>
              </w:rPr>
              <w:t>。</w:t>
            </w:r>
          </w:p>
          <w:p>
            <w:pPr>
              <w:keepNext w:val="0"/>
              <w:keepLines w:val="0"/>
              <w:pageBreakBefore w:val="0"/>
              <w:widowControl/>
              <w:kinsoku/>
              <w:wordWrap/>
              <w:overflowPunct/>
              <w:topLinePunct w:val="0"/>
              <w:autoSpaceDE/>
              <w:autoSpaceDN/>
              <w:bidi w:val="0"/>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表23           黑河-漯邓桥断面的水质监测数据一览表       单位：mg/L</w:t>
            </w:r>
          </w:p>
          <w:tbl>
            <w:tblPr>
              <w:tblStyle w:val="37"/>
              <w:tblW w:w="890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27"/>
              <w:gridCol w:w="1950"/>
              <w:gridCol w:w="1650"/>
              <w:gridCol w:w="2050"/>
              <w:gridCol w:w="20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7"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断面</w:t>
                  </w:r>
                </w:p>
              </w:tc>
              <w:tc>
                <w:tcPr>
                  <w:tcW w:w="19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采样日期</w:t>
                  </w:r>
                </w:p>
              </w:tc>
              <w:tc>
                <w:tcPr>
                  <w:tcW w:w="16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COD</w:t>
                  </w:r>
                </w:p>
              </w:tc>
              <w:tc>
                <w:tcPr>
                  <w:tcW w:w="20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氨氮</w:t>
                  </w:r>
                </w:p>
              </w:tc>
              <w:tc>
                <w:tcPr>
                  <w:tcW w:w="2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总磷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7"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黑河-漯邓桥断面</w:t>
                  </w:r>
                </w:p>
              </w:tc>
              <w:tc>
                <w:tcPr>
                  <w:tcW w:w="19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-01</w:t>
                  </w:r>
                </w:p>
              </w:tc>
              <w:tc>
                <w:tcPr>
                  <w:tcW w:w="16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0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0.21</w:t>
                  </w:r>
                </w:p>
              </w:tc>
              <w:tc>
                <w:tcPr>
                  <w:tcW w:w="2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19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-02</w:t>
                  </w:r>
                </w:p>
              </w:tc>
              <w:tc>
                <w:tcPr>
                  <w:tcW w:w="16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17</w:t>
                  </w:r>
                </w:p>
              </w:tc>
              <w:tc>
                <w:tcPr>
                  <w:tcW w:w="20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0.19</w:t>
                  </w:r>
                </w:p>
              </w:tc>
              <w:tc>
                <w:tcPr>
                  <w:tcW w:w="2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0.077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19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-03</w:t>
                  </w:r>
                </w:p>
              </w:tc>
              <w:tc>
                <w:tcPr>
                  <w:tcW w:w="16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13</w:t>
                  </w:r>
                </w:p>
              </w:tc>
              <w:tc>
                <w:tcPr>
                  <w:tcW w:w="20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0.14</w:t>
                  </w:r>
                </w:p>
              </w:tc>
              <w:tc>
                <w:tcPr>
                  <w:tcW w:w="2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19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-04</w:t>
                  </w:r>
                </w:p>
              </w:tc>
              <w:tc>
                <w:tcPr>
                  <w:tcW w:w="16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20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0.06</w:t>
                  </w:r>
                </w:p>
              </w:tc>
              <w:tc>
                <w:tcPr>
                  <w:tcW w:w="2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19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-05</w:t>
                  </w:r>
                </w:p>
              </w:tc>
              <w:tc>
                <w:tcPr>
                  <w:tcW w:w="16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20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0.13</w:t>
                  </w:r>
                </w:p>
              </w:tc>
              <w:tc>
                <w:tcPr>
                  <w:tcW w:w="2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 xml:space="preserve">0.199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19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-06</w:t>
                  </w:r>
                </w:p>
              </w:tc>
              <w:tc>
                <w:tcPr>
                  <w:tcW w:w="16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21</w:t>
                  </w:r>
                </w:p>
              </w:tc>
              <w:tc>
                <w:tcPr>
                  <w:tcW w:w="20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0.19</w:t>
                  </w:r>
                </w:p>
              </w:tc>
              <w:tc>
                <w:tcPr>
                  <w:tcW w:w="2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19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-07</w:t>
                  </w:r>
                </w:p>
              </w:tc>
              <w:tc>
                <w:tcPr>
                  <w:tcW w:w="16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29</w:t>
                  </w:r>
                </w:p>
              </w:tc>
              <w:tc>
                <w:tcPr>
                  <w:tcW w:w="20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0.21</w:t>
                  </w:r>
                </w:p>
              </w:tc>
              <w:tc>
                <w:tcPr>
                  <w:tcW w:w="2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19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-08</w:t>
                  </w:r>
                </w:p>
              </w:tc>
              <w:tc>
                <w:tcPr>
                  <w:tcW w:w="16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16</w:t>
                  </w:r>
                </w:p>
              </w:tc>
              <w:tc>
                <w:tcPr>
                  <w:tcW w:w="20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0.14</w:t>
                  </w:r>
                </w:p>
              </w:tc>
              <w:tc>
                <w:tcPr>
                  <w:tcW w:w="2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0.152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19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-09</w:t>
                  </w:r>
                </w:p>
              </w:tc>
              <w:tc>
                <w:tcPr>
                  <w:tcW w:w="16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15.5</w:t>
                  </w:r>
                </w:p>
              </w:tc>
              <w:tc>
                <w:tcPr>
                  <w:tcW w:w="20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0.04</w:t>
                  </w:r>
                </w:p>
              </w:tc>
              <w:tc>
                <w:tcPr>
                  <w:tcW w:w="2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19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-10</w:t>
                  </w:r>
                </w:p>
              </w:tc>
              <w:tc>
                <w:tcPr>
                  <w:tcW w:w="16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30</w:t>
                  </w:r>
                </w:p>
              </w:tc>
              <w:tc>
                <w:tcPr>
                  <w:tcW w:w="20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0.15</w:t>
                  </w:r>
                </w:p>
              </w:tc>
              <w:tc>
                <w:tcPr>
                  <w:tcW w:w="2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0.167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19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-11</w:t>
                  </w:r>
                </w:p>
              </w:tc>
              <w:tc>
                <w:tcPr>
                  <w:tcW w:w="16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25</w:t>
                  </w:r>
                </w:p>
              </w:tc>
              <w:tc>
                <w:tcPr>
                  <w:tcW w:w="20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0.06</w:t>
                  </w:r>
                </w:p>
              </w:tc>
              <w:tc>
                <w:tcPr>
                  <w:tcW w:w="2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0.124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19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-1</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p>
              </w:tc>
              <w:tc>
                <w:tcPr>
                  <w:tcW w:w="16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11.5</w:t>
                  </w:r>
                </w:p>
              </w:tc>
              <w:tc>
                <w:tcPr>
                  <w:tcW w:w="20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2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2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19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均值</w:t>
                  </w:r>
                </w:p>
              </w:tc>
              <w:tc>
                <w:tcPr>
                  <w:tcW w:w="16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19.78</w:t>
                  </w:r>
                </w:p>
              </w:tc>
              <w:tc>
                <w:tcPr>
                  <w:tcW w:w="20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0.14</w:t>
                  </w:r>
                </w:p>
              </w:tc>
              <w:tc>
                <w:tcPr>
                  <w:tcW w:w="203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0.139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77"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fldChar w:fldCharType="begin"/>
                  </w:r>
                  <w:r>
                    <w:rPr>
                      <w:rFonts w:hint="default" w:ascii="Times New Roman" w:hAnsi="Times New Roman" w:cs="Times New Roman"/>
                      <w:color w:val="000000" w:themeColor="text1"/>
                      <w:kern w:val="0"/>
                      <w:sz w:val="21"/>
                      <w:szCs w:val="21"/>
                      <w:highlight w:val="none"/>
                      <w14:textFill>
                        <w14:solidFill>
                          <w14:schemeClr w14:val="tx1"/>
                        </w14:solidFill>
                      </w14:textFill>
                    </w:rPr>
                    <w:instrText xml:space="preserve"> = 3 \* ROMAN </w:instrText>
                  </w:r>
                  <w:r>
                    <w:rPr>
                      <w:rFonts w:hint="default" w:ascii="Times New Roman" w:hAnsi="Times New Roman" w:cs="Times New Roman"/>
                      <w:color w:val="000000" w:themeColor="text1"/>
                      <w:kern w:val="0"/>
                      <w:sz w:val="21"/>
                      <w:szCs w:val="21"/>
                      <w:highlight w:val="none"/>
                      <w14:textFill>
                        <w14:solidFill>
                          <w14:schemeClr w14:val="tx1"/>
                        </w14:solidFill>
                      </w14:textFill>
                    </w:rPr>
                    <w:fldChar w:fldCharType="separate"/>
                  </w:r>
                  <w:r>
                    <w:rPr>
                      <w:rFonts w:hint="default" w:ascii="Times New Roman" w:hAnsi="Times New Roman" w:cs="Times New Roman"/>
                      <w:color w:val="000000" w:themeColor="text1"/>
                      <w:kern w:val="0"/>
                      <w:sz w:val="21"/>
                      <w:szCs w:val="21"/>
                      <w:highlight w:val="none"/>
                      <w14:textFill>
                        <w14:solidFill>
                          <w14:schemeClr w14:val="tx1"/>
                        </w14:solidFill>
                      </w14:textFill>
                    </w:rPr>
                    <w:t>III</w:t>
                  </w:r>
                  <w:r>
                    <w:rPr>
                      <w:rFonts w:hint="default" w:ascii="Times New Roman" w:hAnsi="Times New Roman" w:cs="Times New Roman"/>
                      <w:color w:val="000000" w:themeColor="text1"/>
                      <w:kern w:val="0"/>
                      <w:sz w:val="21"/>
                      <w:szCs w:val="21"/>
                      <w:highlight w:val="none"/>
                      <w14:textFill>
                        <w14:solidFill>
                          <w14:schemeClr w14:val="tx1"/>
                        </w14:solidFill>
                      </w14:textFill>
                    </w:rPr>
                    <w:fldChar w:fldCharType="end"/>
                  </w:r>
                  <w:r>
                    <w:rPr>
                      <w:rFonts w:hint="default" w:ascii="Times New Roman" w:hAnsi="Times New Roman" w:cs="Times New Roman"/>
                      <w:color w:val="000000" w:themeColor="text1"/>
                      <w:kern w:val="0"/>
                      <w:sz w:val="21"/>
                      <w:szCs w:val="21"/>
                      <w:highlight w:val="none"/>
                      <w14:textFill>
                        <w14:solidFill>
                          <w14:schemeClr w14:val="tx1"/>
                        </w14:solidFill>
                      </w14:textFill>
                    </w:rPr>
                    <w:t>类标准</w:t>
                  </w:r>
                </w:p>
              </w:tc>
              <w:tc>
                <w:tcPr>
                  <w:tcW w:w="1650"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20</w:t>
                  </w:r>
                </w:p>
              </w:tc>
              <w:tc>
                <w:tcPr>
                  <w:tcW w:w="205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1.0</w:t>
                  </w:r>
                </w:p>
              </w:tc>
              <w:tc>
                <w:tcPr>
                  <w:tcW w:w="203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14:textFill>
                        <w14:solidFill>
                          <w14:schemeClr w14:val="tx1"/>
                        </w14:solidFill>
                      </w14:textFill>
                    </w:rPr>
                    <w:t>0.2</w:t>
                  </w:r>
                </w:p>
              </w:tc>
            </w:tr>
          </w:tbl>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由监测统计结果分析可知，202</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年黑河-漯邓桥断面COD、氨氮、总磷年均值均能够满足《地表水环境质量标准》（GB 3838-2002）III类标准的要求，但逐月水质不能稳定达标，</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COD</w:t>
            </w:r>
            <w:r>
              <w:rPr>
                <w:rFonts w:hint="default" w:ascii="Times New Roman" w:hAnsi="Times New Roman" w:cs="Times New Roman"/>
                <w:color w:val="000000" w:themeColor="text1"/>
                <w:sz w:val="24"/>
                <w:szCs w:val="24"/>
                <w:highlight w:val="none"/>
                <w14:textFill>
                  <w14:solidFill>
                    <w14:schemeClr w14:val="tx1"/>
                  </w14:solidFill>
                </w14:textFill>
              </w:rPr>
              <w:t>存在超标现象</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p>
          <w:p>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snapToGrid w:val="0"/>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bidi="ar"/>
                <w14:textFill>
                  <w14:solidFill>
                    <w14:schemeClr w14:val="tx1"/>
                  </w14:solidFill>
                </w14:textFill>
              </w:rPr>
              <w:t>为持续做好水污染防治工作，进一步改善全市水环境质量，根据国家</w:t>
            </w:r>
            <w:r>
              <w:rPr>
                <w:rFonts w:hint="default" w:ascii="Times New Roman" w:hAnsi="Times New Roman" w:cs="Times New Roman"/>
                <w:color w:val="000000" w:themeColor="text1"/>
                <w:sz w:val="24"/>
                <w:szCs w:val="24"/>
                <w:lang w:eastAsia="zh-CN" w:bidi="ar"/>
                <w14:textFill>
                  <w14:solidFill>
                    <w14:schemeClr w14:val="tx1"/>
                  </w14:solidFill>
                </w14:textFill>
              </w:rPr>
              <w:t>、</w:t>
            </w:r>
            <w:r>
              <w:rPr>
                <w:rFonts w:hint="default" w:ascii="Times New Roman" w:hAnsi="Times New Roman" w:cs="Times New Roman"/>
                <w:color w:val="000000" w:themeColor="text1"/>
                <w:sz w:val="24"/>
                <w:szCs w:val="24"/>
                <w:lang w:bidi="ar"/>
                <w14:textFill>
                  <w14:solidFill>
                    <w14:schemeClr w14:val="tx1"/>
                  </w14:solidFill>
                </w14:textFill>
              </w:rPr>
              <w:t>河南省</w:t>
            </w:r>
            <w:r>
              <w:rPr>
                <w:rFonts w:hint="default" w:ascii="Times New Roman" w:hAnsi="Times New Roman" w:cs="Times New Roman"/>
                <w:color w:val="000000" w:themeColor="text1"/>
                <w:sz w:val="24"/>
                <w:szCs w:val="24"/>
                <w:lang w:val="en-US" w:eastAsia="zh-CN" w:bidi="ar"/>
                <w14:textFill>
                  <w14:solidFill>
                    <w14:schemeClr w14:val="tx1"/>
                  </w14:solidFill>
                </w14:textFill>
              </w:rPr>
              <w:t>及漯河市</w:t>
            </w:r>
            <w:r>
              <w:rPr>
                <w:rFonts w:hint="default" w:ascii="Times New Roman" w:hAnsi="Times New Roman" w:cs="Times New Roman"/>
                <w:color w:val="000000" w:themeColor="text1"/>
                <w:sz w:val="24"/>
                <w:szCs w:val="24"/>
                <w:lang w:bidi="ar"/>
                <w14:textFill>
                  <w14:solidFill>
                    <w14:schemeClr w14:val="tx1"/>
                  </w14:solidFill>
                </w14:textFill>
              </w:rPr>
              <w:t>要求，自通过水污染防治攻坚战实施方案实施以来，区域地表水环境质量持续得到改善。</w:t>
            </w:r>
            <w:r>
              <w:rPr>
                <w:rFonts w:hint="default" w:ascii="Times New Roman" w:hAnsi="Times New Roman" w:cs="Times New Roman"/>
                <w:color w:val="000000" w:themeColor="text1"/>
                <w:sz w:val="24"/>
                <w:szCs w:val="24"/>
                <w:lang w:val="en-US" w:eastAsia="zh-CN"/>
                <w14:textFill>
                  <w14:solidFill>
                    <w14:schemeClr w14:val="tx1"/>
                  </w14:solidFill>
                </w14:textFill>
              </w:rPr>
              <w:t>2023年</w:t>
            </w:r>
            <w:r>
              <w:rPr>
                <w:rFonts w:hint="default" w:ascii="Times New Roman" w:hAnsi="Times New Roman" w:cs="Times New Roman"/>
                <w:bCs/>
                <w:color w:val="000000" w:themeColor="text1"/>
                <w:sz w:val="24"/>
                <w:szCs w:val="24"/>
                <w14:textFill>
                  <w14:solidFill>
                    <w14:schemeClr w14:val="tx1"/>
                  </w14:solidFill>
                </w14:textFill>
              </w:rPr>
              <w:t>漯河市生态环境</w:t>
            </w:r>
            <w:r>
              <w:rPr>
                <w:rFonts w:hint="default" w:ascii="Times New Roman" w:hAnsi="Times New Roman" w:cs="Times New Roman"/>
                <w:bCs/>
                <w:color w:val="000000" w:themeColor="text1"/>
                <w:sz w:val="24"/>
                <w:szCs w:val="24"/>
                <w:lang w:val="en-US" w:eastAsia="zh-CN"/>
                <w14:textFill>
                  <w14:solidFill>
                    <w14:schemeClr w14:val="tx1"/>
                  </w14:solidFill>
                </w14:textFill>
              </w:rPr>
              <w:t>发布了</w:t>
            </w:r>
            <w:r>
              <w:rPr>
                <w:rFonts w:hint="default" w:ascii="Times New Roman" w:hAnsi="Times New Roman" w:cs="Times New Roman"/>
                <w:bCs/>
                <w:color w:val="000000" w:themeColor="text1"/>
                <w:sz w:val="24"/>
                <w:szCs w:val="24"/>
                <w14:textFill>
                  <w14:solidFill>
                    <w14:schemeClr w14:val="tx1"/>
                  </w14:solidFill>
                </w14:textFill>
              </w:rPr>
              <w:t>《关于印发漯河市2023年水污染防治攻坚战实施方案的通知》漯环委办[2023]26号</w:t>
            </w:r>
            <w:r>
              <w:rPr>
                <w:rFonts w:hint="default" w:ascii="Times New Roman" w:hAnsi="Times New Roman" w:cs="Times New Roman"/>
                <w:bCs/>
                <w:color w:val="000000" w:themeColor="text1"/>
                <w:sz w:val="24"/>
                <w:szCs w:val="24"/>
                <w:lang w:eastAsia="zh-CN"/>
                <w14:textFill>
                  <w14:solidFill>
                    <w14:schemeClr w14:val="tx1"/>
                  </w14:solidFill>
                </w14:textFill>
              </w:rPr>
              <w:t>，</w:t>
            </w:r>
            <w:r>
              <w:rPr>
                <w:rFonts w:hint="default" w:ascii="Times New Roman" w:hAnsi="Times New Roman" w:cs="Times New Roman"/>
                <w:bCs/>
                <w:color w:val="000000" w:themeColor="text1"/>
                <w:sz w:val="24"/>
                <w:szCs w:val="24"/>
                <w:lang w:val="en-US" w:eastAsia="zh-CN"/>
                <w14:textFill>
                  <w14:solidFill>
                    <w14:schemeClr w14:val="tx1"/>
                  </w14:solidFill>
                </w14:textFill>
              </w:rPr>
              <w:t>进一步提出</w:t>
            </w:r>
            <w:r>
              <w:rPr>
                <w:rFonts w:hint="default" w:ascii="Times New Roman" w:hAnsi="Times New Roman" w:cs="Times New Roman"/>
                <w:b w:val="0"/>
                <w:bCs w:val="0"/>
                <w:color w:val="000000" w:themeColor="text1"/>
                <w:sz w:val="24"/>
                <w:szCs w:val="24"/>
                <w:u w:val="none" w:color="auto"/>
                <w:lang w:val="en-US" w:eastAsia="zh-CN"/>
                <w14:textFill>
                  <w14:solidFill>
                    <w14:schemeClr w14:val="tx1"/>
                  </w14:solidFill>
                </w14:textFill>
              </w:rPr>
              <w:t>水环境质量改善计划。</w:t>
            </w:r>
            <w:r>
              <w:rPr>
                <w:rFonts w:hint="default" w:ascii="Times New Roman" w:hAnsi="Times New Roman" w:eastAsia="FZSSK--GBK1-0" w:cs="Times New Roman"/>
                <w:b w:val="0"/>
                <w:bCs w:val="0"/>
                <w:i w:val="0"/>
                <w:iCs w:val="0"/>
                <w:color w:val="000000" w:themeColor="text1"/>
                <w:kern w:val="0"/>
                <w:sz w:val="24"/>
                <w:szCs w:val="24"/>
                <w:lang w:val="en-US" w:eastAsia="zh-CN" w:bidi="ar"/>
                <w14:textFill>
                  <w14:solidFill>
                    <w14:schemeClr w14:val="tx1"/>
                  </w14:solidFill>
                </w14:textFill>
              </w:rPr>
              <w:t>通过以上水污染治理措施的实施，预计区域环境</w:t>
            </w:r>
            <w:r>
              <w:rPr>
                <w:rFonts w:hint="default" w:ascii="Times New Roman" w:hAnsi="Times New Roman" w:cs="Times New Roman"/>
                <w:b w:val="0"/>
                <w:bCs w:val="0"/>
                <w:color w:val="000000" w:themeColor="text1"/>
                <w:sz w:val="24"/>
                <w:szCs w:val="24"/>
                <w:u w:val="none" w:color="auto"/>
                <w:lang w:val="en-US" w:eastAsia="zh-CN"/>
                <w14:textFill>
                  <w14:solidFill>
                    <w14:schemeClr w14:val="tx1"/>
                  </w14:solidFill>
                </w14:textFill>
              </w:rPr>
              <w:t>水环境</w:t>
            </w:r>
            <w:r>
              <w:rPr>
                <w:rFonts w:hint="default" w:ascii="Times New Roman" w:hAnsi="Times New Roman" w:eastAsia="FZSSK--GBK1-0" w:cs="Times New Roman"/>
                <w:b w:val="0"/>
                <w:bCs w:val="0"/>
                <w:i w:val="0"/>
                <w:iCs w:val="0"/>
                <w:color w:val="000000" w:themeColor="text1"/>
                <w:kern w:val="0"/>
                <w:sz w:val="24"/>
                <w:szCs w:val="24"/>
                <w:lang w:val="en-US" w:eastAsia="zh-CN" w:bidi="ar"/>
                <w14:textFill>
                  <w14:solidFill>
                    <w14:schemeClr w14:val="tx1"/>
                  </w14:solidFill>
                </w14:textFill>
              </w:rPr>
              <w:t>质量将会逐步改善</w:t>
            </w:r>
            <w:r>
              <w:rPr>
                <w:rFonts w:hint="default" w:ascii="Times New Roman" w:hAnsi="Times New Roman" w:cs="Times New Roman"/>
                <w:snapToGrid w:val="0"/>
                <w:color w:val="000000" w:themeColor="text1"/>
                <w:sz w:val="24"/>
                <w:szCs w:val="24"/>
                <w14:textFill>
                  <w14:solidFill>
                    <w14:schemeClr w14:val="tx1"/>
                  </w14:solidFill>
                </w14:textFill>
              </w:rPr>
              <w:t>。</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cs="Times New Roman"/>
                <w:snapToGrid w:val="0"/>
                <w:color w:val="000000" w:themeColor="text1"/>
                <w:sz w:val="24"/>
                <w:szCs w:val="24"/>
                <w14:textFill>
                  <w14:solidFill>
                    <w14:schemeClr w14:val="tx1"/>
                  </w14:solidFill>
                </w14:textFill>
              </w:rPr>
            </w:pPr>
            <w:r>
              <w:rPr>
                <w:rFonts w:hint="default" w:ascii="Times New Roman" w:hAnsi="Times New Roman" w:cs="Times New Roman"/>
                <w:b/>
                <w:snapToGrid w:val="0"/>
                <w:color w:val="000000" w:themeColor="text1"/>
                <w:sz w:val="24"/>
                <w:szCs w:val="24"/>
                <w14:textFill>
                  <w14:solidFill>
                    <w14:schemeClr w14:val="tx1"/>
                  </w14:solidFill>
                </w14:textFill>
              </w:rPr>
              <w:t>3、环境噪声</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本项目所在区域为2类声功能区域，为了解项目所在区域声环境质量现状，建设单位委托河南纳克检测技术有限公司于2023年09月09日～2023年09月10日对项目东、南、西、北边界声环境质量进行了</w:t>
            </w:r>
            <w:r>
              <w:rPr>
                <w:rFonts w:hint="default" w:ascii="Times New Roman" w:hAnsi="Times New Roman" w:cs="Times New Roman"/>
                <w:color w:val="000000" w:themeColor="text1"/>
                <w:kern w:val="0"/>
                <w:sz w:val="24"/>
                <w:szCs w:val="24"/>
                <w:lang w:val="en-US" w:eastAsia="zh-CN"/>
                <w14:textFill>
                  <w14:solidFill>
                    <w14:schemeClr w14:val="tx1"/>
                  </w14:solidFill>
                </w14:textFill>
              </w:rPr>
              <w:t>检测</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14:textFill>
                  <w14:solidFill>
                    <w14:schemeClr w14:val="tx1"/>
                  </w14:solidFill>
                </w14:textFill>
              </w:rPr>
              <w:t>检测</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结果见下表。</w:t>
            </w:r>
          </w:p>
          <w:p>
            <w:pPr>
              <w:keepNext w:val="0"/>
              <w:keepLines w:val="0"/>
              <w:pageBreakBefore w:val="0"/>
              <w:widowControl/>
              <w:kinsoku/>
              <w:wordWrap/>
              <w:overflowPunct/>
              <w:topLinePunct w:val="0"/>
              <w:autoSpaceDE/>
              <w:autoSpaceDN/>
              <w:bidi w:val="0"/>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表24                          噪声现状</w:t>
            </w:r>
            <w:r>
              <w:rPr>
                <w:rFonts w:hint="default" w:ascii="Times New Roman" w:hAnsi="Times New Roman" w:cs="Times New Roman"/>
                <w:color w:val="000000" w:themeColor="text1"/>
                <w:kern w:val="0"/>
                <w:sz w:val="24"/>
                <w:szCs w:val="24"/>
                <w:lang w:val="en-US" w:eastAsia="zh-CN"/>
                <w14:textFill>
                  <w14:solidFill>
                    <w14:schemeClr w14:val="tx1"/>
                  </w14:solidFill>
                </w14:textFill>
              </w:rPr>
              <w:t>检测</w:t>
            </w: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结果</w:t>
            </w:r>
          </w:p>
          <w:tbl>
            <w:tblPr>
              <w:tblStyle w:val="37"/>
              <w:tblW w:w="8884" w:type="dxa"/>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38"/>
              <w:gridCol w:w="1058"/>
              <w:gridCol w:w="1008"/>
              <w:gridCol w:w="967"/>
              <w:gridCol w:w="1183"/>
              <w:gridCol w:w="1042"/>
              <w:gridCol w:w="1135"/>
              <w:gridCol w:w="125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38"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
                      <w:snapToGrid w:val="0"/>
                      <w:color w:val="000000" w:themeColor="text1"/>
                      <w:sz w:val="21"/>
                      <w:szCs w:val="21"/>
                      <w14:textFill>
                        <w14:solidFill>
                          <w14:schemeClr w14:val="tx1"/>
                        </w14:solidFill>
                      </w14:textFill>
                    </w:rPr>
                  </w:pPr>
                  <w:r>
                    <w:rPr>
                      <w:rFonts w:hint="default" w:ascii="Times New Roman" w:hAnsi="Times New Roman" w:eastAsia="宋体" w:cs="Times New Roman"/>
                      <w:b/>
                      <w:snapToGrid w:val="0"/>
                      <w:color w:val="000000" w:themeColor="text1"/>
                      <w:sz w:val="21"/>
                      <w:szCs w:val="21"/>
                      <w:lang w:val="en-US" w:eastAsia="zh-CN"/>
                      <w14:textFill>
                        <w14:solidFill>
                          <w14:schemeClr w14:val="tx1"/>
                        </w14:solidFill>
                      </w14:textFill>
                    </w:rPr>
                    <w:t>检测</w:t>
                  </w:r>
                  <w:r>
                    <w:rPr>
                      <w:rFonts w:hint="default" w:ascii="Times New Roman" w:hAnsi="Times New Roman" w:eastAsia="宋体" w:cs="Times New Roman"/>
                      <w:b/>
                      <w:snapToGrid w:val="0"/>
                      <w:color w:val="000000" w:themeColor="text1"/>
                      <w:sz w:val="21"/>
                      <w:szCs w:val="21"/>
                      <w14:textFill>
                        <w14:solidFill>
                          <w14:schemeClr w14:val="tx1"/>
                        </w14:solidFill>
                      </w14:textFill>
                    </w:rPr>
                    <w:t>点位名称</w:t>
                  </w:r>
                </w:p>
              </w:tc>
              <w:tc>
                <w:tcPr>
                  <w:tcW w:w="2066"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
                      <w:snapToGrid w:val="0"/>
                      <w:color w:val="000000" w:themeColor="text1"/>
                      <w:sz w:val="21"/>
                      <w:szCs w:val="21"/>
                      <w14:textFill>
                        <w14:solidFill>
                          <w14:schemeClr w14:val="tx1"/>
                        </w14:solidFill>
                      </w14:textFill>
                    </w:rPr>
                  </w:pPr>
                  <w:r>
                    <w:rPr>
                      <w:rFonts w:hint="default" w:ascii="Times New Roman" w:hAnsi="Times New Roman" w:cs="Times New Roman"/>
                      <w:b/>
                      <w:snapToGrid w:val="0"/>
                      <w:color w:val="000000" w:themeColor="text1"/>
                      <w:sz w:val="21"/>
                      <w:szCs w:val="21"/>
                      <w:lang w:val="en-US" w:eastAsia="zh-CN"/>
                      <w14:textFill>
                        <w14:solidFill>
                          <w14:schemeClr w14:val="tx1"/>
                        </w14:solidFill>
                      </w14:textFill>
                    </w:rPr>
                    <w:t>2023.09.09</w:t>
                  </w:r>
                  <w:r>
                    <w:rPr>
                      <w:rFonts w:hint="default" w:ascii="Times New Roman" w:hAnsi="Times New Roman" w:cs="Times New Roman"/>
                      <w:b/>
                      <w:snapToGrid w:val="0"/>
                      <w:color w:val="000000" w:themeColor="text1"/>
                      <w:sz w:val="21"/>
                      <w:szCs w:val="21"/>
                      <w14:textFill>
                        <w14:solidFill>
                          <w14:schemeClr w14:val="tx1"/>
                        </w14:solidFill>
                      </w14:textFill>
                    </w:rPr>
                    <w:t>检测值</w:t>
                  </w:r>
                </w:p>
              </w:tc>
              <w:tc>
                <w:tcPr>
                  <w:tcW w:w="2150"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
                      <w:snapToGrid w:val="0"/>
                      <w:color w:val="000000" w:themeColor="text1"/>
                      <w:sz w:val="21"/>
                      <w:szCs w:val="21"/>
                      <w:lang w:val="en-US" w:eastAsia="zh-CN"/>
                      <w14:textFill>
                        <w14:solidFill>
                          <w14:schemeClr w14:val="tx1"/>
                        </w14:solidFill>
                      </w14:textFill>
                    </w:rPr>
                  </w:pPr>
                  <w:r>
                    <w:rPr>
                      <w:rFonts w:hint="default" w:ascii="Times New Roman" w:hAnsi="Times New Roman" w:cs="Times New Roman"/>
                      <w:b/>
                      <w:snapToGrid w:val="0"/>
                      <w:color w:val="000000" w:themeColor="text1"/>
                      <w:sz w:val="21"/>
                      <w:szCs w:val="21"/>
                      <w:lang w:val="en-US" w:eastAsia="zh-CN"/>
                      <w14:textFill>
                        <w14:solidFill>
                          <w14:schemeClr w14:val="tx1"/>
                        </w14:solidFill>
                      </w14:textFill>
                    </w:rPr>
                    <w:t>2023.09.10</w:t>
                  </w:r>
                  <w:r>
                    <w:rPr>
                      <w:rFonts w:hint="default" w:ascii="Times New Roman" w:hAnsi="Times New Roman" w:cs="Times New Roman"/>
                      <w:b/>
                      <w:snapToGrid w:val="0"/>
                      <w:color w:val="000000" w:themeColor="text1"/>
                      <w:sz w:val="21"/>
                      <w:szCs w:val="21"/>
                      <w14:textFill>
                        <w14:solidFill>
                          <w14:schemeClr w14:val="tx1"/>
                        </w14:solidFill>
                      </w14:textFill>
                    </w:rPr>
                    <w:t>检测值</w:t>
                  </w:r>
                </w:p>
              </w:tc>
              <w:tc>
                <w:tcPr>
                  <w:tcW w:w="2177" w:type="dxa"/>
                  <w:gridSpan w:val="2"/>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
                      <w:snapToGrid w:val="0"/>
                      <w:color w:val="000000" w:themeColor="text1"/>
                      <w:sz w:val="21"/>
                      <w:szCs w:val="21"/>
                      <w:lang w:val="en-US" w:eastAsia="zh-CN"/>
                      <w14:textFill>
                        <w14:solidFill>
                          <w14:schemeClr w14:val="tx1"/>
                        </w14:solidFill>
                      </w14:textFill>
                    </w:rPr>
                  </w:pPr>
                  <w:r>
                    <w:rPr>
                      <w:rFonts w:hint="default" w:ascii="Times New Roman" w:hAnsi="Times New Roman" w:cs="Times New Roman"/>
                      <w:b/>
                      <w:snapToGrid w:val="0"/>
                      <w:color w:val="000000" w:themeColor="text1"/>
                      <w:sz w:val="21"/>
                      <w:szCs w:val="21"/>
                      <w:lang w:val="en-US" w:eastAsia="zh-CN"/>
                      <w14:textFill>
                        <w14:solidFill>
                          <w14:schemeClr w14:val="tx1"/>
                        </w14:solidFill>
                      </w14:textFill>
                    </w:rPr>
                    <w:t>标准值</w:t>
                  </w:r>
                </w:p>
              </w:tc>
              <w:tc>
                <w:tcPr>
                  <w:tcW w:w="1253" w:type="dxa"/>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Cs/>
                      <w:snapToGrid w:val="0"/>
                      <w:color w:val="000000" w:themeColor="text1"/>
                      <w:sz w:val="21"/>
                      <w:szCs w:val="21"/>
                      <w14:textFill>
                        <w14:solidFill>
                          <w14:schemeClr w14:val="tx1"/>
                        </w14:solidFill>
                      </w14:textFill>
                    </w:rPr>
                  </w:pPr>
                  <w:r>
                    <w:rPr>
                      <w:rFonts w:hint="default" w:ascii="Times New Roman" w:hAnsi="Times New Roman" w:cs="Times New Roman"/>
                      <w:b/>
                      <w:snapToGrid w:val="0"/>
                      <w:color w:val="000000" w:themeColor="text1"/>
                      <w:sz w:val="21"/>
                      <w:szCs w:val="21"/>
                      <w14:textFill>
                        <w14:solidFill>
                          <w14:schemeClr w14:val="tx1"/>
                        </w14:solidFill>
                      </w14:textFill>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38"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
                      <w:snapToGrid w:val="0"/>
                      <w:color w:val="000000" w:themeColor="text1"/>
                      <w:sz w:val="21"/>
                      <w:szCs w:val="21"/>
                      <w14:textFill>
                        <w14:solidFill>
                          <w14:schemeClr w14:val="tx1"/>
                        </w14:solidFill>
                      </w14:textFill>
                    </w:rPr>
                  </w:pPr>
                </w:p>
              </w:tc>
              <w:tc>
                <w:tcPr>
                  <w:tcW w:w="105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
                      <w:snapToGrid w:val="0"/>
                      <w:color w:val="000000" w:themeColor="text1"/>
                      <w:sz w:val="21"/>
                      <w:szCs w:val="21"/>
                      <w14:textFill>
                        <w14:solidFill>
                          <w14:schemeClr w14:val="tx1"/>
                        </w14:solidFill>
                      </w14:textFill>
                    </w:rPr>
                  </w:pPr>
                  <w:r>
                    <w:rPr>
                      <w:rFonts w:hint="default" w:ascii="Times New Roman" w:hAnsi="Times New Roman" w:cs="Times New Roman"/>
                      <w:b/>
                      <w:snapToGrid w:val="0"/>
                      <w:color w:val="000000" w:themeColor="text1"/>
                      <w:sz w:val="21"/>
                      <w:szCs w:val="21"/>
                      <w14:textFill>
                        <w14:solidFill>
                          <w14:schemeClr w14:val="tx1"/>
                        </w14:solidFill>
                      </w14:textFill>
                    </w:rPr>
                    <w:t>昼间</w:t>
                  </w:r>
                </w:p>
              </w:tc>
              <w:tc>
                <w:tcPr>
                  <w:tcW w:w="100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
                      <w:snapToGrid w:val="0"/>
                      <w:color w:val="000000" w:themeColor="text1"/>
                      <w:sz w:val="21"/>
                      <w:szCs w:val="21"/>
                      <w14:textFill>
                        <w14:solidFill>
                          <w14:schemeClr w14:val="tx1"/>
                        </w14:solidFill>
                      </w14:textFill>
                    </w:rPr>
                  </w:pPr>
                  <w:r>
                    <w:rPr>
                      <w:rFonts w:hint="default" w:ascii="Times New Roman" w:hAnsi="Times New Roman" w:cs="Times New Roman"/>
                      <w:b/>
                      <w:snapToGrid w:val="0"/>
                      <w:color w:val="000000" w:themeColor="text1"/>
                      <w:sz w:val="21"/>
                      <w:szCs w:val="21"/>
                      <w14:textFill>
                        <w14:solidFill>
                          <w14:schemeClr w14:val="tx1"/>
                        </w14:solidFill>
                      </w14:textFill>
                    </w:rPr>
                    <w:t>夜间</w:t>
                  </w:r>
                </w:p>
              </w:tc>
              <w:tc>
                <w:tcPr>
                  <w:tcW w:w="967"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
                      <w:snapToGrid w:val="0"/>
                      <w:color w:val="000000" w:themeColor="text1"/>
                      <w:sz w:val="21"/>
                      <w:szCs w:val="21"/>
                      <w14:textFill>
                        <w14:solidFill>
                          <w14:schemeClr w14:val="tx1"/>
                        </w14:solidFill>
                      </w14:textFill>
                    </w:rPr>
                  </w:pPr>
                  <w:r>
                    <w:rPr>
                      <w:rFonts w:hint="default" w:ascii="Times New Roman" w:hAnsi="Times New Roman" w:cs="Times New Roman"/>
                      <w:b/>
                      <w:snapToGrid w:val="0"/>
                      <w:color w:val="000000" w:themeColor="text1"/>
                      <w:sz w:val="21"/>
                      <w:szCs w:val="21"/>
                      <w14:textFill>
                        <w14:solidFill>
                          <w14:schemeClr w14:val="tx1"/>
                        </w14:solidFill>
                      </w14:textFill>
                    </w:rPr>
                    <w:t>昼间</w:t>
                  </w:r>
                </w:p>
              </w:tc>
              <w:tc>
                <w:tcPr>
                  <w:tcW w:w="1183"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
                      <w:snapToGrid w:val="0"/>
                      <w:color w:val="000000" w:themeColor="text1"/>
                      <w:sz w:val="21"/>
                      <w:szCs w:val="21"/>
                      <w14:textFill>
                        <w14:solidFill>
                          <w14:schemeClr w14:val="tx1"/>
                        </w14:solidFill>
                      </w14:textFill>
                    </w:rPr>
                  </w:pPr>
                  <w:r>
                    <w:rPr>
                      <w:rFonts w:hint="default" w:ascii="Times New Roman" w:hAnsi="Times New Roman" w:cs="Times New Roman"/>
                      <w:b/>
                      <w:snapToGrid w:val="0"/>
                      <w:color w:val="000000" w:themeColor="text1"/>
                      <w:sz w:val="21"/>
                      <w:szCs w:val="21"/>
                      <w14:textFill>
                        <w14:solidFill>
                          <w14:schemeClr w14:val="tx1"/>
                        </w14:solidFill>
                      </w14:textFill>
                    </w:rPr>
                    <w:t>夜间</w:t>
                  </w:r>
                </w:p>
              </w:tc>
              <w:tc>
                <w:tcPr>
                  <w:tcW w:w="1042"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b/>
                      <w:snapToGrid w:val="0"/>
                      <w:color w:val="000000" w:themeColor="text1"/>
                      <w:sz w:val="21"/>
                      <w:szCs w:val="21"/>
                      <w14:textFill>
                        <w14:solidFill>
                          <w14:schemeClr w14:val="tx1"/>
                        </w14:solidFill>
                      </w14:textFill>
                    </w:rPr>
                    <w:t>昼间</w:t>
                  </w:r>
                </w:p>
              </w:tc>
              <w:tc>
                <w:tcPr>
                  <w:tcW w:w="1135"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b/>
                      <w:snapToGrid w:val="0"/>
                      <w:color w:val="000000" w:themeColor="text1"/>
                      <w:sz w:val="21"/>
                      <w:szCs w:val="21"/>
                      <w14:textFill>
                        <w14:solidFill>
                          <w14:schemeClr w14:val="tx1"/>
                        </w14:solidFill>
                      </w14:textFill>
                    </w:rPr>
                    <w:t>夜间</w:t>
                  </w:r>
                </w:p>
              </w:tc>
              <w:tc>
                <w:tcPr>
                  <w:tcW w:w="1253"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Cs/>
                      <w:snapToGrid w:val="0"/>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3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14:textFill>
                        <w14:solidFill>
                          <w14:schemeClr w14:val="tx1"/>
                        </w14:solidFill>
                      </w14:textFill>
                    </w:rPr>
                    <w:t>东</w:t>
                  </w:r>
                  <w:r>
                    <w:rPr>
                      <w:rFonts w:hint="default" w:ascii="Times New Roman" w:hAnsi="Times New Roman" w:eastAsia="宋体" w:cs="Times New Roman"/>
                      <w:bCs/>
                      <w:snapToGrid w:val="0"/>
                      <w:color w:val="000000" w:themeColor="text1"/>
                      <w:sz w:val="21"/>
                      <w:szCs w:val="21"/>
                      <w:lang w:eastAsia="zh-CN"/>
                      <w14:textFill>
                        <w14:solidFill>
                          <w14:schemeClr w14:val="tx1"/>
                        </w14:solidFill>
                      </w14:textFill>
                    </w:rPr>
                    <w:t>边界</w:t>
                  </w:r>
                </w:p>
              </w:tc>
              <w:tc>
                <w:tcPr>
                  <w:tcW w:w="105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54</w:t>
                  </w:r>
                </w:p>
              </w:tc>
              <w:tc>
                <w:tcPr>
                  <w:tcW w:w="100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44</w:t>
                  </w:r>
                </w:p>
              </w:tc>
              <w:tc>
                <w:tcPr>
                  <w:tcW w:w="967"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54</w:t>
                  </w:r>
                </w:p>
              </w:tc>
              <w:tc>
                <w:tcPr>
                  <w:tcW w:w="1183"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44</w:t>
                  </w:r>
                </w:p>
              </w:tc>
              <w:tc>
                <w:tcPr>
                  <w:tcW w:w="1042"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60</w:t>
                  </w:r>
                </w:p>
              </w:tc>
              <w:tc>
                <w:tcPr>
                  <w:tcW w:w="1135"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50</w:t>
                  </w:r>
                </w:p>
              </w:tc>
              <w:tc>
                <w:tcPr>
                  <w:tcW w:w="1253"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Cs/>
                      <w:snapToGrid w:val="0"/>
                      <w:color w:val="000000" w:themeColor="text1"/>
                      <w:sz w:val="21"/>
                      <w:szCs w:val="21"/>
                      <w14:textFill>
                        <w14:solidFill>
                          <w14:schemeClr w14:val="tx1"/>
                        </w14:solidFill>
                      </w14:textFill>
                    </w:rPr>
                  </w:pPr>
                  <w:r>
                    <w:rPr>
                      <w:rFonts w:hint="default" w:ascii="Times New Roman" w:hAnsi="Times New Roman" w:cs="Times New Roman"/>
                      <w:bCs/>
                      <w:snapToGrid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3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14:textFill>
                        <w14:solidFill>
                          <w14:schemeClr w14:val="tx1"/>
                        </w14:solidFill>
                      </w14:textFill>
                    </w:rPr>
                    <w:t>南</w:t>
                  </w:r>
                  <w:r>
                    <w:rPr>
                      <w:rFonts w:hint="default" w:ascii="Times New Roman" w:hAnsi="Times New Roman" w:eastAsia="宋体" w:cs="Times New Roman"/>
                      <w:bCs/>
                      <w:snapToGrid w:val="0"/>
                      <w:color w:val="000000" w:themeColor="text1"/>
                      <w:sz w:val="21"/>
                      <w:szCs w:val="21"/>
                      <w:lang w:eastAsia="zh-CN"/>
                      <w14:textFill>
                        <w14:solidFill>
                          <w14:schemeClr w14:val="tx1"/>
                        </w14:solidFill>
                      </w14:textFill>
                    </w:rPr>
                    <w:t>边界</w:t>
                  </w:r>
                </w:p>
              </w:tc>
              <w:tc>
                <w:tcPr>
                  <w:tcW w:w="105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55</w:t>
                  </w:r>
                </w:p>
              </w:tc>
              <w:tc>
                <w:tcPr>
                  <w:tcW w:w="100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45</w:t>
                  </w:r>
                </w:p>
              </w:tc>
              <w:tc>
                <w:tcPr>
                  <w:tcW w:w="967"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55</w:t>
                  </w:r>
                </w:p>
              </w:tc>
              <w:tc>
                <w:tcPr>
                  <w:tcW w:w="1183"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45</w:t>
                  </w:r>
                </w:p>
              </w:tc>
              <w:tc>
                <w:tcPr>
                  <w:tcW w:w="1042"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70</w:t>
                  </w:r>
                </w:p>
              </w:tc>
              <w:tc>
                <w:tcPr>
                  <w:tcW w:w="1135"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55</w:t>
                  </w:r>
                </w:p>
              </w:tc>
              <w:tc>
                <w:tcPr>
                  <w:tcW w:w="1253"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Cs/>
                      <w:snapToGrid w:val="0"/>
                      <w:color w:val="000000" w:themeColor="text1"/>
                      <w:sz w:val="21"/>
                      <w:szCs w:val="21"/>
                      <w14:textFill>
                        <w14:solidFill>
                          <w14:schemeClr w14:val="tx1"/>
                        </w14:solidFill>
                      </w14:textFill>
                    </w:rPr>
                  </w:pPr>
                  <w:r>
                    <w:rPr>
                      <w:rFonts w:hint="default" w:ascii="Times New Roman" w:hAnsi="Times New Roman" w:cs="Times New Roman"/>
                      <w:bCs/>
                      <w:snapToGrid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3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14:textFill>
                        <w14:solidFill>
                          <w14:schemeClr w14:val="tx1"/>
                        </w14:solidFill>
                      </w14:textFill>
                    </w:rPr>
                    <w:t>西</w:t>
                  </w:r>
                  <w:r>
                    <w:rPr>
                      <w:rFonts w:hint="default" w:ascii="Times New Roman" w:hAnsi="Times New Roman" w:eastAsia="宋体" w:cs="Times New Roman"/>
                      <w:bCs/>
                      <w:snapToGrid w:val="0"/>
                      <w:color w:val="000000" w:themeColor="text1"/>
                      <w:sz w:val="21"/>
                      <w:szCs w:val="21"/>
                      <w:lang w:eastAsia="zh-CN"/>
                      <w14:textFill>
                        <w14:solidFill>
                          <w14:schemeClr w14:val="tx1"/>
                        </w14:solidFill>
                      </w14:textFill>
                    </w:rPr>
                    <w:t>边界</w:t>
                  </w:r>
                </w:p>
              </w:tc>
              <w:tc>
                <w:tcPr>
                  <w:tcW w:w="105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52</w:t>
                  </w:r>
                </w:p>
              </w:tc>
              <w:tc>
                <w:tcPr>
                  <w:tcW w:w="100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42</w:t>
                  </w:r>
                </w:p>
              </w:tc>
              <w:tc>
                <w:tcPr>
                  <w:tcW w:w="967"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52</w:t>
                  </w:r>
                </w:p>
              </w:tc>
              <w:tc>
                <w:tcPr>
                  <w:tcW w:w="1183"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43</w:t>
                  </w:r>
                </w:p>
              </w:tc>
              <w:tc>
                <w:tcPr>
                  <w:tcW w:w="1042"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60</w:t>
                  </w:r>
                </w:p>
              </w:tc>
              <w:tc>
                <w:tcPr>
                  <w:tcW w:w="1135"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50</w:t>
                  </w:r>
                </w:p>
              </w:tc>
              <w:tc>
                <w:tcPr>
                  <w:tcW w:w="1253"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Cs/>
                      <w:snapToGrid w:val="0"/>
                      <w:color w:val="000000" w:themeColor="text1"/>
                      <w:sz w:val="21"/>
                      <w:szCs w:val="21"/>
                      <w14:textFill>
                        <w14:solidFill>
                          <w14:schemeClr w14:val="tx1"/>
                        </w14:solidFill>
                      </w14:textFill>
                    </w:rPr>
                  </w:pPr>
                  <w:r>
                    <w:rPr>
                      <w:rFonts w:hint="default" w:ascii="Times New Roman" w:hAnsi="Times New Roman" w:cs="Times New Roman"/>
                      <w:bCs/>
                      <w:snapToGrid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23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14:textFill>
                        <w14:solidFill>
                          <w14:schemeClr w14:val="tx1"/>
                        </w14:solidFill>
                      </w14:textFill>
                    </w:rPr>
                    <w:t>北</w:t>
                  </w:r>
                  <w:r>
                    <w:rPr>
                      <w:rFonts w:hint="default" w:ascii="Times New Roman" w:hAnsi="Times New Roman" w:eastAsia="宋体" w:cs="Times New Roman"/>
                      <w:bCs/>
                      <w:snapToGrid w:val="0"/>
                      <w:color w:val="000000" w:themeColor="text1"/>
                      <w:sz w:val="21"/>
                      <w:szCs w:val="21"/>
                      <w:lang w:eastAsia="zh-CN"/>
                      <w14:textFill>
                        <w14:solidFill>
                          <w14:schemeClr w14:val="tx1"/>
                        </w14:solidFill>
                      </w14:textFill>
                    </w:rPr>
                    <w:t>边界</w:t>
                  </w:r>
                </w:p>
              </w:tc>
              <w:tc>
                <w:tcPr>
                  <w:tcW w:w="105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52</w:t>
                  </w:r>
                </w:p>
              </w:tc>
              <w:tc>
                <w:tcPr>
                  <w:tcW w:w="1008"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43</w:t>
                  </w:r>
                </w:p>
              </w:tc>
              <w:tc>
                <w:tcPr>
                  <w:tcW w:w="967"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51</w:t>
                  </w:r>
                </w:p>
              </w:tc>
              <w:tc>
                <w:tcPr>
                  <w:tcW w:w="1183"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43</w:t>
                  </w:r>
                </w:p>
              </w:tc>
              <w:tc>
                <w:tcPr>
                  <w:tcW w:w="1042"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60</w:t>
                  </w:r>
                </w:p>
              </w:tc>
              <w:tc>
                <w:tcPr>
                  <w:tcW w:w="1135"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eastAsia="宋体" w:cs="Times New Roman"/>
                      <w:bCs/>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snapToGrid w:val="0"/>
                      <w:color w:val="000000" w:themeColor="text1"/>
                      <w:sz w:val="21"/>
                      <w:szCs w:val="21"/>
                      <w:lang w:val="en-US" w:eastAsia="zh-CN"/>
                      <w14:textFill>
                        <w14:solidFill>
                          <w14:schemeClr w14:val="tx1"/>
                        </w14:solidFill>
                      </w14:textFill>
                    </w:rPr>
                    <w:t>50</w:t>
                  </w:r>
                </w:p>
              </w:tc>
              <w:tc>
                <w:tcPr>
                  <w:tcW w:w="1253" w:type="dxa"/>
                  <w:tcBorders>
                    <w:tl2br w:val="nil"/>
                    <w:tr2bl w:val="nil"/>
                  </w:tcBorders>
                  <w:noWrap w:val="0"/>
                  <w:vAlign w:val="center"/>
                </w:tcPr>
                <w:p>
                  <w:pPr>
                    <w:keepNext w:val="0"/>
                    <w:keepLines w:val="0"/>
                    <w:pageBreakBefore w:val="0"/>
                    <w:widowControl/>
                    <w:kinsoku/>
                    <w:wordWrap/>
                    <w:overflowPunct/>
                    <w:topLinePunct w:val="0"/>
                    <w:autoSpaceDE/>
                    <w:autoSpaceDN/>
                    <w:bidi w:val="0"/>
                    <w:spacing w:line="400" w:lineRule="exact"/>
                    <w:jc w:val="center"/>
                    <w:textAlignment w:val="auto"/>
                    <w:rPr>
                      <w:rFonts w:hint="default" w:ascii="Times New Roman" w:hAnsi="Times New Roman" w:cs="Times New Roman"/>
                      <w:bCs/>
                      <w:snapToGrid w:val="0"/>
                      <w:color w:val="000000" w:themeColor="text1"/>
                      <w:sz w:val="21"/>
                      <w:szCs w:val="21"/>
                      <w14:textFill>
                        <w14:solidFill>
                          <w14:schemeClr w14:val="tx1"/>
                        </w14:solidFill>
                      </w14:textFill>
                    </w:rPr>
                  </w:pPr>
                  <w:r>
                    <w:rPr>
                      <w:rFonts w:hint="default" w:ascii="Times New Roman" w:hAnsi="Times New Roman" w:cs="Times New Roman"/>
                      <w:bCs/>
                      <w:snapToGrid w:val="0"/>
                      <w:color w:val="000000" w:themeColor="text1"/>
                      <w:sz w:val="21"/>
                      <w:szCs w:val="21"/>
                      <w14:textFill>
                        <w14:solidFill>
                          <w14:schemeClr w14:val="tx1"/>
                        </w14:solidFill>
                      </w14:textFill>
                    </w:rPr>
                    <w:t>达标</w:t>
                  </w:r>
                </w:p>
              </w:tc>
            </w:tr>
          </w:tbl>
          <w:p>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bCs/>
                <w:snapToGrid w:val="0"/>
                <w:color w:val="000000" w:themeColor="text1"/>
                <w:sz w:val="24"/>
                <w:szCs w:val="24"/>
                <w14:textFill>
                  <w14:solidFill>
                    <w14:schemeClr w14:val="tx1"/>
                  </w14:solidFill>
                </w14:textFill>
              </w:rPr>
            </w:pPr>
            <w:r>
              <w:rPr>
                <w:rFonts w:hint="default" w:ascii="Times New Roman" w:hAnsi="Times New Roman" w:cs="Times New Roman"/>
                <w:bCs/>
                <w:snapToGrid w:val="0"/>
                <w:color w:val="000000" w:themeColor="text1"/>
                <w:sz w:val="24"/>
                <w:szCs w:val="24"/>
                <w14:textFill>
                  <w14:solidFill>
                    <w14:schemeClr w14:val="tx1"/>
                  </w14:solidFill>
                </w14:textFill>
              </w:rPr>
              <w:t>由上表可知，项目东、西、北</w:t>
            </w:r>
            <w:r>
              <w:rPr>
                <w:rFonts w:hint="default" w:ascii="Times New Roman" w:hAnsi="Times New Roman" w:cs="Times New Roman"/>
                <w:bCs/>
                <w:snapToGrid w:val="0"/>
                <w:color w:val="000000" w:themeColor="text1"/>
                <w:sz w:val="24"/>
                <w:szCs w:val="24"/>
                <w:lang w:eastAsia="zh-CN"/>
                <w14:textFill>
                  <w14:solidFill>
                    <w14:schemeClr w14:val="tx1"/>
                  </w14:solidFill>
                </w14:textFill>
              </w:rPr>
              <w:t>边界</w:t>
            </w:r>
            <w:r>
              <w:rPr>
                <w:rFonts w:hint="default" w:ascii="Times New Roman" w:hAnsi="Times New Roman" w:cs="Times New Roman"/>
                <w:bCs/>
                <w:snapToGrid w:val="0"/>
                <w:color w:val="000000" w:themeColor="text1"/>
                <w:sz w:val="24"/>
                <w:szCs w:val="24"/>
                <w14:textFill>
                  <w14:solidFill>
                    <w14:schemeClr w14:val="tx1"/>
                  </w14:solidFill>
                </w14:textFill>
              </w:rPr>
              <w:t>的昼间、夜间噪声</w:t>
            </w:r>
            <w:r>
              <w:rPr>
                <w:rFonts w:hint="default" w:ascii="Times New Roman" w:hAnsi="Times New Roman" w:cs="Times New Roman"/>
                <w:color w:val="000000" w:themeColor="text1"/>
                <w:kern w:val="0"/>
                <w:sz w:val="24"/>
                <w:szCs w:val="24"/>
                <w:lang w:val="en-US" w:eastAsia="zh-CN"/>
                <w14:textFill>
                  <w14:solidFill>
                    <w14:schemeClr w14:val="tx1"/>
                  </w14:solidFill>
                </w14:textFill>
              </w:rPr>
              <w:t>检测</w:t>
            </w:r>
            <w:r>
              <w:rPr>
                <w:rFonts w:hint="default" w:ascii="Times New Roman" w:hAnsi="Times New Roman" w:cs="Times New Roman"/>
                <w:bCs/>
                <w:snapToGrid w:val="0"/>
                <w:color w:val="000000" w:themeColor="text1"/>
                <w:sz w:val="24"/>
                <w:szCs w:val="24"/>
                <w14:textFill>
                  <w14:solidFill>
                    <w14:schemeClr w14:val="tx1"/>
                  </w14:solidFill>
                </w14:textFill>
              </w:rPr>
              <w:t>值均满足《声环境质量标准》（GB3096-2008）2类标准要求，南</w:t>
            </w:r>
            <w:r>
              <w:rPr>
                <w:rFonts w:hint="default" w:ascii="Times New Roman" w:hAnsi="Times New Roman" w:cs="Times New Roman"/>
                <w:bCs/>
                <w:snapToGrid w:val="0"/>
                <w:color w:val="000000" w:themeColor="text1"/>
                <w:sz w:val="24"/>
                <w:szCs w:val="24"/>
                <w:lang w:eastAsia="zh-CN"/>
                <w14:textFill>
                  <w14:solidFill>
                    <w14:schemeClr w14:val="tx1"/>
                  </w14:solidFill>
                </w14:textFill>
              </w:rPr>
              <w:t>边界</w:t>
            </w:r>
            <w:r>
              <w:rPr>
                <w:rFonts w:hint="default" w:ascii="Times New Roman" w:hAnsi="Times New Roman" w:cs="Times New Roman"/>
                <w:bCs/>
                <w:snapToGrid w:val="0"/>
                <w:color w:val="000000" w:themeColor="text1"/>
                <w:sz w:val="24"/>
                <w:szCs w:val="24"/>
                <w14:textFill>
                  <w14:solidFill>
                    <w14:schemeClr w14:val="tx1"/>
                  </w14:solidFill>
                </w14:textFill>
              </w:rPr>
              <w:t>的昼间、夜间噪声</w:t>
            </w:r>
            <w:r>
              <w:rPr>
                <w:rFonts w:hint="default" w:ascii="Times New Roman" w:hAnsi="Times New Roman" w:cs="Times New Roman"/>
                <w:color w:val="000000" w:themeColor="text1"/>
                <w:kern w:val="0"/>
                <w:sz w:val="24"/>
                <w:szCs w:val="24"/>
                <w:lang w:val="en-US" w:eastAsia="zh-CN"/>
                <w14:textFill>
                  <w14:solidFill>
                    <w14:schemeClr w14:val="tx1"/>
                  </w14:solidFill>
                </w14:textFill>
              </w:rPr>
              <w:t>检测</w:t>
            </w:r>
            <w:r>
              <w:rPr>
                <w:rFonts w:hint="default" w:ascii="Times New Roman" w:hAnsi="Times New Roman" w:cs="Times New Roman"/>
                <w:bCs/>
                <w:snapToGrid w:val="0"/>
                <w:color w:val="000000" w:themeColor="text1"/>
                <w:sz w:val="24"/>
                <w:szCs w:val="24"/>
                <w14:textFill>
                  <w14:solidFill>
                    <w14:schemeClr w14:val="tx1"/>
                  </w14:solidFill>
                </w14:textFill>
              </w:rPr>
              <w:t>值均满足《声环境质量标准》（GB3096-2008）4a类标准要求，项目所在区域声环境质量较好。</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cs="Times New Roman"/>
                <w:snapToGrid w:val="0"/>
                <w:color w:val="000000" w:themeColor="text1"/>
                <w:sz w:val="24"/>
                <w:szCs w:val="24"/>
                <w14:textFill>
                  <w14:solidFill>
                    <w14:schemeClr w14:val="tx1"/>
                  </w14:solidFill>
                </w14:textFill>
              </w:rPr>
            </w:pPr>
            <w:r>
              <w:rPr>
                <w:rFonts w:hint="default" w:ascii="Times New Roman" w:hAnsi="Times New Roman" w:cs="Times New Roman"/>
                <w:b/>
                <w:snapToGrid w:val="0"/>
                <w:color w:val="000000" w:themeColor="text1"/>
                <w:sz w:val="24"/>
                <w:szCs w:val="24"/>
                <w14:textFill>
                  <w14:solidFill>
                    <w14:schemeClr w14:val="tx1"/>
                  </w14:solidFill>
                </w14:textFill>
              </w:rPr>
              <w:t>4、生态环境</w:t>
            </w:r>
          </w:p>
          <w:p>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本项目位于</w:t>
            </w:r>
            <w:r>
              <w:rPr>
                <w:rFonts w:hint="default" w:ascii="Times New Roman" w:hAnsi="Times New Roman" w:cs="Times New Roman"/>
                <w:snapToGrid w:val="0"/>
                <w:color w:val="000000" w:themeColor="text1"/>
                <w:sz w:val="24"/>
                <w:szCs w:val="24"/>
                <w14:textFill>
                  <w14:solidFill>
                    <w14:schemeClr w14:val="tx1"/>
                  </w14:solidFill>
                </w14:textFill>
              </w:rPr>
              <w:t>漯河市经济技术产业集聚区（含漯河经济开发区）</w:t>
            </w:r>
            <w:r>
              <w:rPr>
                <w:rFonts w:hint="default" w:ascii="Times New Roman" w:hAnsi="Times New Roman" w:cs="Times New Roman"/>
                <w:snapToGrid w:val="0"/>
                <w:color w:val="000000" w:themeColor="text1"/>
                <w:sz w:val="24"/>
                <w:szCs w:val="24"/>
                <w:lang w:eastAsia="zh-CN"/>
                <w14:textFill>
                  <w14:solidFill>
                    <w14:schemeClr w14:val="tx1"/>
                  </w14:solidFill>
                </w14:textFill>
              </w:rPr>
              <w:t>燕山南路与漳江东路交叉口往西北约210米</w:t>
            </w:r>
            <w:r>
              <w:rPr>
                <w:rFonts w:hint="default" w:ascii="Times New Roman" w:hAnsi="Times New Roman" w:cs="Times New Roman"/>
                <w:color w:val="000000" w:themeColor="text1"/>
                <w:kern w:val="0"/>
                <w:sz w:val="24"/>
                <w:szCs w:val="24"/>
                <w14:textFill>
                  <w14:solidFill>
                    <w14:schemeClr w14:val="tx1"/>
                  </w14:solidFill>
                </w14:textFill>
              </w:rPr>
              <w:t>，为</w:t>
            </w:r>
            <w:r>
              <w:rPr>
                <w:rFonts w:hint="default" w:ascii="Times New Roman" w:hAnsi="Times New Roman" w:cs="Times New Roman"/>
                <w:color w:val="000000" w:themeColor="text1"/>
                <w:kern w:val="0"/>
                <w:sz w:val="24"/>
                <w:szCs w:val="24"/>
                <w:lang w:eastAsia="zh-CN"/>
                <w14:textFill>
                  <w14:solidFill>
                    <w14:schemeClr w14:val="tx1"/>
                  </w14:solidFill>
                </w14:textFill>
              </w:rPr>
              <w:t>改扩建项目</w:t>
            </w:r>
            <w:r>
              <w:rPr>
                <w:rFonts w:hint="default" w:ascii="Times New Roman" w:hAnsi="Times New Roman" w:cs="Times New Roman"/>
                <w:color w:val="000000" w:themeColor="text1"/>
                <w:kern w:val="0"/>
                <w:sz w:val="24"/>
                <w:szCs w:val="24"/>
                <w14:textFill>
                  <w14:solidFill>
                    <w14:schemeClr w14:val="tx1"/>
                  </w14:solidFill>
                </w14:textFill>
              </w:rPr>
              <w:t>，不新增占地，群落结构简单，调查期间未发现珍稀野生动物以及受国家保护的动植物种类。总体而言，本区域生态环境质量较好。</w:t>
            </w:r>
          </w:p>
          <w:p>
            <w:pPr>
              <w:keepNext w:val="0"/>
              <w:keepLines w:val="0"/>
              <w:pageBreakBefore w:val="0"/>
              <w:widowControl/>
              <w:numPr>
                <w:ilvl w:val="0"/>
                <w:numId w:val="0"/>
              </w:numPr>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cs="Times New Roman"/>
                <w:b/>
                <w:bCs/>
                <w:color w:val="000000" w:themeColor="text1"/>
                <w:kern w:val="0"/>
                <w:sz w:val="24"/>
                <w:szCs w:val="24"/>
                <w14:textFill>
                  <w14:solidFill>
                    <w14:schemeClr w14:val="tx1"/>
                  </w14:solidFill>
                </w14:textFill>
              </w:rPr>
            </w:pPr>
            <w:r>
              <w:rPr>
                <w:rFonts w:hint="default" w:ascii="Times New Roman" w:hAnsi="Times New Roman" w:cs="Times New Roman"/>
                <w:b/>
                <w:bCs/>
                <w:color w:val="000000" w:themeColor="text1"/>
                <w:kern w:val="0"/>
                <w:sz w:val="24"/>
                <w:szCs w:val="24"/>
                <w:lang w:val="en-US" w:eastAsia="zh-CN"/>
                <w14:textFill>
                  <w14:solidFill>
                    <w14:schemeClr w14:val="tx1"/>
                  </w14:solidFill>
                </w14:textFill>
              </w:rPr>
              <w:t>5、</w:t>
            </w:r>
            <w:r>
              <w:rPr>
                <w:rFonts w:hint="default" w:ascii="Times New Roman" w:hAnsi="Times New Roman" w:cs="Times New Roman"/>
                <w:b/>
                <w:bCs/>
                <w:color w:val="000000" w:themeColor="text1"/>
                <w:kern w:val="0"/>
                <w:sz w:val="24"/>
                <w:szCs w:val="24"/>
                <w14:textFill>
                  <w14:solidFill>
                    <w14:schemeClr w14:val="tx1"/>
                  </w14:solidFill>
                </w14:textFill>
              </w:rPr>
              <w:t>地下水环境质量现状</w:t>
            </w:r>
          </w:p>
          <w:p>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本项目按照《汽车加油加气加氢站技术标准》（GB50156-2021）的规定进行建设，地下储油罐为SF双层罐；油罐的外表面采用相应的防腐涂层；配套相应的双层罐测漏系统；加油管线采用埋设于地面下的固定工艺管道，管道采用双层热塑性复合材料管道，双层管道在最低点设置测漏栓，并配套在线渗漏检测系统。将油罐区、卸油区、加油区设置为重点防渗区，除绿化带以外的其它区域为一般防渗区。采取以上措施后，可有效防止加油管线发生泄漏，因此本项目污染土壤及地下水的可能性极小。</w:t>
            </w:r>
          </w:p>
          <w:p>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根据《建设项目环境影响报告表编制技术指南》（污染影响类）（试行），地下水原则上不开展环境质量现状调查。本次评价开展地下水现状调查，以留作背景值。因此</w:t>
            </w:r>
            <w:r>
              <w:rPr>
                <w:rFonts w:hint="default" w:ascii="Times New Roman" w:hAnsi="Times New Roman" w:cs="Times New Roman"/>
                <w:color w:val="000000" w:themeColor="text1"/>
                <w:sz w:val="24"/>
                <w:szCs w:val="24"/>
                <w14:textFill>
                  <w14:solidFill>
                    <w14:schemeClr w14:val="tx1"/>
                  </w14:solidFill>
                </w14:textFill>
              </w:rPr>
              <w:t>建设单位委托</w:t>
            </w:r>
            <w:r>
              <w:rPr>
                <w:rFonts w:hint="default" w:ascii="Times New Roman" w:hAnsi="Times New Roman" w:cs="Times New Roman"/>
                <w:bCs/>
                <w:snapToGrid w:val="0"/>
                <w:color w:val="000000" w:themeColor="text1"/>
                <w:sz w:val="24"/>
                <w:szCs w:val="24"/>
                <w:lang w:eastAsia="zh-CN"/>
                <w14:textFill>
                  <w14:solidFill>
                    <w14:schemeClr w14:val="tx1"/>
                  </w14:solidFill>
                </w14:textFill>
              </w:rPr>
              <w:t>河南纳克检测技术有限公司</w:t>
            </w:r>
            <w:r>
              <w:rPr>
                <w:rFonts w:hint="default" w:ascii="Times New Roman" w:hAnsi="Times New Roman" w:cs="Times New Roman"/>
                <w:color w:val="000000" w:themeColor="text1"/>
                <w:kern w:val="0"/>
                <w:sz w:val="24"/>
                <w:szCs w:val="24"/>
                <w14:textFill>
                  <w14:solidFill>
                    <w14:schemeClr w14:val="tx1"/>
                  </w14:solidFill>
                </w14:textFill>
              </w:rPr>
              <w:t>在加油站</w:t>
            </w:r>
            <w:r>
              <w:rPr>
                <w:rFonts w:hint="default" w:ascii="Times New Roman" w:hAnsi="Times New Roman" w:cs="Times New Roman"/>
                <w:color w:val="000000" w:themeColor="text1"/>
                <w:kern w:val="0"/>
                <w:sz w:val="24"/>
                <w:szCs w:val="24"/>
                <w:lang w:val="en-US" w:eastAsia="zh-CN"/>
                <w14:textFill>
                  <w14:solidFill>
                    <w14:schemeClr w14:val="tx1"/>
                  </w14:solidFill>
                </w14:textFill>
              </w:rPr>
              <w:t>内</w:t>
            </w:r>
            <w:r>
              <w:rPr>
                <w:rFonts w:hint="default" w:ascii="Times New Roman" w:hAnsi="Times New Roman" w:cs="Times New Roman"/>
                <w:color w:val="000000" w:themeColor="text1"/>
                <w:kern w:val="0"/>
                <w:sz w:val="24"/>
                <w:szCs w:val="24"/>
                <w14:textFill>
                  <w14:solidFill>
                    <w14:schemeClr w14:val="tx1"/>
                  </w14:solidFill>
                </w14:textFill>
              </w:rPr>
              <w:t>地下水</w:t>
            </w:r>
            <w:r>
              <w:rPr>
                <w:rFonts w:hint="default" w:ascii="Times New Roman" w:hAnsi="Times New Roman" w:cs="Times New Roman"/>
                <w:color w:val="000000" w:themeColor="text1"/>
                <w:kern w:val="0"/>
                <w:sz w:val="24"/>
                <w:szCs w:val="24"/>
                <w:lang w:val="en-US" w:eastAsia="zh-CN"/>
                <w14:textFill>
                  <w14:solidFill>
                    <w14:schemeClr w14:val="tx1"/>
                  </w14:solidFill>
                </w14:textFill>
              </w:rPr>
              <w:t>监测井采样检测地下水</w:t>
            </w:r>
            <w:r>
              <w:rPr>
                <w:rFonts w:hint="default" w:ascii="Times New Roman" w:hAnsi="Times New Roman" w:cs="Times New Roman"/>
                <w:color w:val="000000" w:themeColor="text1"/>
                <w:kern w:val="0"/>
                <w:sz w:val="24"/>
                <w:szCs w:val="24"/>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14:textFill>
                  <w14:solidFill>
                    <w14:schemeClr w14:val="tx1"/>
                  </w14:solidFill>
                </w14:textFill>
              </w:rPr>
              <w:t>检测</w:t>
            </w:r>
            <w:r>
              <w:rPr>
                <w:rFonts w:hint="default" w:ascii="Times New Roman" w:hAnsi="Times New Roman" w:cs="Times New Roman"/>
                <w:color w:val="000000" w:themeColor="text1"/>
                <w:kern w:val="0"/>
                <w:sz w:val="24"/>
                <w:szCs w:val="24"/>
                <w14:textFill>
                  <w14:solidFill>
                    <w14:schemeClr w14:val="tx1"/>
                  </w14:solidFill>
                </w14:textFill>
              </w:rPr>
              <w:t>结果作为背景值。</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cs="Times New Roman"/>
                <w:b/>
                <w:bCs/>
                <w:color w:val="000000" w:themeColor="text1"/>
                <w:kern w:val="0"/>
                <w:sz w:val="24"/>
                <w:szCs w:val="24"/>
                <w14:textFill>
                  <w14:solidFill>
                    <w14:schemeClr w14:val="tx1"/>
                  </w14:solidFill>
                </w14:textFill>
              </w:rPr>
            </w:pPr>
            <w:r>
              <w:rPr>
                <w:rFonts w:hint="default" w:ascii="Times New Roman" w:hAnsi="Times New Roman" w:cs="Times New Roman"/>
                <w:b/>
                <w:bCs/>
                <w:color w:val="000000" w:themeColor="text1"/>
                <w:kern w:val="0"/>
                <w:sz w:val="24"/>
                <w:szCs w:val="24"/>
                <w14:textFill>
                  <w14:solidFill>
                    <w14:schemeClr w14:val="tx1"/>
                  </w14:solidFill>
                </w14:textFill>
              </w:rPr>
              <w:t>5.1地下水现状调查</w:t>
            </w:r>
          </w:p>
          <w:p>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①</w:t>
            </w:r>
            <w:r>
              <w:rPr>
                <w:rFonts w:hint="default" w:ascii="Times New Roman" w:hAnsi="Times New Roman" w:cs="Times New Roman"/>
                <w:color w:val="000000" w:themeColor="text1"/>
                <w:kern w:val="0"/>
                <w:sz w:val="24"/>
                <w:szCs w:val="24"/>
                <w:lang w:val="en-US" w:eastAsia="zh-CN"/>
                <w14:textFill>
                  <w14:solidFill>
                    <w14:schemeClr w14:val="tx1"/>
                  </w14:solidFill>
                </w14:textFill>
              </w:rPr>
              <w:t>检测</w:t>
            </w:r>
            <w:r>
              <w:rPr>
                <w:rFonts w:hint="default" w:ascii="Times New Roman" w:hAnsi="Times New Roman" w:cs="Times New Roman"/>
                <w:color w:val="000000" w:themeColor="text1"/>
                <w:kern w:val="0"/>
                <w:sz w:val="24"/>
                <w:szCs w:val="24"/>
                <w14:textFill>
                  <w14:solidFill>
                    <w14:schemeClr w14:val="tx1"/>
                  </w14:solidFill>
                </w14:textFill>
              </w:rPr>
              <w:t>时间及布点：</w:t>
            </w:r>
            <w:r>
              <w:rPr>
                <w:rFonts w:hint="default" w:ascii="Times New Roman" w:hAnsi="Times New Roman" w:cs="Times New Roman"/>
                <w:color w:val="000000" w:themeColor="text1"/>
                <w:kern w:val="0"/>
                <w:sz w:val="24"/>
                <w:szCs w:val="24"/>
                <w:lang w:val="en-US" w:eastAsia="zh-CN"/>
                <w14:textFill>
                  <w14:solidFill>
                    <w14:schemeClr w14:val="tx1"/>
                  </w14:solidFill>
                </w14:textFill>
              </w:rPr>
              <w:t>检测</w:t>
            </w:r>
            <w:r>
              <w:rPr>
                <w:rFonts w:hint="default" w:ascii="Times New Roman" w:hAnsi="Times New Roman" w:cs="Times New Roman"/>
                <w:color w:val="000000" w:themeColor="text1"/>
                <w:kern w:val="0"/>
                <w:sz w:val="24"/>
                <w:szCs w:val="24"/>
                <w14:textFill>
                  <w14:solidFill>
                    <w14:schemeClr w14:val="tx1"/>
                  </w14:solidFill>
                </w14:textFill>
              </w:rPr>
              <w:t>时间</w:t>
            </w:r>
            <w:r>
              <w:rPr>
                <w:rFonts w:hint="default" w:ascii="Times New Roman" w:hAnsi="Times New Roman" w:cs="Times New Roman"/>
                <w:color w:val="000000" w:themeColor="text1"/>
                <w:kern w:val="0"/>
                <w:sz w:val="24"/>
                <w:szCs w:val="24"/>
                <w:lang w:eastAsia="zh-CN"/>
                <w14:textFill>
                  <w14:solidFill>
                    <w14:schemeClr w14:val="tx1"/>
                  </w14:solidFill>
                </w14:textFill>
              </w:rPr>
              <w:t>：</w:t>
            </w:r>
            <w:r>
              <w:rPr>
                <w:rFonts w:hint="default" w:ascii="Times New Roman" w:hAnsi="Times New Roman" w:cs="Times New Roman"/>
                <w:color w:val="000000" w:themeColor="text1"/>
                <w:kern w:val="0"/>
                <w:sz w:val="24"/>
                <w:szCs w:val="24"/>
                <w14:textFill>
                  <w14:solidFill>
                    <w14:schemeClr w14:val="tx1"/>
                  </w14:solidFill>
                </w14:textFill>
              </w:rPr>
              <w:t>2022年08月08日，</w:t>
            </w:r>
            <w:r>
              <w:rPr>
                <w:rFonts w:hint="default" w:ascii="Times New Roman" w:hAnsi="Times New Roman" w:cs="Times New Roman"/>
                <w:color w:val="000000" w:themeColor="text1"/>
                <w:kern w:val="0"/>
                <w:sz w:val="24"/>
                <w:szCs w:val="24"/>
                <w:lang w:val="en-US" w:eastAsia="zh-CN"/>
                <w14:textFill>
                  <w14:solidFill>
                    <w14:schemeClr w14:val="tx1"/>
                  </w14:solidFill>
                </w14:textFill>
              </w:rPr>
              <w:t>检测</w:t>
            </w:r>
            <w:r>
              <w:rPr>
                <w:rFonts w:hint="default" w:ascii="Times New Roman" w:hAnsi="Times New Roman" w:cs="Times New Roman"/>
                <w:color w:val="000000" w:themeColor="text1"/>
                <w:kern w:val="0"/>
                <w:sz w:val="24"/>
                <w:szCs w:val="24"/>
                <w14:textFill>
                  <w14:solidFill>
                    <w14:schemeClr w14:val="tx1"/>
                  </w14:solidFill>
                </w14:textFill>
              </w:rPr>
              <w:t>点位</w:t>
            </w:r>
            <w:r>
              <w:rPr>
                <w:rFonts w:hint="default" w:ascii="Times New Roman" w:hAnsi="Times New Roman" w:cs="Times New Roman"/>
                <w:color w:val="000000" w:themeColor="text1"/>
                <w:kern w:val="0"/>
                <w:sz w:val="24"/>
                <w:szCs w:val="24"/>
                <w:lang w:eastAsia="zh-CN"/>
                <w14:textFill>
                  <w14:solidFill>
                    <w14:schemeClr w14:val="tx1"/>
                  </w14:solidFill>
                </w14:textFill>
              </w:rPr>
              <w:t>：</w:t>
            </w:r>
            <w:r>
              <w:rPr>
                <w:rFonts w:hint="default" w:ascii="Times New Roman" w:hAnsi="Times New Roman" w:cs="Times New Roman"/>
                <w:color w:val="000000" w:themeColor="text1"/>
                <w:kern w:val="0"/>
                <w:sz w:val="24"/>
                <w:szCs w:val="24"/>
                <w14:textFill>
                  <w14:solidFill>
                    <w14:schemeClr w14:val="tx1"/>
                  </w14:solidFill>
                </w14:textFill>
              </w:rPr>
              <w:t>加油站</w:t>
            </w:r>
            <w:r>
              <w:rPr>
                <w:rFonts w:hint="default" w:ascii="Times New Roman" w:hAnsi="Times New Roman" w:cs="Times New Roman"/>
                <w:color w:val="000000" w:themeColor="text1"/>
                <w:kern w:val="0"/>
                <w:sz w:val="24"/>
                <w:szCs w:val="24"/>
                <w:lang w:val="en-US" w:eastAsia="zh-CN"/>
                <w14:textFill>
                  <w14:solidFill>
                    <w14:schemeClr w14:val="tx1"/>
                  </w14:solidFill>
                </w14:textFill>
              </w:rPr>
              <w:t>内监测井</w:t>
            </w:r>
            <w:r>
              <w:rPr>
                <w:rFonts w:hint="default" w:ascii="Times New Roman" w:hAnsi="Times New Roman" w:cs="Times New Roman"/>
                <w:color w:val="000000" w:themeColor="text1"/>
                <w:kern w:val="0"/>
                <w:sz w:val="24"/>
                <w:szCs w:val="24"/>
                <w14:textFill>
                  <w14:solidFill>
                    <w14:schemeClr w14:val="tx1"/>
                  </w14:solidFill>
                </w14:textFill>
              </w:rPr>
              <w:t>。</w:t>
            </w:r>
          </w:p>
          <w:p>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②</w:t>
            </w:r>
            <w:r>
              <w:rPr>
                <w:rFonts w:hint="default" w:ascii="Times New Roman" w:hAnsi="Times New Roman" w:cs="Times New Roman"/>
                <w:color w:val="000000" w:themeColor="text1"/>
                <w:kern w:val="0"/>
                <w:sz w:val="24"/>
                <w:szCs w:val="24"/>
                <w:lang w:val="en-US" w:eastAsia="zh-CN"/>
                <w14:textFill>
                  <w14:solidFill>
                    <w14:schemeClr w14:val="tx1"/>
                  </w14:solidFill>
                </w14:textFill>
              </w:rPr>
              <w:t>检测</w:t>
            </w:r>
            <w:r>
              <w:rPr>
                <w:rFonts w:hint="default" w:ascii="Times New Roman" w:hAnsi="Times New Roman" w:cs="Times New Roman"/>
                <w:color w:val="000000" w:themeColor="text1"/>
                <w:kern w:val="0"/>
                <w:sz w:val="24"/>
                <w:szCs w:val="24"/>
                <w14:textFill>
                  <w14:solidFill>
                    <w14:schemeClr w14:val="tx1"/>
                  </w14:solidFill>
                </w14:textFill>
              </w:rPr>
              <w:t>因子及</w:t>
            </w:r>
            <w:r>
              <w:rPr>
                <w:rFonts w:hint="eastAsia" w:ascii="Times New Roman" w:hAnsi="Times New Roman" w:cs="Times New Roman"/>
                <w:color w:val="000000" w:themeColor="text1"/>
                <w:kern w:val="0"/>
                <w:sz w:val="24"/>
                <w:szCs w:val="24"/>
                <w:lang w:eastAsia="zh-CN"/>
                <w14:textFill>
                  <w14:solidFill>
                    <w14:schemeClr w14:val="tx1"/>
                  </w14:solidFill>
                </w14:textFill>
              </w:rPr>
              <w:t>检测</w:t>
            </w:r>
            <w:r>
              <w:rPr>
                <w:rFonts w:hint="default" w:ascii="Times New Roman" w:hAnsi="Times New Roman" w:cs="Times New Roman"/>
                <w:color w:val="000000" w:themeColor="text1"/>
                <w:kern w:val="0"/>
                <w:sz w:val="24"/>
                <w:szCs w:val="24"/>
                <w14:textFill>
                  <w14:solidFill>
                    <w14:schemeClr w14:val="tx1"/>
                  </w14:solidFill>
                </w14:textFill>
              </w:rPr>
              <w:t>频率</w:t>
            </w:r>
          </w:p>
          <w:p>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pH、氨氮、硝酸盐、亚硝酸盐、挥发酚、氰化物、砷、汞、六价铬、总硬度、铅、氟、镉、铁、锰、溶解性总固体、耗氧量、硫酸盐、氯化物、总大肠菌群、细菌总数、</w:t>
            </w:r>
            <w:r>
              <w:rPr>
                <w:rFonts w:hint="default" w:ascii="Times New Roman" w:hAnsi="Times New Roman" w:cs="Times New Roman"/>
                <w:color w:val="000000" w:themeColor="text1"/>
                <w:kern w:val="0"/>
                <w:sz w:val="24"/>
                <w:szCs w:val="24"/>
                <w:lang w:val="en-US" w:eastAsia="zh-CN"/>
                <w14:textFill>
                  <w14:solidFill>
                    <w14:schemeClr w14:val="tx1"/>
                  </w14:solidFill>
                </w14:textFill>
              </w:rPr>
              <w:t>钾</w:t>
            </w:r>
            <w:r>
              <w:rPr>
                <w:rFonts w:hint="default" w:ascii="Times New Roman" w:hAnsi="Times New Roman" w:cs="Times New Roman"/>
                <w:color w:val="000000" w:themeColor="text1"/>
                <w:kern w:val="0"/>
                <w:sz w:val="24"/>
                <w:szCs w:val="24"/>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14:textFill>
                  <w14:solidFill>
                    <w14:schemeClr w14:val="tx1"/>
                  </w14:solidFill>
                </w14:textFill>
              </w:rPr>
              <w:t>钠</w:t>
            </w:r>
            <w:r>
              <w:rPr>
                <w:rFonts w:hint="default" w:ascii="Times New Roman" w:hAnsi="Times New Roman" w:cs="Times New Roman"/>
                <w:color w:val="000000" w:themeColor="text1"/>
                <w:kern w:val="0"/>
                <w:sz w:val="24"/>
                <w:szCs w:val="24"/>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14:textFill>
                  <w14:solidFill>
                    <w14:schemeClr w14:val="tx1"/>
                  </w14:solidFill>
                </w14:textFill>
              </w:rPr>
              <w:t>钙</w:t>
            </w:r>
            <w:r>
              <w:rPr>
                <w:rFonts w:hint="default" w:ascii="Times New Roman" w:hAnsi="Times New Roman" w:cs="Times New Roman"/>
                <w:color w:val="000000" w:themeColor="text1"/>
                <w:kern w:val="0"/>
                <w:sz w:val="24"/>
                <w:szCs w:val="24"/>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14:textFill>
                  <w14:solidFill>
                    <w14:schemeClr w14:val="tx1"/>
                  </w14:solidFill>
                </w14:textFill>
              </w:rPr>
              <w:t>镁</w:t>
            </w:r>
            <w:r>
              <w:rPr>
                <w:rFonts w:hint="default" w:ascii="Times New Roman" w:hAnsi="Times New Roman" w:cs="Times New Roman"/>
                <w:color w:val="000000" w:themeColor="text1"/>
                <w:kern w:val="0"/>
                <w:sz w:val="24"/>
                <w:szCs w:val="24"/>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14:textFill>
                  <w14:solidFill>
                    <w14:schemeClr w14:val="tx1"/>
                  </w14:solidFill>
                </w14:textFill>
              </w:rPr>
              <w:t>碳酸根</w:t>
            </w:r>
            <w:r>
              <w:rPr>
                <w:rFonts w:hint="default" w:ascii="Times New Roman" w:hAnsi="Times New Roman" w:cs="Times New Roman"/>
                <w:color w:val="000000" w:themeColor="text1"/>
                <w:kern w:val="0"/>
                <w:sz w:val="24"/>
                <w:szCs w:val="24"/>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14:textFill>
                  <w14:solidFill>
                    <w14:schemeClr w14:val="tx1"/>
                  </w14:solidFill>
                </w14:textFill>
              </w:rPr>
              <w:t>碳酸氢根</w:t>
            </w:r>
            <w:r>
              <w:rPr>
                <w:rFonts w:hint="default" w:ascii="Times New Roman" w:hAnsi="Times New Roman" w:cs="Times New Roman"/>
                <w:color w:val="000000" w:themeColor="text1"/>
                <w:kern w:val="0"/>
                <w:sz w:val="24"/>
                <w:szCs w:val="24"/>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14:textFill>
                  <w14:solidFill>
                    <w14:schemeClr w14:val="tx1"/>
                  </w14:solidFill>
                </w14:textFill>
              </w:rPr>
              <w:t>氯化物</w:t>
            </w:r>
            <w:r>
              <w:rPr>
                <w:rFonts w:hint="default" w:ascii="Times New Roman" w:hAnsi="Times New Roman" w:cs="Times New Roman"/>
                <w:color w:val="000000" w:themeColor="text1"/>
                <w:kern w:val="0"/>
                <w:sz w:val="24"/>
                <w:szCs w:val="24"/>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14:textFill>
                  <w14:solidFill>
                    <w14:schemeClr w14:val="tx1"/>
                  </w14:solidFill>
                </w14:textFill>
              </w:rPr>
              <w:t>硫酸盐</w:t>
            </w:r>
            <w:r>
              <w:rPr>
                <w:rFonts w:hint="default" w:ascii="Times New Roman" w:hAnsi="Times New Roman" w:cs="Times New Roman"/>
                <w:color w:val="000000" w:themeColor="text1"/>
                <w:kern w:val="0"/>
                <w:sz w:val="24"/>
                <w:szCs w:val="24"/>
                <w14:textFill>
                  <w14:solidFill>
                    <w14:schemeClr w14:val="tx1"/>
                  </w14:solidFill>
                </w14:textFill>
              </w:rPr>
              <w:t>、石油类。</w:t>
            </w:r>
          </w:p>
          <w:p>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lang w:val="en-US" w:eastAsia="zh-CN"/>
                <w14:textFill>
                  <w14:solidFill>
                    <w14:schemeClr w14:val="tx1"/>
                  </w14:solidFill>
                </w14:textFill>
              </w:rPr>
              <w:t>③</w:t>
            </w:r>
            <w:r>
              <w:rPr>
                <w:rFonts w:hint="default" w:ascii="Times New Roman" w:hAnsi="Times New Roman" w:cs="Times New Roman"/>
                <w:color w:val="000000" w:themeColor="text1"/>
                <w:kern w:val="0"/>
                <w:sz w:val="24"/>
                <w:szCs w:val="24"/>
                <w14:textFill>
                  <w14:solidFill>
                    <w14:schemeClr w14:val="tx1"/>
                  </w14:solidFill>
                </w14:textFill>
              </w:rPr>
              <w:t>监测及评价结果</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表25            地下水</w:t>
            </w:r>
            <w:r>
              <w:rPr>
                <w:rFonts w:hint="eastAsia" w:ascii="Times New Roman" w:hAnsi="Times New Roman" w:cs="Times New Roman"/>
                <w:b/>
                <w:color w:val="000000" w:themeColor="text1"/>
                <w:kern w:val="2"/>
                <w:sz w:val="24"/>
                <w:szCs w:val="24"/>
                <w:highlight w:val="none"/>
                <w:u w:val="none"/>
                <w:lang w:val="en-US" w:eastAsia="zh-CN" w:bidi="ar-SA"/>
                <w14:textFill>
                  <w14:solidFill>
                    <w14:schemeClr w14:val="tx1"/>
                  </w14:solidFill>
                </w14:textFill>
              </w:rPr>
              <w:t>检测</w:t>
            </w: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分析结果            单位：mg/L（另注除外）</w:t>
            </w:r>
          </w:p>
          <w:tbl>
            <w:tblPr>
              <w:tblStyle w:val="37"/>
              <w:tblW w:w="5074"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630"/>
              <w:gridCol w:w="1758"/>
              <w:gridCol w:w="1550"/>
              <w:gridCol w:w="1525"/>
              <w:gridCol w:w="144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476"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400" w:lineRule="exact"/>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检测项目</w:t>
                  </w:r>
                </w:p>
              </w:tc>
              <w:tc>
                <w:tcPr>
                  <w:tcW w:w="986"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400" w:lineRule="exact"/>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检测结果</w:t>
                  </w:r>
                </w:p>
              </w:tc>
              <w:tc>
                <w:tcPr>
                  <w:tcW w:w="870"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400" w:lineRule="exact"/>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单位</w:t>
                  </w:r>
                </w:p>
              </w:tc>
              <w:tc>
                <w:tcPr>
                  <w:tcW w:w="855"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400" w:lineRule="exact"/>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标准</w:t>
                  </w:r>
                </w:p>
              </w:tc>
              <w:tc>
                <w:tcPr>
                  <w:tcW w:w="81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400" w:lineRule="exact"/>
                    <w:ind w:firstLine="0" w:firstLine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达标情况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6"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eastAsia="zh-CN"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钙</w:t>
                  </w:r>
                </w:p>
              </w:tc>
              <w:tc>
                <w:tcPr>
                  <w:tcW w:w="98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51.7</w:t>
                  </w:r>
                </w:p>
              </w:tc>
              <w:tc>
                <w:tcPr>
                  <w:tcW w:w="870"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mg/L</w:t>
                  </w:r>
                </w:p>
              </w:tc>
              <w:tc>
                <w:tcPr>
                  <w:tcW w:w="855"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w:t>
                  </w:r>
                </w:p>
              </w:tc>
              <w:tc>
                <w:tcPr>
                  <w:tcW w:w="811"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76"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钾</w:t>
                  </w:r>
                </w:p>
              </w:tc>
              <w:tc>
                <w:tcPr>
                  <w:tcW w:w="98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12.4</w:t>
                  </w:r>
                </w:p>
              </w:tc>
              <w:tc>
                <w:tcPr>
                  <w:tcW w:w="870"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mg/L</w:t>
                  </w:r>
                </w:p>
              </w:tc>
              <w:tc>
                <w:tcPr>
                  <w:tcW w:w="855"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76"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镁</w:t>
                  </w:r>
                </w:p>
              </w:tc>
              <w:tc>
                <w:tcPr>
                  <w:tcW w:w="98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27.3</w:t>
                  </w:r>
                </w:p>
              </w:tc>
              <w:tc>
                <w:tcPr>
                  <w:tcW w:w="870"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mg/L</w:t>
                  </w:r>
                </w:p>
              </w:tc>
              <w:tc>
                <w:tcPr>
                  <w:tcW w:w="855"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7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pH</w:t>
                  </w:r>
                </w:p>
              </w:tc>
              <w:tc>
                <w:tcPr>
                  <w:tcW w:w="98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7.2（6.8℃）</w:t>
                  </w:r>
                </w:p>
              </w:tc>
              <w:tc>
                <w:tcPr>
                  <w:tcW w:w="870"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w:t>
                  </w:r>
                </w:p>
              </w:tc>
              <w:tc>
                <w:tcPr>
                  <w:tcW w:w="855"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6.5≤pH≤8.5</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7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总硬度</w:t>
                  </w:r>
                </w:p>
              </w:tc>
              <w:tc>
                <w:tcPr>
                  <w:tcW w:w="98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260</w:t>
                  </w:r>
                </w:p>
              </w:tc>
              <w:tc>
                <w:tcPr>
                  <w:tcW w:w="870"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mg/L</w:t>
                  </w:r>
                </w:p>
              </w:tc>
              <w:tc>
                <w:tcPr>
                  <w:tcW w:w="855"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≤450</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7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溶解性总固体</w:t>
                  </w:r>
                </w:p>
              </w:tc>
              <w:tc>
                <w:tcPr>
                  <w:tcW w:w="98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752</w:t>
                  </w:r>
                </w:p>
              </w:tc>
              <w:tc>
                <w:tcPr>
                  <w:tcW w:w="870"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mg/L</w:t>
                  </w:r>
                </w:p>
              </w:tc>
              <w:tc>
                <w:tcPr>
                  <w:tcW w:w="855"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≤1000</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7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硫酸盐</w:t>
                  </w:r>
                </w:p>
              </w:tc>
              <w:tc>
                <w:tcPr>
                  <w:tcW w:w="98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77</w:t>
                  </w:r>
                </w:p>
              </w:tc>
              <w:tc>
                <w:tcPr>
                  <w:tcW w:w="870"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mg/L</w:t>
                  </w:r>
                </w:p>
              </w:tc>
              <w:tc>
                <w:tcPr>
                  <w:tcW w:w="855"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≤250</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7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氯化物</w:t>
                  </w:r>
                </w:p>
              </w:tc>
              <w:tc>
                <w:tcPr>
                  <w:tcW w:w="98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50.2</w:t>
                  </w:r>
                </w:p>
              </w:tc>
              <w:tc>
                <w:tcPr>
                  <w:tcW w:w="870"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mg/L</w:t>
                  </w:r>
                </w:p>
              </w:tc>
              <w:tc>
                <w:tcPr>
                  <w:tcW w:w="855"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≤250</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7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铁</w:t>
                  </w:r>
                </w:p>
              </w:tc>
              <w:tc>
                <w:tcPr>
                  <w:tcW w:w="986" w:type="pct"/>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1.92×10</w:t>
                  </w:r>
                  <w:r>
                    <w:rPr>
                      <w:rFonts w:hint="default" w:ascii="Times New Roman" w:hAnsi="Times New Roman" w:eastAsia="宋体" w:cs="Times New Roman"/>
                      <w:b w:val="0"/>
                      <w:bCs w:val="0"/>
                      <w:color w:val="000000" w:themeColor="text1"/>
                      <w:sz w:val="21"/>
                      <w:szCs w:val="21"/>
                      <w:vertAlign w:val="superscript"/>
                      <w:lang w:val="en-US" w:eastAsia="zh-CN"/>
                      <w14:textFill>
                        <w14:solidFill>
                          <w14:schemeClr w14:val="tx1"/>
                        </w14:solidFill>
                      </w14:textFill>
                    </w:rPr>
                    <w:t>-3</w:t>
                  </w:r>
                </w:p>
              </w:tc>
              <w:tc>
                <w:tcPr>
                  <w:tcW w:w="870"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mg/L</w:t>
                  </w:r>
                </w:p>
              </w:tc>
              <w:tc>
                <w:tcPr>
                  <w:tcW w:w="855"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≤0.3</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7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锰</w:t>
                  </w:r>
                </w:p>
              </w:tc>
              <w:tc>
                <w:tcPr>
                  <w:tcW w:w="986" w:type="pct"/>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5.8×10</w:t>
                  </w:r>
                  <w:r>
                    <w:rPr>
                      <w:rFonts w:hint="default" w:ascii="Times New Roman" w:hAnsi="Times New Roman" w:eastAsia="宋体" w:cs="Times New Roman"/>
                      <w:b w:val="0"/>
                      <w:bCs w:val="0"/>
                      <w:color w:val="000000" w:themeColor="text1"/>
                      <w:sz w:val="21"/>
                      <w:szCs w:val="21"/>
                      <w:vertAlign w:val="superscript"/>
                      <w:lang w:val="en-US" w:eastAsia="zh-CN"/>
                      <w14:textFill>
                        <w14:solidFill>
                          <w14:schemeClr w14:val="tx1"/>
                        </w14:solidFill>
                      </w14:textFill>
                    </w:rPr>
                    <w:t>-4</w:t>
                  </w:r>
                </w:p>
              </w:tc>
              <w:tc>
                <w:tcPr>
                  <w:tcW w:w="870"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mg/L</w:t>
                  </w:r>
                </w:p>
              </w:tc>
              <w:tc>
                <w:tcPr>
                  <w:tcW w:w="855"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≤0.10</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挥发酚</w:t>
                  </w:r>
                </w:p>
              </w:tc>
              <w:tc>
                <w:tcPr>
                  <w:tcW w:w="98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未检出</w:t>
                  </w:r>
                </w:p>
              </w:tc>
              <w:tc>
                <w:tcPr>
                  <w:tcW w:w="870"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mg/L</w:t>
                  </w:r>
                </w:p>
              </w:tc>
              <w:tc>
                <w:tcPr>
                  <w:tcW w:w="855"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≤0.002</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7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耗氧量</w:t>
                  </w:r>
                </w:p>
              </w:tc>
              <w:tc>
                <w:tcPr>
                  <w:tcW w:w="98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1.89</w:t>
                  </w:r>
                </w:p>
              </w:tc>
              <w:tc>
                <w:tcPr>
                  <w:tcW w:w="870"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mg/L</w:t>
                  </w:r>
                </w:p>
              </w:tc>
              <w:tc>
                <w:tcPr>
                  <w:tcW w:w="855"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≤3.0</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7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氨氮</w:t>
                  </w:r>
                </w:p>
              </w:tc>
              <w:tc>
                <w:tcPr>
                  <w:tcW w:w="98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0.09</w:t>
                  </w:r>
                </w:p>
              </w:tc>
              <w:tc>
                <w:tcPr>
                  <w:tcW w:w="870"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mg/L</w:t>
                  </w:r>
                </w:p>
              </w:tc>
              <w:tc>
                <w:tcPr>
                  <w:tcW w:w="855"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≤0.50</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7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钠</w:t>
                  </w:r>
                </w:p>
              </w:tc>
              <w:tc>
                <w:tcPr>
                  <w:tcW w:w="98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17.9</w:t>
                  </w:r>
                </w:p>
              </w:tc>
              <w:tc>
                <w:tcPr>
                  <w:tcW w:w="870"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mg/L</w:t>
                  </w:r>
                </w:p>
              </w:tc>
              <w:tc>
                <w:tcPr>
                  <w:tcW w:w="85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≤200</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7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总大肠菌群</w:t>
                  </w:r>
                </w:p>
              </w:tc>
              <w:tc>
                <w:tcPr>
                  <w:tcW w:w="98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未检出</w:t>
                  </w:r>
                </w:p>
              </w:tc>
              <w:tc>
                <w:tcPr>
                  <w:tcW w:w="870"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MPN/100mL</w:t>
                  </w:r>
                </w:p>
              </w:tc>
              <w:tc>
                <w:tcPr>
                  <w:tcW w:w="85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≤3.0</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47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菌落总数</w:t>
                  </w:r>
                </w:p>
              </w:tc>
              <w:tc>
                <w:tcPr>
                  <w:tcW w:w="98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39</w:t>
                  </w:r>
                </w:p>
              </w:tc>
              <w:tc>
                <w:tcPr>
                  <w:tcW w:w="870"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CFU/mL</w:t>
                  </w:r>
                </w:p>
              </w:tc>
              <w:tc>
                <w:tcPr>
                  <w:tcW w:w="85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≤100</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7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亚硝酸盐</w:t>
                  </w:r>
                  <w:r>
                    <w:rPr>
                      <w:rFonts w:hint="default" w:ascii="Times New Roman" w:hAnsi="Times New Roman" w:eastAsia="宋体" w:cs="Times New Roman"/>
                      <w:b w:val="0"/>
                      <w:bCs w:val="0"/>
                      <w:color w:val="000000" w:themeColor="text1"/>
                      <w:sz w:val="21"/>
                      <w:szCs w:val="21"/>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氮</w:t>
                  </w:r>
                  <w:r>
                    <w:rPr>
                      <w:rFonts w:hint="default" w:ascii="Times New Roman" w:hAnsi="Times New Roman" w:eastAsia="宋体" w:cs="Times New Roman"/>
                      <w:b w:val="0"/>
                      <w:bCs w:val="0"/>
                      <w:color w:val="000000" w:themeColor="text1"/>
                      <w:sz w:val="21"/>
                      <w:szCs w:val="21"/>
                      <w:lang w:eastAsia="zh-CN"/>
                      <w14:textFill>
                        <w14:solidFill>
                          <w14:schemeClr w14:val="tx1"/>
                        </w14:solidFill>
                      </w14:textFill>
                    </w:rPr>
                    <w:t>）</w:t>
                  </w:r>
                </w:p>
              </w:tc>
              <w:tc>
                <w:tcPr>
                  <w:tcW w:w="98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未检出</w:t>
                  </w:r>
                </w:p>
              </w:tc>
              <w:tc>
                <w:tcPr>
                  <w:tcW w:w="870"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mg/L</w:t>
                  </w:r>
                </w:p>
              </w:tc>
              <w:tc>
                <w:tcPr>
                  <w:tcW w:w="85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≤1.00</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7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硝酸盐</w:t>
                  </w:r>
                  <w:r>
                    <w:rPr>
                      <w:rFonts w:hint="default" w:ascii="Times New Roman" w:hAnsi="Times New Roman" w:eastAsia="宋体" w:cs="Times New Roman"/>
                      <w:b w:val="0"/>
                      <w:bCs w:val="0"/>
                      <w:color w:val="000000" w:themeColor="text1"/>
                      <w:sz w:val="21"/>
                      <w:szCs w:val="21"/>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氮</w:t>
                  </w:r>
                  <w:r>
                    <w:rPr>
                      <w:rFonts w:hint="default" w:ascii="Times New Roman" w:hAnsi="Times New Roman" w:eastAsia="宋体" w:cs="Times New Roman"/>
                      <w:b w:val="0"/>
                      <w:bCs w:val="0"/>
                      <w:color w:val="000000" w:themeColor="text1"/>
                      <w:sz w:val="21"/>
                      <w:szCs w:val="21"/>
                      <w:lang w:eastAsia="zh-CN"/>
                      <w14:textFill>
                        <w14:solidFill>
                          <w14:schemeClr w14:val="tx1"/>
                        </w14:solidFill>
                      </w14:textFill>
                    </w:rPr>
                    <w:t>）</w:t>
                  </w:r>
                </w:p>
              </w:tc>
              <w:tc>
                <w:tcPr>
                  <w:tcW w:w="98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0.39</w:t>
                  </w:r>
                </w:p>
              </w:tc>
              <w:tc>
                <w:tcPr>
                  <w:tcW w:w="870"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mg/L</w:t>
                  </w:r>
                </w:p>
              </w:tc>
              <w:tc>
                <w:tcPr>
                  <w:tcW w:w="85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≤20.0</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7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总</w:t>
                  </w:r>
                  <w:r>
                    <w:rPr>
                      <w:rFonts w:hint="default" w:ascii="Times New Roman" w:hAnsi="Times New Roman" w:eastAsia="宋体" w:cs="Times New Roman"/>
                      <w:b w:val="0"/>
                      <w:bCs w:val="0"/>
                      <w:color w:val="000000" w:themeColor="text1"/>
                      <w:sz w:val="21"/>
                      <w:szCs w:val="21"/>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14:textFill>
                        <w14:solidFill>
                          <w14:schemeClr w14:val="tx1"/>
                        </w14:solidFill>
                      </w14:textFill>
                    </w:rPr>
                    <w:t>氰化物</w:t>
                  </w:r>
                </w:p>
              </w:tc>
              <w:tc>
                <w:tcPr>
                  <w:tcW w:w="98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未检出</w:t>
                  </w:r>
                </w:p>
              </w:tc>
              <w:tc>
                <w:tcPr>
                  <w:tcW w:w="870"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mg/L</w:t>
                  </w:r>
                </w:p>
              </w:tc>
              <w:tc>
                <w:tcPr>
                  <w:tcW w:w="85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≤0.05</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7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氟化物</w:t>
                  </w:r>
                </w:p>
              </w:tc>
              <w:tc>
                <w:tcPr>
                  <w:tcW w:w="98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0.53</w:t>
                  </w:r>
                </w:p>
              </w:tc>
              <w:tc>
                <w:tcPr>
                  <w:tcW w:w="870"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mg/L</w:t>
                  </w:r>
                </w:p>
              </w:tc>
              <w:tc>
                <w:tcPr>
                  <w:tcW w:w="85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≤1.0</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7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汞</w:t>
                  </w:r>
                </w:p>
              </w:tc>
              <w:tc>
                <w:tcPr>
                  <w:tcW w:w="986" w:type="pct"/>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未检出</w:t>
                  </w:r>
                </w:p>
              </w:tc>
              <w:tc>
                <w:tcPr>
                  <w:tcW w:w="870"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mg/L</w:t>
                  </w:r>
                </w:p>
              </w:tc>
              <w:tc>
                <w:tcPr>
                  <w:tcW w:w="85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≤0.001</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7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砷</w:t>
                  </w:r>
                </w:p>
              </w:tc>
              <w:tc>
                <w:tcPr>
                  <w:tcW w:w="986" w:type="pct"/>
                  <w:tcBorders>
                    <w:tl2br w:val="nil"/>
                    <w:tr2bl w:val="nil"/>
                  </w:tcBorders>
                  <w:noWrap w:val="0"/>
                  <w:vAlign w:val="center"/>
                </w:tcPr>
                <w:p>
                  <w:pPr>
                    <w:keepNext w:val="0"/>
                    <w:keepLines w:val="0"/>
                    <w:pageBreakBefore w:val="0"/>
                    <w:widowControl/>
                    <w:kinsoku/>
                    <w:wordWrap/>
                    <w:overflowPunct/>
                    <w:topLinePunct w:val="0"/>
                    <w:bidi w:val="0"/>
                    <w:adjustRightInd w:val="0"/>
                    <w:snapToGri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8.3×10</w:t>
                  </w:r>
                  <w:r>
                    <w:rPr>
                      <w:rFonts w:hint="default" w:ascii="Times New Roman" w:hAnsi="Times New Roman" w:eastAsia="宋体" w:cs="Times New Roman"/>
                      <w:b w:val="0"/>
                      <w:bCs w:val="0"/>
                      <w:color w:val="000000" w:themeColor="text1"/>
                      <w:sz w:val="21"/>
                      <w:szCs w:val="21"/>
                      <w:vertAlign w:val="superscript"/>
                      <w:lang w:val="en-US" w:eastAsia="zh-CN"/>
                      <w14:textFill>
                        <w14:solidFill>
                          <w14:schemeClr w14:val="tx1"/>
                        </w14:solidFill>
                      </w14:textFill>
                    </w:rPr>
                    <w:t>-4</w:t>
                  </w:r>
                </w:p>
              </w:tc>
              <w:tc>
                <w:tcPr>
                  <w:tcW w:w="870"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mg/L</w:t>
                  </w:r>
                </w:p>
              </w:tc>
              <w:tc>
                <w:tcPr>
                  <w:tcW w:w="85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≤0.01</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7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镉</w:t>
                  </w:r>
                </w:p>
              </w:tc>
              <w:tc>
                <w:tcPr>
                  <w:tcW w:w="98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未检出</w:t>
                  </w:r>
                </w:p>
              </w:tc>
              <w:tc>
                <w:tcPr>
                  <w:tcW w:w="870"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mg/L</w:t>
                  </w:r>
                </w:p>
              </w:tc>
              <w:tc>
                <w:tcPr>
                  <w:tcW w:w="85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≤0.005</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147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六价铬</w:t>
                  </w:r>
                </w:p>
              </w:tc>
              <w:tc>
                <w:tcPr>
                  <w:tcW w:w="98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未检出</w:t>
                  </w:r>
                </w:p>
              </w:tc>
              <w:tc>
                <w:tcPr>
                  <w:tcW w:w="870"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mg/L</w:t>
                  </w:r>
                </w:p>
              </w:tc>
              <w:tc>
                <w:tcPr>
                  <w:tcW w:w="85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≤0.05</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7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铅</w:t>
                  </w:r>
                </w:p>
              </w:tc>
              <w:tc>
                <w:tcPr>
                  <w:tcW w:w="98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未检出</w:t>
                  </w:r>
                </w:p>
              </w:tc>
              <w:tc>
                <w:tcPr>
                  <w:tcW w:w="870"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mg/L</w:t>
                  </w:r>
                </w:p>
              </w:tc>
              <w:tc>
                <w:tcPr>
                  <w:tcW w:w="85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≤0.01</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7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石油类</w:t>
                  </w:r>
                </w:p>
              </w:tc>
              <w:tc>
                <w:tcPr>
                  <w:tcW w:w="98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未检出</w:t>
                  </w:r>
                </w:p>
              </w:tc>
              <w:tc>
                <w:tcPr>
                  <w:tcW w:w="870"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mg/L</w:t>
                  </w:r>
                </w:p>
              </w:tc>
              <w:tc>
                <w:tcPr>
                  <w:tcW w:w="85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76"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碳酸根</w:t>
                  </w:r>
                </w:p>
              </w:tc>
              <w:tc>
                <w:tcPr>
                  <w:tcW w:w="98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未检出</w:t>
                  </w:r>
                </w:p>
              </w:tc>
              <w:tc>
                <w:tcPr>
                  <w:tcW w:w="870"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mmol/L</w:t>
                  </w:r>
                </w:p>
              </w:tc>
              <w:tc>
                <w:tcPr>
                  <w:tcW w:w="85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76"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碳酸氢根</w:t>
                  </w:r>
                </w:p>
              </w:tc>
              <w:tc>
                <w:tcPr>
                  <w:tcW w:w="986" w:type="pct"/>
                  <w:tcBorders>
                    <w:tl2br w:val="nil"/>
                    <w:tr2bl w:val="nil"/>
                  </w:tcBorders>
                  <w:noWrap w:val="0"/>
                  <w:vAlign w:val="center"/>
                </w:tcPr>
                <w:p>
                  <w:pPr>
                    <w:pStyle w:val="2"/>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178</w:t>
                  </w:r>
                </w:p>
              </w:tc>
              <w:tc>
                <w:tcPr>
                  <w:tcW w:w="870" w:type="pct"/>
                  <w:tcBorders>
                    <w:tl2br w:val="nil"/>
                    <w:tr2bl w:val="nil"/>
                  </w:tcBorders>
                  <w:noWrap w:val="0"/>
                  <w:vAlign w:val="center"/>
                </w:tcPr>
                <w:p>
                  <w:pPr>
                    <w:keepNext w:val="0"/>
                    <w:keepLines w:val="0"/>
                    <w:pageBreakBefore w:val="0"/>
                    <w:kinsoku/>
                    <w:wordWrap/>
                    <w:overflowPunct/>
                    <w:topLinePunct w:val="0"/>
                    <w:bidi w:val="0"/>
                    <w:adjustRightInd w:val="0"/>
                    <w:snapToGri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mmol/L</w:t>
                  </w:r>
                </w:p>
              </w:tc>
              <w:tc>
                <w:tcPr>
                  <w:tcW w:w="855" w:type="pct"/>
                  <w:tcBorders>
                    <w:tl2br w:val="nil"/>
                    <w:tr2bl w:val="nil"/>
                  </w:tcBorders>
                  <w:noWrap w:val="0"/>
                  <w:vAlign w:val="center"/>
                </w:tcPr>
                <w:p>
                  <w:pPr>
                    <w:keepNext w:val="0"/>
                    <w:keepLines w:val="0"/>
                    <w:pageBreakBefore w:val="0"/>
                    <w:kinsoku/>
                    <w:wordWrap/>
                    <w:overflowPunct/>
                    <w:topLinePunct w:val="0"/>
                    <w:autoSpaceDE w:val="0"/>
                    <w:autoSpaceDN w:val="0"/>
                    <w:bidi w:val="0"/>
                    <w:adjustRightInd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w:t>
                  </w:r>
                </w:p>
              </w:tc>
              <w:tc>
                <w:tcPr>
                  <w:tcW w:w="811" w:type="pct"/>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5"/>
                  <w:tcBorders>
                    <w:tl2br w:val="nil"/>
                    <w:tr2bl w:val="nil"/>
                  </w:tcBorders>
                  <w:noWrap w:val="0"/>
                  <w:vAlign w:val="center"/>
                </w:tcPr>
                <w:p>
                  <w:pPr>
                    <w:keepNext w:val="0"/>
                    <w:keepLines w:val="0"/>
                    <w:pageBreakBefore w:val="0"/>
                    <w:kinsoku/>
                    <w:wordWrap/>
                    <w:overflowPunct/>
                    <w:topLinePunct w:val="0"/>
                    <w:bidi w:val="0"/>
                    <w:spacing w:line="400" w:lineRule="exact"/>
                    <w:ind w:firstLine="0" w:firstLineChars="0"/>
                    <w:jc w:val="left"/>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备注：1、检测结果低于检测方法检出限时，用“最低检出限L”表示。</w:t>
                  </w:r>
                </w:p>
                <w:p>
                  <w:pPr>
                    <w:keepNext w:val="0"/>
                    <w:keepLines w:val="0"/>
                    <w:pageBreakBefore w:val="0"/>
                    <w:kinsoku/>
                    <w:wordWrap/>
                    <w:overflowPunct/>
                    <w:topLinePunct w:val="0"/>
                    <w:bidi w:val="0"/>
                    <w:spacing w:line="400" w:lineRule="exact"/>
                    <w:ind w:firstLine="630" w:firstLineChars="300"/>
                    <w:jc w:val="left"/>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2、无检出限用“未检出”表示。</w:t>
                  </w:r>
                </w:p>
              </w:tc>
            </w:tr>
          </w:tbl>
          <w:p>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color w:val="000000" w:themeColor="text1"/>
                <w:kern w:val="0"/>
                <w:sz w:val="24"/>
                <w:szCs w:val="24"/>
                <w:lang w:eastAsia="zh-CN"/>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根据监测分析结果，项目区域各监测因子均满足《地下水质量标准》 （GB/T14848-2017）Ⅲ类标准的要求</w:t>
            </w:r>
            <w:r>
              <w:rPr>
                <w:rFonts w:hint="default" w:ascii="Times New Roman" w:hAnsi="Times New Roman" w:eastAsia="宋体" w:cs="Times New Roman"/>
                <w:color w:val="000000" w:themeColor="text1"/>
                <w:kern w:val="0"/>
                <w:sz w:val="24"/>
                <w:szCs w:val="24"/>
                <w:lang w:eastAsia="zh-CN"/>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u w:val="none" w:color="auto"/>
                <w:lang w:val="en-US" w:eastAsia="zh-CN"/>
                <w14:textFill>
                  <w14:solidFill>
                    <w14:schemeClr w14:val="tx1"/>
                  </w14:solidFill>
                </w14:textFill>
              </w:rPr>
              <w:t>6、土壤环境</w:t>
            </w:r>
          </w:p>
          <w:p>
            <w:pPr>
              <w:pStyle w:val="3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80" w:lineRule="exact"/>
              <w:ind w:right="0" w:firstLine="480" w:firstLineChars="200"/>
              <w:jc w:val="both"/>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根据《建设项目环境影响报告表编制技术指南》（污染影响类）（试行）“（三）区域环境质量现状、环境保护目标及评价标准中区域环境质量现状6.地下水、土壤环境。原则上不开展环境质量现状调查。”本项目位于漯河市经济技术产业集聚区（含漯河经济开发区）</w:t>
            </w:r>
            <w:r>
              <w:rPr>
                <w:rFonts w:hint="default" w:ascii="Times New Roman" w:hAnsi="Times New Roman" w:cs="Times New Roman"/>
                <w:color w:val="000000" w:themeColor="text1"/>
                <w:sz w:val="24"/>
                <w:szCs w:val="24"/>
                <w:lang w:eastAsia="zh-CN"/>
                <w14:textFill>
                  <w14:solidFill>
                    <w14:schemeClr w14:val="tx1"/>
                  </w14:solidFill>
                </w14:textFill>
              </w:rPr>
              <w:t>燕山南路与漳江东路交叉口往西北约210米</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站</w:t>
            </w:r>
            <w:r>
              <w:rPr>
                <w:rFonts w:hint="default" w:ascii="Times New Roman" w:hAnsi="Times New Roman" w:cs="Times New Roman"/>
                <w:color w:val="000000" w:themeColor="text1"/>
                <w:sz w:val="24"/>
                <w:szCs w:val="24"/>
                <w14:textFill>
                  <w14:solidFill>
                    <w14:schemeClr w14:val="tx1"/>
                  </w14:solidFill>
                </w14:textFill>
              </w:rPr>
              <w:t>区</w:t>
            </w:r>
            <w:r>
              <w:rPr>
                <w:rFonts w:hint="default" w:ascii="Times New Roman" w:hAnsi="Times New Roman" w:cs="Times New Roman"/>
                <w:color w:val="000000" w:themeColor="text1"/>
                <w:sz w:val="24"/>
                <w:szCs w:val="24"/>
                <w:lang w:val="en-US" w:eastAsia="zh-CN"/>
                <w14:textFill>
                  <w14:solidFill>
                    <w14:schemeClr w14:val="tx1"/>
                  </w14:solidFill>
                </w14:textFill>
              </w:rPr>
              <w:t>地下油罐区、输油管线区等</w:t>
            </w:r>
            <w:r>
              <w:rPr>
                <w:rFonts w:hint="default" w:ascii="Times New Roman" w:hAnsi="Times New Roman" w:cs="Times New Roman"/>
                <w:color w:val="000000" w:themeColor="text1"/>
                <w:sz w:val="24"/>
                <w:szCs w:val="24"/>
                <w14:textFill>
                  <w14:solidFill>
                    <w14:schemeClr w14:val="tx1"/>
                  </w14:solidFill>
                </w14:textFill>
              </w:rPr>
              <w:t>按相关要求做好防腐、防渗，切断土壤、地下水环境污染途径，故本环评不监测土壤环境质量现状。</w:t>
            </w:r>
          </w:p>
          <w:p>
            <w:pPr>
              <w:pStyle w:val="3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80" w:lineRule="exact"/>
              <w:ind w:right="0" w:firstLine="480" w:firstLineChars="200"/>
              <w:jc w:val="both"/>
              <w:textAlignment w:val="auto"/>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同时</w:t>
            </w:r>
            <w:r>
              <w:rPr>
                <w:rFonts w:hint="default" w:ascii="Times New Roman" w:hAnsi="Times New Roman" w:cs="Times New Roman"/>
                <w:color w:val="000000" w:themeColor="text1"/>
                <w:sz w:val="24"/>
                <w:szCs w:val="24"/>
                <w14:textFill>
                  <w14:solidFill>
                    <w14:schemeClr w14:val="tx1"/>
                  </w14:solidFill>
                </w14:textFill>
              </w:rPr>
              <w:t>根据《环境影响评价技术导则 土壤环境》（HJ 964-2018），本项目占地面积小于5hm</w:t>
            </w:r>
            <w:r>
              <w:rPr>
                <w:rFonts w:hint="default" w:ascii="Times New Roman" w:hAnsi="Times New Roman" w:cs="Times New Roman"/>
                <w:color w:val="000000" w:themeColor="text1"/>
                <w:sz w:val="24"/>
                <w:szCs w:val="24"/>
                <w:vertAlign w:val="superscript"/>
                <w14:textFill>
                  <w14:solidFill>
                    <w14:schemeClr w14:val="tx1"/>
                  </w14:solidFill>
                </w14:textFill>
              </w:rPr>
              <w:t>2</w:t>
            </w:r>
            <w:r>
              <w:rPr>
                <w:rFonts w:hint="default" w:ascii="Times New Roman" w:hAnsi="Times New Roman" w:cs="Times New Roman"/>
                <w:color w:val="000000" w:themeColor="text1"/>
                <w:sz w:val="24"/>
                <w:szCs w:val="24"/>
                <w14:textFill>
                  <w14:solidFill>
                    <w14:schemeClr w14:val="tx1"/>
                  </w14:solidFill>
                </w14:textFill>
              </w:rPr>
              <w:t>，为小型项目，周边无土壤环境敏感目标，土壤环境影响评价项目类别为Ⅲ类，对照评价工作等级分级表，本项目可不开展土壤环境影响评价工作。因此不需要开展土壤环境质量现状调查。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25" w:hRule="atLeast"/>
          <w:jc w:val="center"/>
        </w:trPr>
        <w:tc>
          <w:tcPr>
            <w:tcW w:w="668" w:type="dxa"/>
            <w:noWrap w:val="0"/>
            <w:vAlign w:val="center"/>
          </w:tcPr>
          <w:p>
            <w:pPr>
              <w:adjustRightInd w:val="0"/>
              <w:snapToGrid w:val="0"/>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环境</w:t>
            </w:r>
          </w:p>
          <w:p>
            <w:pPr>
              <w:adjustRightInd w:val="0"/>
              <w:snapToGrid w:val="0"/>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保护</w:t>
            </w:r>
          </w:p>
          <w:p>
            <w:pPr>
              <w:adjustRightInd w:val="0"/>
              <w:snapToGrid w:val="0"/>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目标</w:t>
            </w:r>
          </w:p>
        </w:tc>
        <w:tc>
          <w:tcPr>
            <w:tcW w:w="9024" w:type="dxa"/>
            <w:noWrap w:val="0"/>
            <w:vAlign w:val="center"/>
          </w:tcPr>
          <w:p>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color w:val="000000" w:themeColor="text1"/>
                <w:kern w:val="0"/>
                <w:sz w:val="24"/>
                <w:szCs w:val="24"/>
                <w:lang w:eastAsia="zh-CN"/>
                <w14:textFill>
                  <w14:solidFill>
                    <w14:schemeClr w14:val="tx1"/>
                  </w14:solidFill>
                </w14:textFill>
              </w:rPr>
            </w:pPr>
            <w:r>
              <w:rPr>
                <w:rFonts w:hint="default" w:ascii="Times New Roman" w:hAnsi="Times New Roman" w:eastAsia="宋体" w:cs="Times New Roman"/>
                <w:color w:val="000000" w:themeColor="text1"/>
                <w:kern w:val="0"/>
                <w:sz w:val="24"/>
                <w:szCs w:val="24"/>
                <w14:textFill>
                  <w14:solidFill>
                    <w14:schemeClr w14:val="tx1"/>
                  </w14:solidFill>
                </w14:textFill>
              </w:rPr>
              <w:t>项目</w:t>
            </w:r>
            <w:r>
              <w:rPr>
                <w:rFonts w:hint="default" w:ascii="Times New Roman" w:hAnsi="Times New Roman" w:eastAsia="宋体" w:cs="Times New Roman"/>
                <w:color w:val="000000" w:themeColor="text1"/>
                <w:kern w:val="0"/>
                <w:sz w:val="24"/>
                <w:szCs w:val="24"/>
                <w:lang w:eastAsia="zh-CN"/>
                <w14:textFill>
                  <w14:solidFill>
                    <w14:schemeClr w14:val="tx1"/>
                  </w14:solidFill>
                </w14:textFill>
              </w:rPr>
              <w:t>边界</w:t>
            </w:r>
            <w:r>
              <w:rPr>
                <w:rFonts w:hint="default" w:ascii="Times New Roman" w:hAnsi="Times New Roman" w:eastAsia="宋体" w:cs="Times New Roman"/>
                <w:color w:val="000000" w:themeColor="text1"/>
                <w:kern w:val="0"/>
                <w:sz w:val="24"/>
                <w:szCs w:val="24"/>
                <w14:textFill>
                  <w14:solidFill>
                    <w14:schemeClr w14:val="tx1"/>
                  </w14:solidFill>
                </w14:textFill>
              </w:rPr>
              <w:t>外500米范围内</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不</w:t>
            </w:r>
            <w:r>
              <w:rPr>
                <w:rFonts w:hint="default" w:ascii="Times New Roman" w:hAnsi="Times New Roman" w:eastAsia="宋体" w:cs="Times New Roman"/>
                <w:color w:val="000000" w:themeColor="text1"/>
                <w:kern w:val="0"/>
                <w:sz w:val="24"/>
                <w:szCs w:val="24"/>
                <w14:textFill>
                  <w14:solidFill>
                    <w14:schemeClr w14:val="tx1"/>
                  </w14:solidFill>
                </w14:textFill>
              </w:rPr>
              <w:t>涉及居住区，</w:t>
            </w:r>
            <w:r>
              <w:rPr>
                <w:rFonts w:hint="default" w:ascii="Times New Roman" w:hAnsi="Times New Roman" w:eastAsia="宋体" w:cs="Times New Roman"/>
                <w:color w:val="000000" w:themeColor="text1"/>
                <w:kern w:val="0"/>
                <w:sz w:val="24"/>
                <w:szCs w:val="24"/>
                <w:lang w:eastAsia="zh-CN"/>
                <w14:textFill>
                  <w14:solidFill>
                    <w14:schemeClr w14:val="tx1"/>
                  </w14:solidFill>
                </w14:textFill>
              </w:rPr>
              <w:t>边界</w:t>
            </w:r>
            <w:r>
              <w:rPr>
                <w:rFonts w:hint="default" w:ascii="Times New Roman" w:hAnsi="Times New Roman" w:eastAsia="宋体" w:cs="Times New Roman"/>
                <w:color w:val="000000" w:themeColor="text1"/>
                <w:kern w:val="0"/>
                <w:sz w:val="24"/>
                <w:szCs w:val="24"/>
                <w14:textFill>
                  <w14:solidFill>
                    <w14:schemeClr w14:val="tx1"/>
                  </w14:solidFill>
                </w14:textFill>
              </w:rPr>
              <w:t>外50米范围内</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无</w:t>
            </w:r>
            <w:r>
              <w:rPr>
                <w:rFonts w:hint="default" w:ascii="Times New Roman" w:hAnsi="Times New Roman" w:eastAsia="宋体" w:cs="Times New Roman"/>
                <w:color w:val="000000" w:themeColor="text1"/>
                <w:kern w:val="0"/>
                <w:sz w:val="24"/>
                <w:szCs w:val="24"/>
                <w:lang w:eastAsia="zh-CN"/>
                <w14:textFill>
                  <w14:solidFill>
                    <w14:schemeClr w14:val="tx1"/>
                  </w14:solidFill>
                </w14:textFill>
              </w:rPr>
              <w:t>声环境保护目标</w:t>
            </w:r>
            <w:r>
              <w:rPr>
                <w:rFonts w:hint="default" w:ascii="Times New Roman" w:hAnsi="Times New Roman" w:eastAsia="宋体" w:cs="Times New Roman"/>
                <w:color w:val="000000" w:themeColor="text1"/>
                <w:kern w:val="0"/>
                <w:sz w:val="24"/>
                <w:szCs w:val="24"/>
                <w14:textFill>
                  <w14:solidFill>
                    <w14:schemeClr w14:val="tx1"/>
                  </w14:solidFill>
                </w14:textFill>
              </w:rPr>
              <w:t>，</w:t>
            </w:r>
            <w:r>
              <w:rPr>
                <w:rFonts w:hint="default" w:ascii="Times New Roman" w:hAnsi="Times New Roman" w:eastAsia="宋体" w:cs="Times New Roman"/>
                <w:color w:val="000000" w:themeColor="text1"/>
                <w:kern w:val="0"/>
                <w:sz w:val="24"/>
                <w:szCs w:val="24"/>
                <w:lang w:eastAsia="zh-CN"/>
                <w14:textFill>
                  <w14:solidFill>
                    <w14:schemeClr w14:val="tx1"/>
                  </w14:solidFill>
                </w14:textFill>
              </w:rPr>
              <w:t>边界</w:t>
            </w:r>
            <w:r>
              <w:rPr>
                <w:rFonts w:hint="default" w:ascii="Times New Roman" w:hAnsi="Times New Roman" w:eastAsia="宋体" w:cs="Times New Roman"/>
                <w:color w:val="000000" w:themeColor="text1"/>
                <w:kern w:val="0"/>
                <w:sz w:val="24"/>
                <w:szCs w:val="24"/>
                <w14:textFill>
                  <w14:solidFill>
                    <w14:schemeClr w14:val="tx1"/>
                  </w14:solidFill>
                </w14:textFill>
              </w:rPr>
              <w:t>外500米范围内无地下水集中式饮用水水源和热水、矿泉水、温泉等特殊地下水资源</w:t>
            </w:r>
            <w:r>
              <w:rPr>
                <w:rFonts w:hint="default" w:ascii="Times New Roman" w:hAnsi="Times New Roman" w:eastAsia="宋体" w:cs="Times New Roman"/>
                <w:color w:val="000000" w:themeColor="text1"/>
                <w:kern w:val="0"/>
                <w:sz w:val="24"/>
                <w:szCs w:val="24"/>
                <w:lang w:eastAsia="zh-CN"/>
                <w14:textFill>
                  <w14:solidFill>
                    <w14:schemeClr w14:val="tx1"/>
                  </w14:solidFill>
                </w14:textFill>
              </w:rPr>
              <w:t>。</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表26           本项目环境保护目标一览表</w:t>
            </w:r>
          </w:p>
          <w:tbl>
            <w:tblPr>
              <w:tblStyle w:val="37"/>
              <w:tblW w:w="889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960"/>
              <w:gridCol w:w="4969"/>
              <w:gridCol w:w="296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283" w:hRule="atLeast"/>
                <w:jc w:val="center"/>
              </w:trPr>
              <w:tc>
                <w:tcPr>
                  <w:tcW w:w="53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pacing w:val="-6"/>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bCs/>
                      <w:color w:val="000000" w:themeColor="text1"/>
                      <w:spacing w:val="-6"/>
                      <w:sz w:val="21"/>
                      <w:szCs w:val="21"/>
                      <w:highlight w:val="none"/>
                      <w:u w:val="none"/>
                      <w14:textFill>
                        <w14:solidFill>
                          <w14:schemeClr w14:val="tx1"/>
                        </w14:solidFill>
                      </w14:textFill>
                    </w:rPr>
                    <w:t>环境要素</w:t>
                  </w:r>
                </w:p>
              </w:tc>
              <w:tc>
                <w:tcPr>
                  <w:tcW w:w="27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pacing w:val="-6"/>
                      <w:sz w:val="21"/>
                      <w:szCs w:val="21"/>
                      <w:highlight w:val="none"/>
                      <w:u w:val="none"/>
                      <w:lang w:val="en-US" w:eastAsia="zh-CN"/>
                      <w14:textFill>
                        <w14:solidFill>
                          <w14:schemeClr w14:val="tx1"/>
                        </w14:solidFill>
                      </w14:textFill>
                    </w:rPr>
                    <w:t>环境保护目标名称</w:t>
                  </w:r>
                </w:p>
              </w:tc>
              <w:tc>
                <w:tcPr>
                  <w:tcW w:w="16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pacing w:val="-6"/>
                      <w:sz w:val="21"/>
                      <w:szCs w:val="21"/>
                      <w:highlight w:val="none"/>
                      <w:u w:val="none"/>
                      <w14:textFill>
                        <w14:solidFill>
                          <w14:schemeClr w14:val="tx1"/>
                        </w14:solidFill>
                      </w14:textFill>
                    </w:rPr>
                  </w:pPr>
                  <w:r>
                    <w:rPr>
                      <w:rFonts w:hint="default" w:ascii="Times New Roman" w:hAnsi="Times New Roman" w:eastAsia="宋体" w:cs="Times New Roman"/>
                      <w:b/>
                      <w:bCs/>
                      <w:color w:val="000000" w:themeColor="text1"/>
                      <w:spacing w:val="-6"/>
                      <w:sz w:val="21"/>
                      <w:szCs w:val="21"/>
                      <w:highlight w:val="none"/>
                      <w:u w:val="none"/>
                      <w14:textFill>
                        <w14:solidFill>
                          <w14:schemeClr w14:val="tx1"/>
                        </w14:solidFill>
                      </w14:textFill>
                    </w:rPr>
                    <w:t>环境功能区划及环境保护要求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283" w:hRule="atLeast"/>
                <w:jc w:val="center"/>
              </w:trPr>
              <w:tc>
                <w:tcPr>
                  <w:tcW w:w="53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pacing w:val="-6"/>
                      <w:sz w:val="21"/>
                      <w:szCs w:val="21"/>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none"/>
                      <w:u w:val="none"/>
                      <w:lang w:val="en-US" w:eastAsia="zh-CN"/>
                      <w14:textFill>
                        <w14:solidFill>
                          <w14:schemeClr w14:val="tx1"/>
                        </w14:solidFill>
                      </w14:textFill>
                    </w:rPr>
                    <w:t>环境空气</w:t>
                  </w:r>
                </w:p>
              </w:tc>
              <w:tc>
                <w:tcPr>
                  <w:tcW w:w="27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pacing w:val="-6"/>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t>本项目位于漯河市经济技术产业集聚区（含漯河经济开发区）燕山南路与漳江东路交叉口往西北约210米，边界外500m范围内无居住区，无国家级、省、市级自然保护区、风景名胜区、居住区、文化区和农村地区中人群较集中的区域等保护目标。</w:t>
                  </w:r>
                </w:p>
              </w:tc>
              <w:tc>
                <w:tcPr>
                  <w:tcW w:w="16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pacing w:val="-6"/>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none"/>
                      <w:u w:val="none"/>
                      <w14:textFill>
                        <w14:solidFill>
                          <w14:schemeClr w14:val="tx1"/>
                        </w14:solidFill>
                      </w14:textFill>
                    </w:rPr>
                    <w:t>《环境空气质量标准》（GB3095-2012）及修改单二级标准要求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53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pacing w:val="-6"/>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none"/>
                      <w:u w:val="none"/>
                      <w14:textFill>
                        <w14:solidFill>
                          <w14:schemeClr w14:val="tx1"/>
                        </w14:solidFill>
                      </w14:textFill>
                    </w:rPr>
                    <w:t>声环境</w:t>
                  </w:r>
                </w:p>
              </w:tc>
              <w:tc>
                <w:tcPr>
                  <w:tcW w:w="27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pacing w:val="-6"/>
                      <w:sz w:val="21"/>
                      <w:szCs w:val="21"/>
                      <w:highlight w:val="none"/>
                      <w:u w:val="none"/>
                      <w:lang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none"/>
                      <w:u w:val="none"/>
                      <w14:textFill>
                        <w14:solidFill>
                          <w14:schemeClr w14:val="tx1"/>
                        </w14:solidFill>
                      </w14:textFill>
                    </w:rPr>
                    <w:t>本项目</w:t>
                  </w:r>
                  <w:r>
                    <w:rPr>
                      <w:rFonts w:hint="default" w:ascii="Times New Roman" w:hAnsi="Times New Roman" w:eastAsia="宋体" w:cs="Times New Roman"/>
                      <w:color w:val="000000" w:themeColor="text1"/>
                      <w:spacing w:val="-6"/>
                      <w:sz w:val="21"/>
                      <w:szCs w:val="21"/>
                      <w:highlight w:val="none"/>
                      <w:u w:val="none"/>
                      <w:lang w:eastAsia="zh-CN"/>
                      <w14:textFill>
                        <w14:solidFill>
                          <w14:schemeClr w14:val="tx1"/>
                        </w14:solidFill>
                      </w14:textFill>
                    </w:rPr>
                    <w:t>边界</w:t>
                  </w:r>
                  <w:r>
                    <w:rPr>
                      <w:rFonts w:hint="default" w:ascii="Times New Roman" w:hAnsi="Times New Roman" w:eastAsia="宋体" w:cs="Times New Roman"/>
                      <w:color w:val="000000" w:themeColor="text1"/>
                      <w:spacing w:val="-6"/>
                      <w:sz w:val="21"/>
                      <w:szCs w:val="21"/>
                      <w:highlight w:val="none"/>
                      <w:u w:val="none"/>
                      <w14:textFill>
                        <w14:solidFill>
                          <w14:schemeClr w14:val="tx1"/>
                        </w14:solidFill>
                      </w14:textFill>
                    </w:rPr>
                    <w:t>外50m范围内无</w:t>
                  </w:r>
                  <w:r>
                    <w:rPr>
                      <w:rFonts w:hint="default" w:ascii="Times New Roman" w:hAnsi="Times New Roman" w:eastAsia="宋体" w:cs="Times New Roman"/>
                      <w:color w:val="000000" w:themeColor="text1"/>
                      <w:spacing w:val="-6"/>
                      <w:sz w:val="21"/>
                      <w:szCs w:val="21"/>
                      <w:highlight w:val="none"/>
                      <w:u w:val="none"/>
                      <w:lang w:eastAsia="zh-CN"/>
                      <w14:textFill>
                        <w14:solidFill>
                          <w14:schemeClr w14:val="tx1"/>
                        </w14:solidFill>
                      </w14:textFill>
                    </w:rPr>
                    <w:t>声环境保护目标</w:t>
                  </w:r>
                </w:p>
              </w:tc>
              <w:tc>
                <w:tcPr>
                  <w:tcW w:w="16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pacing w:val="-6"/>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none"/>
                      <w:u w:val="none"/>
                      <w14:textFill>
                        <w14:solidFill>
                          <w14:schemeClr w14:val="tx1"/>
                        </w14:solidFill>
                      </w14:textFill>
                    </w:rPr>
                    <w:t>《声环境质量标准》（GB3096-2008）</w:t>
                  </w:r>
                  <w:r>
                    <w:rPr>
                      <w:rFonts w:hint="default" w:ascii="Times New Roman" w:hAnsi="Times New Roman" w:eastAsia="宋体" w:cs="Times New Roman"/>
                      <w:color w:val="000000" w:themeColor="text1"/>
                      <w:spacing w:val="-6"/>
                      <w:sz w:val="21"/>
                      <w:szCs w:val="21"/>
                      <w:highlight w:val="none"/>
                      <w:u w:val="none"/>
                      <w:lang w:val="en-US" w:eastAsia="zh-CN"/>
                      <w14:textFill>
                        <w14:solidFill>
                          <w14:schemeClr w14:val="tx1"/>
                        </w14:solidFill>
                      </w14:textFill>
                    </w:rPr>
                    <w:t>2</w:t>
                  </w:r>
                  <w:r>
                    <w:rPr>
                      <w:rFonts w:hint="default" w:ascii="Times New Roman" w:hAnsi="Times New Roman" w:eastAsia="宋体" w:cs="Times New Roman"/>
                      <w:color w:val="000000" w:themeColor="text1"/>
                      <w:spacing w:val="-6"/>
                      <w:sz w:val="21"/>
                      <w:szCs w:val="21"/>
                      <w:highlight w:val="none"/>
                      <w:u w:val="none"/>
                      <w14:textFill>
                        <w14:solidFill>
                          <w14:schemeClr w14:val="tx1"/>
                        </w14:solidFill>
                      </w14:textFill>
                    </w:rPr>
                    <w:t>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283" w:hRule="atLeast"/>
                <w:jc w:val="center"/>
              </w:trPr>
              <w:tc>
                <w:tcPr>
                  <w:tcW w:w="53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pacing w:val="-6"/>
                      <w:sz w:val="21"/>
                      <w:szCs w:val="21"/>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none"/>
                      <w:u w:val="none"/>
                      <w:lang w:val="en-US" w:eastAsia="zh-CN"/>
                      <w14:textFill>
                        <w14:solidFill>
                          <w14:schemeClr w14:val="tx1"/>
                        </w14:solidFill>
                      </w14:textFill>
                    </w:rPr>
                    <w:t>生态</w:t>
                  </w:r>
                </w:p>
              </w:tc>
              <w:tc>
                <w:tcPr>
                  <w:tcW w:w="279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pacing w:val="-6"/>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none"/>
                      <w:u w:val="none"/>
                      <w:lang w:val="en-US" w:eastAsia="zh-CN"/>
                      <w14:textFill>
                        <w14:solidFill>
                          <w14:schemeClr w14:val="tx1"/>
                        </w14:solidFill>
                      </w14:textFill>
                    </w:rPr>
                    <w:t>本项目不新增建设用地，</w:t>
                  </w:r>
                  <w:r>
                    <w:rPr>
                      <w:rFonts w:hint="default" w:ascii="Times New Roman" w:hAnsi="Times New Roman" w:eastAsia="宋体" w:cs="Times New Roman"/>
                      <w:color w:val="000000" w:themeColor="text1"/>
                      <w:spacing w:val="-6"/>
                      <w:sz w:val="21"/>
                      <w:szCs w:val="21"/>
                      <w:highlight w:val="none"/>
                      <w:u w:val="none"/>
                      <w14:textFill>
                        <w14:solidFill>
                          <w14:schemeClr w14:val="tx1"/>
                        </w14:solidFill>
                      </w14:textFill>
                    </w:rPr>
                    <w:t>无生态环境保护目标</w:t>
                  </w:r>
                </w:p>
              </w:tc>
              <w:tc>
                <w:tcPr>
                  <w:tcW w:w="16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pacing w:val="-6"/>
                      <w:sz w:val="21"/>
                      <w:szCs w:val="21"/>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none"/>
                      <w:u w:val="none"/>
                      <w:lang w:val="en-US" w:eastAsia="zh-CN"/>
                      <w14:textFill>
                        <w14:solidFill>
                          <w14:schemeClr w14:val="tx1"/>
                        </w14:solidFill>
                      </w14:textFill>
                    </w:rPr>
                    <w:t>/</w:t>
                  </w:r>
                </w:p>
              </w:tc>
            </w:tr>
          </w:tbl>
          <w:p>
            <w:pPr>
              <w:adjustRightInd w:val="0"/>
              <w:snapToGrid w:val="0"/>
              <w:jc w:val="left"/>
              <w:rPr>
                <w:rFonts w:hint="default" w:ascii="Times New Roman" w:hAnsi="Times New Roman" w:cs="Times New Roman"/>
                <w:color w:val="000000" w:themeColor="text1"/>
                <w:kern w:val="0"/>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91" w:hRule="atLeast"/>
          <w:jc w:val="center"/>
        </w:trPr>
        <w:tc>
          <w:tcPr>
            <w:tcW w:w="668" w:type="dxa"/>
            <w:noWrap w:val="0"/>
            <w:tcMar>
              <w:left w:w="28" w:type="dxa"/>
              <w:right w:w="28" w:type="dxa"/>
            </w:tcMar>
            <w:vAlign w:val="center"/>
          </w:tcPr>
          <w:p>
            <w:pPr>
              <w:adjustRightInd w:val="0"/>
              <w:snapToGrid w:val="0"/>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污染</w:t>
            </w:r>
          </w:p>
          <w:p>
            <w:pPr>
              <w:adjustRightInd w:val="0"/>
              <w:snapToGrid w:val="0"/>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物排</w:t>
            </w:r>
          </w:p>
          <w:p>
            <w:pPr>
              <w:adjustRightInd w:val="0"/>
              <w:snapToGrid w:val="0"/>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放控</w:t>
            </w:r>
          </w:p>
          <w:p>
            <w:pPr>
              <w:adjustRightInd w:val="0"/>
              <w:snapToGrid w:val="0"/>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制标</w:t>
            </w:r>
          </w:p>
          <w:p>
            <w:pPr>
              <w:adjustRightInd w:val="0"/>
              <w:snapToGrid w:val="0"/>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准</w:t>
            </w:r>
          </w:p>
        </w:tc>
        <w:tc>
          <w:tcPr>
            <w:tcW w:w="9024"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480" w:lineRule="exact"/>
              <w:ind w:firstLine="480" w:firstLineChars="200"/>
              <w:jc w:val="both"/>
              <w:textAlignment w:val="auto"/>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pP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1、废气：</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运营期</w:t>
            </w:r>
            <w:r>
              <w:rPr>
                <w:rFonts w:hint="default" w:ascii="Times New Roman" w:hAnsi="Times New Roman" w:eastAsia="宋体" w:cs="Times New Roman"/>
                <w:color w:val="000000" w:themeColor="text1"/>
                <w:sz w:val="24"/>
                <w:szCs w:val="24"/>
                <w:u w:val="none" w:color="auto"/>
                <w14:textFill>
                  <w14:solidFill>
                    <w14:schemeClr w14:val="tx1"/>
                  </w14:solidFill>
                </w14:textFill>
              </w:rPr>
              <w:t>加油站油气处理装置的油气排放浓度（以及油气回收管线液阻检测值、密闭性压力检测值、气液比）</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执行</w:t>
            </w:r>
            <w:r>
              <w:rPr>
                <w:rFonts w:hint="default" w:ascii="Times New Roman" w:hAnsi="Times New Roman" w:eastAsia="宋体" w:cs="Times New Roman"/>
                <w:color w:val="000000" w:themeColor="text1"/>
                <w:sz w:val="24"/>
                <w:szCs w:val="24"/>
                <w:u w:val="none" w:color="auto"/>
                <w:lang w:bidi="ar"/>
                <w14:textFill>
                  <w14:solidFill>
                    <w14:schemeClr w14:val="tx1"/>
                  </w14:solidFill>
                </w14:textFill>
              </w:rPr>
              <w:t>《加油站大气污染物排放标准》（GB20952-20</w:t>
            </w:r>
            <w:r>
              <w:rPr>
                <w:rFonts w:hint="default" w:ascii="Times New Roman" w:hAnsi="Times New Roman" w:eastAsia="宋体" w:cs="Times New Roman"/>
                <w:color w:val="000000" w:themeColor="text1"/>
                <w:sz w:val="24"/>
                <w:szCs w:val="24"/>
                <w:u w:val="none" w:color="auto"/>
                <w14:textFill>
                  <w14:solidFill>
                    <w14:schemeClr w14:val="tx1"/>
                  </w14:solidFill>
                </w14:textFill>
              </w:rPr>
              <w:t>20</w:t>
            </w:r>
            <w:r>
              <w:rPr>
                <w:rFonts w:hint="default" w:ascii="Times New Roman" w:hAnsi="Times New Roman" w:eastAsia="宋体" w:cs="Times New Roman"/>
                <w:color w:val="000000" w:themeColor="text1"/>
                <w:sz w:val="24"/>
                <w:szCs w:val="24"/>
                <w:u w:val="none" w:color="auto"/>
                <w:lang w:bidi="ar"/>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bidi="ar"/>
                <w14:textFill>
                  <w14:solidFill>
                    <w14:schemeClr w14:val="tx1"/>
                  </w14:solidFill>
                </w14:textFill>
              </w:rPr>
              <w:t>要求</w:t>
            </w:r>
            <w:r>
              <w:rPr>
                <w:rFonts w:hint="default" w:ascii="Times New Roman" w:hAnsi="Times New Roman" w:eastAsia="宋体" w:cs="Times New Roman"/>
                <w:color w:val="000000" w:themeColor="text1"/>
                <w:sz w:val="24"/>
                <w:szCs w:val="24"/>
                <w:u w:val="none" w:color="auto"/>
                <w:lang w:eastAsia="zh-CN" w:bidi="ar"/>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边界</w:t>
            </w:r>
            <w:r>
              <w:rPr>
                <w:rFonts w:hint="default" w:ascii="Times New Roman" w:hAnsi="Times New Roman" w:eastAsia="宋体" w:cs="Times New Roman"/>
                <w:b w:val="0"/>
                <w:bCs w:val="0"/>
                <w:color w:val="000000" w:themeColor="text1"/>
                <w:sz w:val="24"/>
                <w:szCs w:val="24"/>
                <w14:textFill>
                  <w14:solidFill>
                    <w14:schemeClr w14:val="tx1"/>
                  </w14:solidFill>
                </w14:textFill>
              </w:rPr>
              <w:t>非甲烷总烃</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排放</w:t>
            </w:r>
            <w:r>
              <w:rPr>
                <w:rFonts w:hint="default" w:ascii="Times New Roman" w:hAnsi="Times New Roman" w:eastAsia="宋体" w:cs="Times New Roman"/>
                <w:color w:val="000000" w:themeColor="text1"/>
                <w:sz w:val="24"/>
                <w:szCs w:val="24"/>
                <w:u w:val="none" w:color="auto"/>
                <w14:textFill>
                  <w14:solidFill>
                    <w14:schemeClr w14:val="tx1"/>
                  </w14:solidFill>
                </w14:textFill>
              </w:rPr>
              <w:t>执行《加油站大气污染物排放标准》（GB20952-2020）表3油气浓度无组织排放限值</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（4.0</w:t>
            </w:r>
            <w:r>
              <w:rPr>
                <w:rFonts w:hint="default" w:ascii="Times New Roman" w:hAnsi="Times New Roman" w:eastAsia="宋体" w:cs="Times New Roman"/>
                <w:color w:val="000000" w:themeColor="text1"/>
                <w:sz w:val="24"/>
                <w:szCs w:val="24"/>
                <w:u w:val="none" w:color="auto"/>
                <w14:textFill>
                  <w14:solidFill>
                    <w14:schemeClr w14:val="tx1"/>
                  </w14:solidFill>
                </w14:textFill>
              </w:rPr>
              <w:t>mg/m</w:t>
            </w:r>
            <w:r>
              <w:rPr>
                <w:rFonts w:hint="default" w:ascii="Times New Roman" w:hAnsi="Times New Roman" w:eastAsia="宋体" w:cs="Times New Roman"/>
                <w:color w:val="000000" w:themeColor="text1"/>
                <w:sz w:val="24"/>
                <w:szCs w:val="24"/>
                <w:u w:val="none" w:color="auto"/>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14:textFill>
                  <w14:solidFill>
                    <w14:schemeClr w14:val="tx1"/>
                  </w14:solidFill>
                </w14:textFill>
              </w:rPr>
              <w:t>要求</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u w:val="none" w:color="auto"/>
                <w14:textFill>
                  <w14:solidFill>
                    <w14:schemeClr w14:val="tx1"/>
                  </w14:solidFill>
                </w14:textFill>
              </w:rPr>
              <w:t>厂区内VOCs无组织排放限制执行《挥发性有机物无组织排放控制标准》（GB37822-2019）表A.1限值要求。</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边界</w:t>
            </w:r>
            <w:r>
              <w:rPr>
                <w:rFonts w:hint="default" w:ascii="Times New Roman" w:hAnsi="Times New Roman" w:eastAsia="宋体" w:cs="Times New Roman"/>
                <w:b w:val="0"/>
                <w:bCs w:val="0"/>
                <w:color w:val="000000" w:themeColor="text1"/>
                <w:sz w:val="24"/>
                <w:szCs w:val="24"/>
                <w14:textFill>
                  <w14:solidFill>
                    <w14:schemeClr w14:val="tx1"/>
                  </w14:solidFill>
                </w14:textFill>
              </w:rPr>
              <w:t>非甲烷总烃</w:t>
            </w:r>
            <w:r>
              <w:rPr>
                <w:rFonts w:hint="default" w:ascii="Times New Roman" w:hAnsi="Times New Roman" w:cs="Times New Roman"/>
                <w:color w:val="000000" w:themeColor="text1"/>
                <w:sz w:val="24"/>
                <w:szCs w:val="24"/>
                <w14:textFill>
                  <w14:solidFill>
                    <w14:schemeClr w14:val="tx1"/>
                  </w14:solidFill>
                </w14:textFill>
              </w:rPr>
              <w:t>同时满足《全省开展工业企业挥发性有机物专项治理工作中排放建议值》（豫环攻坚办〔2017〕162 号）要求</w:t>
            </w:r>
            <w:r>
              <w:rPr>
                <w:rFonts w:hint="default" w:ascii="Times New Roman" w:hAnsi="Times New Roman" w:cs="Times New Roman"/>
                <w:color w:val="000000" w:themeColor="text1"/>
                <w:sz w:val="24"/>
                <w:szCs w:val="24"/>
                <w:lang w:eastAsia="zh-CN"/>
                <w14:textFill>
                  <w14:solidFill>
                    <w14:schemeClr w14:val="tx1"/>
                  </w14:solidFill>
                </w14:textFill>
              </w:rPr>
              <w:t>。</w:t>
            </w:r>
          </w:p>
          <w:p>
            <w:pPr>
              <w:pStyle w:val="15"/>
              <w:keepNext w:val="0"/>
              <w:keepLines w:val="0"/>
              <w:pageBreakBefore w:val="0"/>
              <w:widowControl w:val="0"/>
              <w:kinsoku/>
              <w:wordWrap/>
              <w:overflowPunct/>
              <w:topLinePunct w:val="0"/>
              <w:autoSpaceDE/>
              <w:autoSpaceDN/>
              <w:bidi w:val="0"/>
              <w:adjustRightInd/>
              <w:snapToGrid/>
              <w:spacing w:line="400" w:lineRule="exact"/>
              <w:ind w:firstLine="482"/>
              <w:contextualSpacing/>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表27                        废气排放标准限值</w:t>
            </w:r>
          </w:p>
          <w:tbl>
            <w:tblPr>
              <w:tblStyle w:val="37"/>
              <w:tblW w:w="886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60"/>
              <w:gridCol w:w="3892"/>
              <w:gridCol w:w="37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12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评价因子</w:t>
                  </w:r>
                </w:p>
              </w:tc>
              <w:tc>
                <w:tcPr>
                  <w:tcW w:w="38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标准</w:t>
                  </w:r>
                  <w:r>
                    <w:rPr>
                      <w:rFonts w:hint="default" w:ascii="Times New Roman" w:hAnsi="Times New Roman" w:eastAsia="宋体" w:cs="Times New Roman"/>
                      <w:b w:val="0"/>
                      <w:bCs w:val="0"/>
                      <w:color w:val="000000" w:themeColor="text1"/>
                      <w:sz w:val="21"/>
                      <w:szCs w:val="21"/>
                      <w14:textFill>
                        <w14:solidFill>
                          <w14:schemeClr w14:val="tx1"/>
                        </w14:solidFill>
                      </w14:textFill>
                    </w:rPr>
                    <w:t>限值</w:t>
                  </w:r>
                </w:p>
              </w:tc>
              <w:tc>
                <w:tcPr>
                  <w:tcW w:w="37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评价标准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油气（</w:t>
                  </w:r>
                  <w:r>
                    <w:rPr>
                      <w:rFonts w:hint="default" w:ascii="Times New Roman" w:hAnsi="Times New Roman" w:eastAsia="宋体" w:cs="Times New Roman"/>
                      <w:b w:val="0"/>
                      <w:bCs w:val="0"/>
                      <w:color w:val="000000" w:themeColor="text1"/>
                      <w:sz w:val="21"/>
                      <w:szCs w:val="21"/>
                      <w14:textFill>
                        <w14:solidFill>
                          <w14:schemeClr w14:val="tx1"/>
                        </w14:solidFill>
                      </w14:textFill>
                    </w:rPr>
                    <w:t>非甲烷总烃</w:t>
                  </w:r>
                  <w:r>
                    <w:rPr>
                      <w:rFonts w:hint="default" w:ascii="Times New Roman" w:hAnsi="Times New Roman" w:eastAsia="宋体" w:cs="Times New Roman"/>
                      <w:b w:val="0"/>
                      <w:bCs w:val="0"/>
                      <w:color w:val="000000" w:themeColor="text1"/>
                      <w:sz w:val="21"/>
                      <w:szCs w:val="21"/>
                      <w:lang w:eastAsia="zh-CN"/>
                      <w14:textFill>
                        <w14:solidFill>
                          <w14:schemeClr w14:val="tx1"/>
                        </w14:solidFill>
                      </w14:textFill>
                    </w:rPr>
                    <w:t>）</w:t>
                  </w:r>
                </w:p>
              </w:tc>
              <w:tc>
                <w:tcPr>
                  <w:tcW w:w="38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1小时平均浓度值应＜25g</w:t>
                  </w: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14:textFill>
                        <w14:solidFill>
                          <w14:schemeClr w14:val="tx1"/>
                        </w14:solidFill>
                      </w14:textFill>
                    </w:rPr>
                    <w:t>m</w:t>
                  </w:r>
                  <w:r>
                    <w:rPr>
                      <w:rFonts w:hint="default" w:ascii="Times New Roman" w:hAnsi="Times New Roman" w:eastAsia="宋体" w:cs="Times New Roman"/>
                      <w:b w:val="0"/>
                      <w:bCs w:val="0"/>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b w:val="0"/>
                      <w:bCs w:val="0"/>
                      <w:color w:val="000000" w:themeColor="text1"/>
                      <w:sz w:val="21"/>
                      <w:szCs w:val="21"/>
                      <w14:textFill>
                        <w14:solidFill>
                          <w14:schemeClr w14:val="tx1"/>
                        </w14:solidFill>
                      </w14:textFill>
                    </w:rPr>
                    <w:t>，排气口距地平面高度应不低于4m</w:t>
                  </w:r>
                </w:p>
              </w:tc>
              <w:tc>
                <w:tcPr>
                  <w:tcW w:w="3708"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《加油站大气污染物排放标准》（GB20952-2020）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气液比</w:t>
                  </w:r>
                </w:p>
              </w:tc>
              <w:tc>
                <w:tcPr>
                  <w:tcW w:w="38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各种加油油气回收系统的气液比均应在1.0～1.2范围内</w:t>
                  </w:r>
                </w:p>
              </w:tc>
              <w:tc>
                <w:tcPr>
                  <w:tcW w:w="370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jc w:val="center"/>
              </w:trPr>
              <w:tc>
                <w:tcPr>
                  <w:tcW w:w="12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非甲烷总烃</w:t>
                  </w:r>
                </w:p>
              </w:tc>
              <w:tc>
                <w:tcPr>
                  <w:tcW w:w="38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企业边界无组织排放监控点处1小时平均浓度限值≤4.0mg</w:t>
                  </w: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14:textFill>
                        <w14:solidFill>
                          <w14:schemeClr w14:val="tx1"/>
                        </w14:solidFill>
                      </w14:textFill>
                    </w:rPr>
                    <w:t>m</w:t>
                  </w:r>
                  <w:r>
                    <w:rPr>
                      <w:rFonts w:hint="default" w:ascii="Times New Roman" w:hAnsi="Times New Roman" w:eastAsia="宋体" w:cs="Times New Roman"/>
                      <w:b w:val="0"/>
                      <w:bCs w:val="0"/>
                      <w:color w:val="000000" w:themeColor="text1"/>
                      <w:sz w:val="21"/>
                      <w:szCs w:val="21"/>
                      <w:vertAlign w:val="superscript"/>
                      <w14:textFill>
                        <w14:solidFill>
                          <w14:schemeClr w14:val="tx1"/>
                        </w14:solidFill>
                      </w14:textFill>
                    </w:rPr>
                    <w:t>3</w:t>
                  </w:r>
                </w:p>
              </w:tc>
              <w:tc>
                <w:tcPr>
                  <w:tcW w:w="37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《加油站大气污染物排放标准》（GB20952-2020）表3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26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非甲烷总烃</w:t>
                  </w:r>
                </w:p>
              </w:tc>
              <w:tc>
                <w:tcPr>
                  <w:tcW w:w="38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10mg</w:t>
                  </w: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14:textFill>
                        <w14:solidFill>
                          <w14:schemeClr w14:val="tx1"/>
                        </w14:solidFill>
                      </w14:textFill>
                    </w:rPr>
                    <w:t>m</w:t>
                  </w:r>
                  <w:r>
                    <w:rPr>
                      <w:rFonts w:hint="default" w:ascii="Times New Roman" w:hAnsi="Times New Roman" w:eastAsia="宋体" w:cs="Times New Roman"/>
                      <w:b w:val="0"/>
                      <w:bCs w:val="0"/>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b w:val="0"/>
                      <w:bCs w:val="0"/>
                      <w:color w:val="000000" w:themeColor="text1"/>
                      <w:sz w:val="21"/>
                      <w:szCs w:val="21"/>
                      <w14:textFill>
                        <w14:solidFill>
                          <w14:schemeClr w14:val="tx1"/>
                        </w14:solidFill>
                      </w14:textFill>
                    </w:rPr>
                    <w:t>（监控点处1h平均浓度值）</w:t>
                  </w:r>
                </w:p>
              </w:tc>
              <w:tc>
                <w:tcPr>
                  <w:tcW w:w="3708"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《挥发性有机物无组织排放控制标准》（GB37822-2019）附录A表A</w:t>
                  </w: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14:textFill>
                        <w14:solidFill>
                          <w14:schemeClr w14:val="tx1"/>
                        </w14:solidFill>
                      </w14:textFill>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p>
              </w:tc>
              <w:tc>
                <w:tcPr>
                  <w:tcW w:w="38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30mg</w:t>
                  </w: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14:textFill>
                        <w14:solidFill>
                          <w14:schemeClr w14:val="tx1"/>
                        </w14:solidFill>
                      </w14:textFill>
                    </w:rPr>
                    <w:t>m</w:t>
                  </w:r>
                  <w:r>
                    <w:rPr>
                      <w:rFonts w:hint="default" w:ascii="Times New Roman" w:hAnsi="Times New Roman" w:eastAsia="宋体" w:cs="Times New Roman"/>
                      <w:b w:val="0"/>
                      <w:bCs w:val="0"/>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b w:val="0"/>
                      <w:bCs w:val="0"/>
                      <w:color w:val="000000" w:themeColor="text1"/>
                      <w:sz w:val="21"/>
                      <w:szCs w:val="21"/>
                      <w14:textFill>
                        <w14:solidFill>
                          <w14:schemeClr w14:val="tx1"/>
                        </w14:solidFill>
                      </w14:textFill>
                    </w:rPr>
                    <w:t>（监控点处任意一次浓度值）</w:t>
                  </w:r>
                </w:p>
              </w:tc>
              <w:tc>
                <w:tcPr>
                  <w:tcW w:w="3708"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6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非甲烷总烃</w:t>
                  </w:r>
                </w:p>
              </w:tc>
              <w:tc>
                <w:tcPr>
                  <w:tcW w:w="389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工业企业边界挥发性有机物建议排放值2.0 mg/m</w:t>
                  </w:r>
                  <w:r>
                    <w:rPr>
                      <w:rFonts w:hint="default" w:ascii="Times New Roman" w:hAnsi="Times New Roman" w:cs="Times New Roman"/>
                      <w:color w:val="000000" w:themeColor="text1"/>
                      <w:sz w:val="21"/>
                      <w:szCs w:val="21"/>
                      <w:vertAlign w:val="superscript"/>
                      <w14:textFill>
                        <w14:solidFill>
                          <w14:schemeClr w14:val="tx1"/>
                        </w14:solidFill>
                      </w14:textFill>
                    </w:rPr>
                    <w:t>3</w:t>
                  </w:r>
                </w:p>
              </w:tc>
              <w:tc>
                <w:tcPr>
                  <w:tcW w:w="37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《全省开展工业企业挥发性有机物专项治理工作中排放建议值》（豫环攻坚办〔2017〕162 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860"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注：</w:t>
                  </w:r>
                  <w:r>
                    <w:rPr>
                      <w:rFonts w:hint="default" w:ascii="Times New Roman" w:hAnsi="Times New Roman" w:eastAsia="宋体" w:cs="Times New Roman"/>
                      <w:color w:val="000000" w:themeColor="text1"/>
                      <w:sz w:val="21"/>
                      <w:szCs w:val="21"/>
                      <w14:textFill>
                        <w14:solidFill>
                          <w14:schemeClr w14:val="tx1"/>
                        </w14:solidFill>
                      </w14:textFill>
                    </w:rPr>
                    <w:t>油气回收管线液阻检测值、密闭性压力检测值要求见GB20952-2020表1、表2</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480" w:lineRule="exact"/>
              <w:ind w:firstLine="480" w:firstLineChars="200"/>
              <w:jc w:val="both"/>
              <w:textAlignment w:val="auto"/>
              <w:rPr>
                <w:rFonts w:hint="default" w:ascii="Times New Roman" w:hAnsi="Times New Roman" w:cs="Times New Roman"/>
                <w:color w:val="000000" w:themeColor="text1"/>
                <w:sz w:val="24"/>
                <w:szCs w:val="24"/>
                <w:u w:val="none" w:color="auto"/>
                <w:lang w:eastAsia="zh-CN"/>
                <w14:textFill>
                  <w14:solidFill>
                    <w14:schemeClr w14:val="tx1"/>
                  </w14:solidFill>
                </w14:textFill>
              </w:rPr>
            </w:pP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2、</w:t>
            </w:r>
            <w:r>
              <w:rPr>
                <w:rFonts w:hint="default" w:ascii="Times New Roman" w:hAnsi="Times New Roman" w:cs="Times New Roman"/>
                <w:color w:val="000000" w:themeColor="text1"/>
                <w:sz w:val="24"/>
                <w:szCs w:val="24"/>
                <w:u w:val="none" w:color="auto"/>
                <w:lang w:eastAsia="zh-CN"/>
                <w14:textFill>
                  <w14:solidFill>
                    <w14:schemeClr w14:val="tx1"/>
                  </w14:solidFill>
                </w14:textFill>
              </w:rPr>
              <w:t>废水：执行《</w:t>
            </w:r>
            <w:r>
              <w:rPr>
                <w:rFonts w:hint="default" w:ascii="Times New Roman" w:hAnsi="Times New Roman" w:cs="Times New Roman"/>
                <w:color w:val="000000" w:themeColor="text1"/>
                <w:sz w:val="24"/>
                <w:szCs w:val="24"/>
                <w14:textFill>
                  <w14:solidFill>
                    <w14:schemeClr w14:val="tx1"/>
                  </w14:solidFill>
                </w14:textFill>
              </w:rPr>
              <w:t>污水综合排放标准》（GB</w:t>
            </w:r>
            <w:r>
              <w:rPr>
                <w:rFonts w:hint="default" w:ascii="Times New Roman" w:hAnsi="Times New Roman" w:cs="Times New Roman"/>
                <w:color w:val="000000" w:themeColor="text1"/>
                <w:sz w:val="24"/>
                <w:szCs w:val="24"/>
                <w:lang w:val="en-US" w:eastAsia="zh-CN"/>
                <w14:textFill>
                  <w14:solidFill>
                    <w14:schemeClr w14:val="tx1"/>
                  </w14:solidFill>
                </w14:textFill>
              </w:rPr>
              <w:t>8978</w:t>
            </w:r>
            <w:r>
              <w:rPr>
                <w:rFonts w:hint="default" w:ascii="Times New Roman" w:hAnsi="Times New Roman" w:cs="Times New Roman"/>
                <w:color w:val="000000" w:themeColor="text1"/>
                <w:sz w:val="24"/>
                <w:szCs w:val="24"/>
                <w14:textFill>
                  <w14:solidFill>
                    <w14:schemeClr w14:val="tx1"/>
                  </w14:solidFill>
                </w14:textFill>
              </w:rPr>
              <w:t>-1996）表4中的</w:t>
            </w:r>
            <w:r>
              <w:rPr>
                <w:rFonts w:hint="default" w:ascii="Times New Roman" w:hAnsi="Times New Roman" w:cs="Times New Roman"/>
                <w:color w:val="000000" w:themeColor="text1"/>
                <w:sz w:val="24"/>
                <w:szCs w:val="24"/>
                <w:lang w:val="en-US" w:eastAsia="zh-CN"/>
                <w14:textFill>
                  <w14:solidFill>
                    <w14:schemeClr w14:val="tx1"/>
                  </w14:solidFill>
                </w14:textFill>
              </w:rPr>
              <w:t>二</w:t>
            </w:r>
            <w:r>
              <w:rPr>
                <w:rFonts w:hint="default" w:ascii="Times New Roman" w:hAnsi="Times New Roman" w:cs="Times New Roman"/>
                <w:color w:val="000000" w:themeColor="text1"/>
                <w:sz w:val="24"/>
                <w:szCs w:val="24"/>
                <w14:textFill>
                  <w14:solidFill>
                    <w14:schemeClr w14:val="tx1"/>
                  </w14:solidFill>
                </w14:textFill>
              </w:rPr>
              <w:t>级</w:t>
            </w:r>
            <w:r>
              <w:rPr>
                <w:rFonts w:hint="default" w:ascii="Times New Roman" w:hAnsi="Times New Roman" w:eastAsia="宋体" w:cs="Times New Roman"/>
                <w:color w:val="000000" w:themeColor="text1"/>
                <w:sz w:val="24"/>
                <w:szCs w:val="24"/>
                <w14:textFill>
                  <w14:solidFill>
                    <w14:schemeClr w14:val="tx1"/>
                  </w14:solidFill>
                </w14:textFill>
              </w:rPr>
              <w:t>标准</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及漯河经济技术开发区污水处理厂进水水质标准</w:t>
            </w:r>
            <w:r>
              <w:rPr>
                <w:rFonts w:hint="default" w:ascii="Times New Roman" w:hAnsi="Times New Roman" w:eastAsia="宋体" w:cs="Times New Roman"/>
                <w:color w:val="000000" w:themeColor="text1"/>
                <w:sz w:val="24"/>
                <w:szCs w:val="24"/>
                <w14:textFill>
                  <w14:solidFill>
                    <w14:schemeClr w14:val="tx1"/>
                  </w14:solidFill>
                </w14:textFill>
              </w:rPr>
              <w:t>纳管进水水质标准</w:t>
            </w:r>
            <w:r>
              <w:rPr>
                <w:rFonts w:hint="default" w:ascii="Times New Roman" w:hAnsi="Times New Roman" w:cs="Times New Roman"/>
                <w:color w:val="000000" w:themeColor="text1"/>
                <w:sz w:val="24"/>
                <w:szCs w:val="24"/>
                <w:u w:val="none" w:color="auto"/>
                <w:lang w:eastAsia="zh-CN"/>
                <w14:textFill>
                  <w14:solidFill>
                    <w14:schemeClr w14:val="tx1"/>
                  </w14:solidFill>
                </w14:textFill>
              </w:rPr>
              <w:t>。</w:t>
            </w:r>
          </w:p>
          <w:p>
            <w:pPr>
              <w:pStyle w:val="15"/>
              <w:keepNext w:val="0"/>
              <w:keepLines w:val="0"/>
              <w:pageBreakBefore w:val="0"/>
              <w:widowControl w:val="0"/>
              <w:kinsoku/>
              <w:wordWrap/>
              <w:overflowPunct/>
              <w:topLinePunct w:val="0"/>
              <w:autoSpaceDE/>
              <w:autoSpaceDN/>
              <w:bidi w:val="0"/>
              <w:adjustRightInd/>
              <w:snapToGrid/>
              <w:spacing w:line="400" w:lineRule="exact"/>
              <w:ind w:firstLine="482"/>
              <w:contextualSpacing/>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表28          废水排放标准                   单位：mg/L，pH无量纲</w:t>
            </w:r>
          </w:p>
          <w:tbl>
            <w:tblPr>
              <w:tblStyle w:val="37"/>
              <w:tblW w:w="886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19"/>
              <w:gridCol w:w="2209"/>
              <w:gridCol w:w="2341"/>
              <w:gridCol w:w="199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0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标准类型</w:t>
                  </w:r>
                </w:p>
              </w:tc>
              <w:tc>
                <w:tcPr>
                  <w:tcW w:w="12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COD</w:t>
                  </w:r>
                </w:p>
              </w:tc>
              <w:tc>
                <w:tcPr>
                  <w:tcW w:w="13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SS</w:t>
                  </w:r>
                </w:p>
              </w:tc>
              <w:tc>
                <w:tcPr>
                  <w:tcW w:w="11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氨氮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0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GB8798-1996</w:t>
                  </w:r>
                </w:p>
              </w:tc>
              <w:tc>
                <w:tcPr>
                  <w:tcW w:w="124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150</w:t>
                  </w:r>
                </w:p>
              </w:tc>
              <w:tc>
                <w:tcPr>
                  <w:tcW w:w="13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150</w:t>
                  </w:r>
                </w:p>
              </w:tc>
              <w:tc>
                <w:tcPr>
                  <w:tcW w:w="11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0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纳管进水标准</w:t>
                  </w:r>
                </w:p>
              </w:tc>
              <w:tc>
                <w:tcPr>
                  <w:tcW w:w="1246" w:type="pct"/>
                  <w:tcBorders>
                    <w:tl2br w:val="nil"/>
                    <w:tr2bl w:val="nil"/>
                  </w:tcBorders>
                  <w:noWrap w:val="0"/>
                  <w:vAlign w:val="center"/>
                </w:tcPr>
                <w:p>
                  <w:pPr>
                    <w:keepLines w:val="0"/>
                    <w:pageBreakBefore w:val="0"/>
                    <w:widowControl w:val="0"/>
                    <w:kinsoku/>
                    <w:wordWrap/>
                    <w:topLinePunct w:val="0"/>
                    <w:autoSpaceDE/>
                    <w:autoSpaceDN/>
                    <w:bidi w:val="0"/>
                    <w:adjustRightInd w:val="0"/>
                    <w:snapToGrid w:val="0"/>
                    <w:spacing w:line="400" w:lineRule="exact"/>
                    <w:ind w:left="0" w:leftChars="0"/>
                    <w:jc w:val="center"/>
                    <w:textAlignment w:val="auto"/>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500</w:t>
                  </w:r>
                </w:p>
              </w:tc>
              <w:tc>
                <w:tcPr>
                  <w:tcW w:w="1320" w:type="pct"/>
                  <w:tcBorders>
                    <w:tl2br w:val="nil"/>
                    <w:tr2bl w:val="nil"/>
                  </w:tcBorders>
                  <w:noWrap w:val="0"/>
                  <w:vAlign w:val="center"/>
                </w:tcPr>
                <w:p>
                  <w:pPr>
                    <w:keepLines w:val="0"/>
                    <w:pageBreakBefore w:val="0"/>
                    <w:widowControl w:val="0"/>
                    <w:kinsoku/>
                    <w:wordWrap/>
                    <w:topLinePunct w:val="0"/>
                    <w:autoSpaceDE/>
                    <w:autoSpaceDN/>
                    <w:bidi w:val="0"/>
                    <w:adjustRightInd w:val="0"/>
                    <w:snapToGrid w:val="0"/>
                    <w:spacing w:line="400" w:lineRule="exact"/>
                    <w:ind w:left="0" w:leftChars="0"/>
                    <w:jc w:val="center"/>
                    <w:textAlignment w:val="auto"/>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320</w:t>
                  </w:r>
                </w:p>
              </w:tc>
              <w:tc>
                <w:tcPr>
                  <w:tcW w:w="112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35</w:t>
                  </w:r>
                </w:p>
              </w:tc>
            </w:tr>
          </w:tbl>
          <w:p>
            <w:pPr>
              <w:keepNext w:val="0"/>
              <w:keepLines w:val="0"/>
              <w:pageBreakBefore w:val="0"/>
              <w:numPr>
                <w:ilvl w:val="0"/>
                <w:numId w:val="0"/>
              </w:numPr>
              <w:kinsoku/>
              <w:wordWrap/>
              <w:overflowPunct/>
              <w:topLinePunct w:val="0"/>
              <w:autoSpaceDE/>
              <w:autoSpaceDN/>
              <w:bidi w:val="0"/>
              <w:adjustRightInd w:val="0"/>
              <w:snapToGrid w:val="0"/>
              <w:spacing w:line="480" w:lineRule="exact"/>
              <w:ind w:firstLine="480" w:firstLineChars="200"/>
              <w:jc w:val="both"/>
              <w:textAlignment w:val="auto"/>
              <w:rPr>
                <w:rFonts w:hint="default" w:ascii="Times New Roman" w:hAnsi="Times New Roman" w:cs="Times New Roman"/>
                <w:color w:val="000000" w:themeColor="text1"/>
                <w:sz w:val="24"/>
                <w:szCs w:val="24"/>
                <w:u w:val="none" w:color="auto"/>
                <w:lang w:eastAsia="zh-CN"/>
                <w14:textFill>
                  <w14:solidFill>
                    <w14:schemeClr w14:val="tx1"/>
                  </w14:solidFill>
                </w14:textFill>
              </w:rPr>
            </w:pP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3、</w:t>
            </w:r>
            <w:r>
              <w:rPr>
                <w:rFonts w:hint="default" w:ascii="Times New Roman" w:hAnsi="Times New Roman" w:cs="Times New Roman"/>
                <w:color w:val="000000" w:themeColor="text1"/>
                <w:sz w:val="24"/>
                <w:szCs w:val="24"/>
                <w:u w:val="none" w:color="auto"/>
                <w14:textFill>
                  <w14:solidFill>
                    <w14:schemeClr w14:val="tx1"/>
                  </w14:solidFill>
                </w14:textFill>
              </w:rPr>
              <w:t>噪声：</w:t>
            </w:r>
            <w:r>
              <w:rPr>
                <w:rFonts w:hint="default" w:ascii="Times New Roman" w:hAnsi="Times New Roman" w:eastAsia="宋体" w:cs="Times New Roman"/>
                <w:bCs/>
                <w:snapToGrid w:val="0"/>
                <w:color w:val="000000" w:themeColor="text1"/>
                <w:kern w:val="0"/>
                <w:sz w:val="24"/>
                <w:szCs w:val="24"/>
                <w:u w:val="none" w:color="auto"/>
                <w14:textFill>
                  <w14:solidFill>
                    <w14:schemeClr w14:val="tx1"/>
                  </w14:solidFill>
                </w14:textFill>
              </w:rPr>
              <w:t>施工期执行《建筑施工场界环境噪声排放标准》（GB12523-2011）</w:t>
            </w:r>
            <w:r>
              <w:rPr>
                <w:rFonts w:hint="default" w:ascii="Times New Roman" w:hAnsi="Times New Roman" w:cs="Times New Roman"/>
                <w:color w:val="000000" w:themeColor="text1"/>
                <w:sz w:val="24"/>
                <w:szCs w:val="24"/>
                <w:u w:val="none" w:color="auto"/>
                <w:lang w:eastAsia="zh-CN"/>
                <w14:textFill>
                  <w14:solidFill>
                    <w14:schemeClr w14:val="tx1"/>
                  </w14:solidFill>
                </w14:textFill>
              </w:rPr>
              <w:t>；</w:t>
            </w:r>
            <w:r>
              <w:rPr>
                <w:rFonts w:hint="default" w:ascii="Times New Roman" w:hAnsi="Times New Roman" w:eastAsia="宋体" w:cs="Times New Roman"/>
                <w:bCs/>
                <w:snapToGrid w:val="0"/>
                <w:color w:val="000000" w:themeColor="text1"/>
                <w:kern w:val="0"/>
                <w:sz w:val="24"/>
                <w:szCs w:val="24"/>
                <w:u w:val="none" w:color="auto"/>
                <w14:textFill>
                  <w14:solidFill>
                    <w14:schemeClr w14:val="tx1"/>
                  </w14:solidFill>
                </w14:textFill>
              </w:rPr>
              <w:t>营运期</w:t>
            </w:r>
            <w:r>
              <w:rPr>
                <w:rFonts w:hint="default" w:ascii="Times New Roman" w:hAnsi="Times New Roman" w:cs="Times New Roman"/>
                <w:color w:val="000000" w:themeColor="text1"/>
                <w:sz w:val="24"/>
                <w:szCs w:val="24"/>
                <w:u w:val="none" w:color="auto"/>
                <w14:textFill>
                  <w14:solidFill>
                    <w14:schemeClr w14:val="tx1"/>
                  </w14:solidFill>
                </w14:textFill>
              </w:rPr>
              <w:t>执行《工业企业厂界环境噪声排放标准》</w:t>
            </w:r>
            <w:r>
              <w:rPr>
                <w:rFonts w:hint="default" w:ascii="Times New Roman" w:hAnsi="Times New Roman" w:cs="Times New Roman"/>
                <w:color w:val="000000" w:themeColor="text1"/>
                <w:sz w:val="24"/>
                <w:szCs w:val="24"/>
                <w:u w:val="none" w:color="auto"/>
                <w:lang w:eastAsia="zh-CN"/>
                <w14:textFill>
                  <w14:solidFill>
                    <w14:schemeClr w14:val="tx1"/>
                  </w14:solidFill>
                </w14:textFill>
              </w:rPr>
              <w:t>，</w:t>
            </w:r>
            <w:r>
              <w:rPr>
                <w:rFonts w:hint="default" w:ascii="Times New Roman" w:hAnsi="Times New Roman" w:cs="Times New Roman"/>
                <w:color w:val="000000" w:themeColor="text1"/>
                <w:sz w:val="24"/>
                <w:szCs w:val="24"/>
                <w:u w:val="none" w:color="auto"/>
                <w:lang w:val="en-US" w:eastAsia="zh-CN"/>
                <w14:textFill>
                  <w14:solidFill>
                    <w14:schemeClr w14:val="tx1"/>
                  </w14:solidFill>
                </w14:textFill>
              </w:rPr>
              <w:t>具体标准如下表</w:t>
            </w:r>
            <w:r>
              <w:rPr>
                <w:rFonts w:hint="default" w:ascii="Times New Roman" w:hAnsi="Times New Roman" w:cs="Times New Roman"/>
                <w:color w:val="000000" w:themeColor="text1"/>
                <w:sz w:val="24"/>
                <w:szCs w:val="24"/>
                <w:u w:val="none" w:color="auto"/>
                <w:lang w:eastAsia="zh-CN"/>
                <w14:textFill>
                  <w14:solidFill>
                    <w14:schemeClr w14:val="tx1"/>
                  </w14:solidFill>
                </w14:textFill>
              </w:rPr>
              <w:t>。</w:t>
            </w:r>
          </w:p>
          <w:p>
            <w:pPr>
              <w:pStyle w:val="15"/>
              <w:keepNext w:val="0"/>
              <w:keepLines w:val="0"/>
              <w:pageBreakBefore w:val="0"/>
              <w:widowControl w:val="0"/>
              <w:kinsoku/>
              <w:wordWrap/>
              <w:overflowPunct/>
              <w:topLinePunct w:val="0"/>
              <w:autoSpaceDE/>
              <w:autoSpaceDN/>
              <w:bidi w:val="0"/>
              <w:adjustRightInd/>
              <w:snapToGrid/>
              <w:spacing w:line="400" w:lineRule="exact"/>
              <w:ind w:firstLine="482"/>
              <w:contextualSpacing/>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 xml:space="preserve">表29     </w:t>
            </w:r>
            <w:r>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t xml:space="preserve">        </w:t>
            </w:r>
            <w:r>
              <w:rPr>
                <w:rFonts w:hint="default" w:ascii="Times New Roman" w:hAnsi="Times New Roman" w:cs="Times New Roman"/>
                <w:b/>
                <w:color w:val="000000" w:themeColor="text1"/>
                <w:sz w:val="24"/>
                <w:highlight w:val="none"/>
                <w14:textFill>
                  <w14:solidFill>
                    <w14:schemeClr w14:val="tx1"/>
                  </w14:solidFill>
                </w14:textFill>
              </w:rPr>
              <w:t>噪声排放标准</w:t>
            </w:r>
            <w:r>
              <w:rPr>
                <w:rFonts w:hint="default" w:ascii="Times New Roman" w:hAnsi="Times New Roman" w:eastAsia="宋体" w:cs="Times New Roman"/>
                <w:b/>
                <w:color w:val="000000" w:themeColor="text1"/>
                <w:sz w:val="24"/>
                <w:szCs w:val="24"/>
                <w:highlight w:val="none"/>
                <w:u w:val="none"/>
                <w:lang w:val="en-US" w:eastAsia="zh-CN"/>
                <w14:textFill>
                  <w14:solidFill>
                    <w14:schemeClr w14:val="tx1"/>
                  </w14:solidFill>
                </w14:textFill>
              </w:rPr>
              <w:t xml:space="preserve">                        单位：dB（A）</w:t>
            </w:r>
          </w:p>
          <w:tbl>
            <w:tblPr>
              <w:tblStyle w:val="37"/>
              <w:tblW w:w="8830"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1284"/>
              <w:gridCol w:w="2392"/>
              <w:gridCol w:w="1879"/>
              <w:gridCol w:w="1706"/>
              <w:gridCol w:w="1569"/>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06" w:hRule="atLeast"/>
                <w:jc w:val="center"/>
              </w:trPr>
              <w:tc>
                <w:tcPr>
                  <w:tcW w:w="1284" w:type="dxa"/>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baseline"/>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时期</w:t>
                  </w:r>
                </w:p>
              </w:tc>
              <w:tc>
                <w:tcPr>
                  <w:tcW w:w="2392" w:type="dxa"/>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baseline"/>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位置</w:t>
                  </w:r>
                </w:p>
              </w:tc>
              <w:tc>
                <w:tcPr>
                  <w:tcW w:w="1879" w:type="dxa"/>
                  <w:tcBorders>
                    <w:left w:val="single" w:color="auto" w:sz="4" w:space="0"/>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baseline"/>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级别</w:t>
                  </w:r>
                </w:p>
              </w:tc>
              <w:tc>
                <w:tcPr>
                  <w:tcW w:w="1706" w:type="dxa"/>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baseline"/>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昼间</w:t>
                  </w:r>
                </w:p>
              </w:tc>
              <w:tc>
                <w:tcPr>
                  <w:tcW w:w="156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baseline"/>
                    <w:rPr>
                      <w:rFonts w:hint="default" w:ascii="Times New Roman" w:hAnsi="Times New Roman" w:eastAsia="宋体" w:cs="Times New Roman"/>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t>夜间</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05" w:hRule="atLeast"/>
                <w:jc w:val="center"/>
              </w:trPr>
              <w:tc>
                <w:tcPr>
                  <w:tcW w:w="1284" w:type="dxa"/>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baseline"/>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施工期</w:t>
                  </w:r>
                </w:p>
              </w:tc>
              <w:tc>
                <w:tcPr>
                  <w:tcW w:w="2392" w:type="dxa"/>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baseline"/>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eastAsia="zh-CN"/>
                      <w14:textFill>
                        <w14:solidFill>
                          <w14:schemeClr w14:val="tx1"/>
                        </w14:solidFill>
                      </w14:textFill>
                    </w:rPr>
                    <w:t>边界</w:t>
                  </w:r>
                </w:p>
              </w:tc>
              <w:tc>
                <w:tcPr>
                  <w:tcW w:w="1879" w:type="dxa"/>
                  <w:tcBorders>
                    <w:left w:val="single" w:color="auto" w:sz="4" w:space="0"/>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baseline"/>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w:t>
                  </w:r>
                </w:p>
              </w:tc>
              <w:tc>
                <w:tcPr>
                  <w:tcW w:w="1706" w:type="dxa"/>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baseline"/>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70</w:t>
                  </w:r>
                </w:p>
              </w:tc>
              <w:tc>
                <w:tcPr>
                  <w:tcW w:w="156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baseline"/>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55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05" w:hRule="atLeast"/>
                <w:jc w:val="center"/>
              </w:trPr>
              <w:tc>
                <w:tcPr>
                  <w:tcW w:w="1284" w:type="dxa"/>
                  <w:vMerge w:val="restart"/>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baseline"/>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营运期</w:t>
                  </w:r>
                </w:p>
              </w:tc>
              <w:tc>
                <w:tcPr>
                  <w:tcW w:w="2392" w:type="dxa"/>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baseline"/>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东、西、南</w:t>
                  </w:r>
                  <w:r>
                    <w:rPr>
                      <w:rFonts w:hint="default" w:ascii="Times New Roman" w:hAnsi="Times New Roman" w:cs="Times New Roman"/>
                      <w:color w:val="000000" w:themeColor="text1"/>
                      <w:sz w:val="21"/>
                      <w:szCs w:val="21"/>
                      <w:lang w:eastAsia="zh-CN"/>
                      <w14:textFill>
                        <w14:solidFill>
                          <w14:schemeClr w14:val="tx1"/>
                        </w14:solidFill>
                      </w14:textFill>
                    </w:rPr>
                    <w:t>边界</w:t>
                  </w:r>
                </w:p>
              </w:tc>
              <w:tc>
                <w:tcPr>
                  <w:tcW w:w="1879" w:type="dxa"/>
                  <w:tcBorders>
                    <w:left w:val="single" w:color="auto" w:sz="4" w:space="0"/>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baseline"/>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t>类</w:t>
                  </w:r>
                </w:p>
              </w:tc>
              <w:tc>
                <w:tcPr>
                  <w:tcW w:w="1706" w:type="dxa"/>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baseline"/>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60</w:t>
                  </w:r>
                </w:p>
              </w:tc>
              <w:tc>
                <w:tcPr>
                  <w:tcW w:w="156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baseline"/>
                    <w:rPr>
                      <w:rFonts w:hint="default" w:ascii="Times New Roman" w:hAnsi="Times New Roman" w:eastAsia="宋体" w:cs="Times New Roman"/>
                      <w:color w:val="000000" w:themeColor="text1"/>
                      <w:kern w:val="2"/>
                      <w:sz w:val="21"/>
                      <w:szCs w:val="21"/>
                      <w:highlight w:val="none"/>
                      <w:u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50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05" w:hRule="atLeast"/>
                <w:jc w:val="center"/>
              </w:trPr>
              <w:tc>
                <w:tcPr>
                  <w:tcW w:w="1284" w:type="dxa"/>
                  <w:vMerge w:val="continue"/>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baseline"/>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p>
              </w:tc>
              <w:tc>
                <w:tcPr>
                  <w:tcW w:w="2392" w:type="dxa"/>
                  <w:tcBorders>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baseline"/>
                    <w:rPr>
                      <w:rFonts w:hint="default" w:ascii="Times New Roman" w:hAnsi="Times New Roman" w:eastAsia="宋体"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北</w:t>
                  </w:r>
                  <w:r>
                    <w:rPr>
                      <w:rFonts w:hint="default" w:ascii="Times New Roman" w:hAnsi="Times New Roman" w:cs="Times New Roman"/>
                      <w:color w:val="000000" w:themeColor="text1"/>
                      <w:sz w:val="21"/>
                      <w:szCs w:val="21"/>
                      <w:lang w:eastAsia="zh-CN"/>
                      <w14:textFill>
                        <w14:solidFill>
                          <w14:schemeClr w14:val="tx1"/>
                        </w14:solidFill>
                      </w14:textFill>
                    </w:rPr>
                    <w:t>边界</w:t>
                  </w:r>
                </w:p>
              </w:tc>
              <w:tc>
                <w:tcPr>
                  <w:tcW w:w="1879" w:type="dxa"/>
                  <w:tcBorders>
                    <w:left w:val="single" w:color="auto" w:sz="4" w:space="0"/>
                    <w:righ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baseline"/>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4类</w:t>
                  </w:r>
                </w:p>
              </w:tc>
              <w:tc>
                <w:tcPr>
                  <w:tcW w:w="1706" w:type="dxa"/>
                  <w:tcBorders>
                    <w:left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baseline"/>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70</w:t>
                  </w:r>
                </w:p>
              </w:tc>
              <w:tc>
                <w:tcPr>
                  <w:tcW w:w="156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baseline"/>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lang w:val="en-US" w:eastAsia="zh-CN"/>
                      <w14:textFill>
                        <w14:solidFill>
                          <w14:schemeClr w14:val="tx1"/>
                        </w14:solidFill>
                      </w14:textFill>
                    </w:rPr>
                    <w:t>55</w:t>
                  </w:r>
                </w:p>
              </w:tc>
            </w:tr>
          </w:tbl>
          <w:p>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color w:val="000000" w:themeColor="text1"/>
                <w:kern w:val="0"/>
                <w:sz w:val="24"/>
                <w:szCs w:val="24"/>
                <w:u w:val="none" w:color="auto"/>
                <w14:textFill>
                  <w14:solidFill>
                    <w14:schemeClr w14:val="tx1"/>
                  </w14:solidFill>
                </w14:textFill>
              </w:rPr>
            </w:pP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u w:val="none" w:color="auto"/>
                <w14:textFill>
                  <w14:solidFill>
                    <w14:schemeClr w14:val="tx1"/>
                  </w14:solidFill>
                </w14:textFill>
              </w:rPr>
              <w:t>固体废物：</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一般固体废物</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参照</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执行</w:t>
            </w:r>
            <w:r>
              <w:rPr>
                <w:rFonts w:hint="default" w:ascii="Times New Roman" w:hAnsi="Times New Roman" w:eastAsia="宋体" w:cs="Times New Roman"/>
                <w:color w:val="000000" w:themeColor="text1"/>
                <w:sz w:val="24"/>
                <w:szCs w:val="24"/>
                <w:u w:val="none" w:color="auto"/>
                <w14:textFill>
                  <w14:solidFill>
                    <w14:schemeClr w14:val="tx1"/>
                  </w14:solidFill>
                </w14:textFill>
              </w:rPr>
              <w:t>《</w:t>
            </w:r>
            <w:r>
              <w:rPr>
                <w:rFonts w:hint="default" w:ascii="Times New Roman" w:hAnsi="Times New Roman" w:eastAsia="宋体" w:cs="Times New Roman"/>
                <w:color w:val="000000" w:themeColor="text1"/>
                <w:sz w:val="24"/>
                <w:szCs w:val="24"/>
                <w:u w:val="none" w:color="auto"/>
                <w:lang w:eastAsia="zh-CN"/>
                <w14:textFill>
                  <w14:solidFill>
                    <w14:schemeClr w14:val="tx1"/>
                  </w14:solidFill>
                </w14:textFill>
              </w:rPr>
              <w:t>一般工业固体废物贮存和填埋污染控制标准</w:t>
            </w:r>
            <w:r>
              <w:rPr>
                <w:rFonts w:hint="default" w:ascii="Times New Roman" w:hAnsi="Times New Roman" w:eastAsia="宋体" w:cs="Times New Roman"/>
                <w:color w:val="000000" w:themeColor="text1"/>
                <w:sz w:val="24"/>
                <w:szCs w:val="24"/>
                <w:u w:val="none" w:color="auto"/>
                <w14:textFill>
                  <w14:solidFill>
                    <w14:schemeClr w14:val="tx1"/>
                  </w14:solidFill>
                </w14:textFill>
              </w:rPr>
              <w:t>》（GB18599-20</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20</w:t>
            </w:r>
            <w:r>
              <w:rPr>
                <w:rFonts w:hint="default" w:ascii="Times New Roman" w:hAnsi="Times New Roman" w:eastAsia="宋体" w:cs="Times New Roman"/>
                <w:color w:val="000000" w:themeColor="text1"/>
                <w:sz w:val="24"/>
                <w:szCs w:val="24"/>
                <w:u w:val="none" w:color="auto"/>
                <w14:textFill>
                  <w14:solidFill>
                    <w14:schemeClr w14:val="tx1"/>
                  </w14:solidFill>
                </w14:textFill>
              </w:rPr>
              <w:t>）；</w:t>
            </w:r>
            <w:bookmarkStart w:id="4" w:name="_Toc426466526"/>
            <w:bookmarkStart w:id="5" w:name="_Toc425607973"/>
            <w:bookmarkStart w:id="6" w:name="_Toc427056365"/>
            <w:bookmarkStart w:id="7" w:name="_Toc29264943"/>
            <w:r>
              <w:rPr>
                <w:rFonts w:hint="default" w:ascii="Times New Roman" w:hAnsi="Times New Roman" w:eastAsia="宋体" w:cs="Times New Roman"/>
                <w:color w:val="000000" w:themeColor="text1"/>
                <w:sz w:val="24"/>
                <w:szCs w:val="24"/>
                <w:u w:val="none" w:color="auto"/>
                <w14:textFill>
                  <w14:solidFill>
                    <w14:schemeClr w14:val="tx1"/>
                  </w14:solidFill>
                </w14:textFill>
              </w:rPr>
              <w:t>危险</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废物</w:t>
            </w:r>
            <w:r>
              <w:rPr>
                <w:rFonts w:hint="default" w:ascii="Times New Roman" w:hAnsi="Times New Roman" w:eastAsia="宋体" w:cs="Times New Roman"/>
                <w:color w:val="000000" w:themeColor="text1"/>
                <w:sz w:val="24"/>
                <w:szCs w:val="24"/>
                <w:u w:val="none" w:color="auto"/>
                <w14:textFill>
                  <w14:solidFill>
                    <w14:schemeClr w14:val="tx1"/>
                  </w14:solidFill>
                </w14:textFill>
              </w:rPr>
              <w:t>执行《危险废物贮存污染控制标准》（GB18597-20</w:t>
            </w:r>
            <w:r>
              <w:rPr>
                <w:rFonts w:hint="default" w:ascii="Times New Roman" w:hAnsi="Times New Roman" w:eastAsia="宋体" w:cs="Times New Roman"/>
                <w:color w:val="000000" w:themeColor="text1"/>
                <w:sz w:val="24"/>
                <w:szCs w:val="24"/>
                <w:u w:val="none" w:color="auto"/>
                <w:lang w:val="en-US" w:eastAsia="zh-CN"/>
                <w14:textFill>
                  <w14:solidFill>
                    <w14:schemeClr w14:val="tx1"/>
                  </w14:solidFill>
                </w14:textFill>
              </w:rPr>
              <w:t>23</w:t>
            </w:r>
            <w:r>
              <w:rPr>
                <w:rFonts w:hint="default" w:ascii="Times New Roman" w:hAnsi="Times New Roman" w:eastAsia="宋体" w:cs="Times New Roman"/>
                <w:color w:val="000000" w:themeColor="text1"/>
                <w:sz w:val="24"/>
                <w:szCs w:val="24"/>
                <w:u w:val="none" w:color="auto"/>
                <w14:textFill>
                  <w14:solidFill>
                    <w14:schemeClr w14:val="tx1"/>
                  </w14:solidFill>
                </w14:textFill>
              </w:rPr>
              <w:t>）</w:t>
            </w:r>
            <w:bookmarkEnd w:id="4"/>
            <w:bookmarkEnd w:id="5"/>
            <w:bookmarkEnd w:id="6"/>
            <w:bookmarkEnd w:id="7"/>
            <w:r>
              <w:rPr>
                <w:rFonts w:hint="default" w:ascii="Times New Roman" w:hAnsi="Times New Roman" w:eastAsia="宋体" w:cs="Times New Roman"/>
                <w:color w:val="000000" w:themeColor="text1"/>
                <w:sz w:val="24"/>
                <w:szCs w:val="24"/>
                <w:u w:val="none" w:color="auto"/>
                <w14:textFill>
                  <w14:solidFill>
                    <w14:schemeClr w14:val="tx1"/>
                  </w14:solidFill>
                </w14:textFill>
              </w:rPr>
              <w:t>。</w:t>
            </w:r>
          </w:p>
          <w:p>
            <w:pPr>
              <w:adjustRightInd w:val="0"/>
              <w:snapToGrid w:val="0"/>
              <w:spacing w:line="360" w:lineRule="auto"/>
              <w:jc w:val="left"/>
              <w:rPr>
                <w:rFonts w:hint="default" w:ascii="Times New Roman" w:hAnsi="Times New Roman" w:cs="Times New Roman"/>
                <w:color w:val="000000" w:themeColor="text1"/>
                <w:szCs w:val="21"/>
                <w14:textFill>
                  <w14:solidFill>
                    <w14:schemeClr w14:val="tx1"/>
                  </w14:solidFill>
                </w14:textFill>
              </w:rPr>
            </w:pPr>
          </w:p>
          <w:p>
            <w:pPr>
              <w:adjustRightInd w:val="0"/>
              <w:snapToGrid w:val="0"/>
              <w:spacing w:line="360" w:lineRule="auto"/>
              <w:jc w:val="left"/>
              <w:rPr>
                <w:rFonts w:hint="default" w:ascii="Times New Roman" w:hAnsi="Times New Roman" w:cs="Times New Roman"/>
                <w:color w:val="000000" w:themeColor="text1"/>
                <w:kern w:val="0"/>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25" w:hRule="atLeast"/>
          <w:jc w:val="center"/>
        </w:trPr>
        <w:tc>
          <w:tcPr>
            <w:tcW w:w="668" w:type="dxa"/>
            <w:noWrap w:val="0"/>
            <w:vAlign w:val="center"/>
          </w:tcPr>
          <w:p>
            <w:pPr>
              <w:adjustRightInd w:val="0"/>
              <w:snapToGrid w:val="0"/>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总量</w:t>
            </w:r>
          </w:p>
          <w:p>
            <w:pPr>
              <w:adjustRightInd w:val="0"/>
              <w:snapToGrid w:val="0"/>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控制</w:t>
            </w:r>
          </w:p>
          <w:p>
            <w:pPr>
              <w:adjustRightInd w:val="0"/>
              <w:snapToGrid w:val="0"/>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Cs w:val="21"/>
                <w14:textFill>
                  <w14:solidFill>
                    <w14:schemeClr w14:val="tx1"/>
                  </w14:solidFill>
                </w14:textFill>
              </w:rPr>
              <w:t>指标</w:t>
            </w:r>
          </w:p>
        </w:tc>
        <w:tc>
          <w:tcPr>
            <w:tcW w:w="9024" w:type="dxa"/>
            <w:noWrap w:val="0"/>
            <w:vAlign w:val="center"/>
          </w:tcPr>
          <w:p>
            <w:pPr>
              <w:keepNext w:val="0"/>
              <w:keepLines w:val="0"/>
              <w:pageBreakBefore w:val="0"/>
              <w:widowControl w:val="0"/>
              <w:kinsoku/>
              <w:wordWrap/>
              <w:overflowPunct/>
              <w:topLinePunct w:val="0"/>
              <w:autoSpaceDE/>
              <w:autoSpaceDN/>
              <w:bidi w:val="0"/>
              <w:spacing w:line="480" w:lineRule="exact"/>
              <w:ind w:firstLine="480" w:firstLineChars="200"/>
              <w:jc w:val="both"/>
              <w:textAlignment w:val="auto"/>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（1）废水总量指标</w:t>
            </w:r>
            <w:r>
              <w:rPr>
                <w:rFonts w:hint="default" w:ascii="Times New Roman" w:hAnsi="Times New Roman" w:cs="Times New Roman"/>
                <w:color w:val="000000" w:themeColor="text1"/>
                <w:kern w:val="0"/>
                <w:sz w:val="24"/>
                <w:szCs w:val="24"/>
                <w:highlight w:val="none"/>
                <w14:textFill>
                  <w14:solidFill>
                    <w14:schemeClr w14:val="tx1"/>
                  </w14:solidFill>
                </w14:textFill>
              </w:rPr>
              <w:t>：</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改扩建项目</w:t>
            </w:r>
            <w:r>
              <w:rPr>
                <w:rFonts w:hint="default" w:ascii="Times New Roman" w:hAnsi="Times New Roman" w:cs="Times New Roman"/>
                <w:color w:val="000000" w:themeColor="text1"/>
                <w:kern w:val="0"/>
                <w:sz w:val="24"/>
                <w:szCs w:val="24"/>
                <w:highlight w:val="none"/>
                <w14:textFill>
                  <w14:solidFill>
                    <w14:schemeClr w14:val="tx1"/>
                  </w14:solidFill>
                </w14:textFill>
              </w:rPr>
              <w:t>无生产废水排放量，</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生活污水新增</w:t>
            </w:r>
            <w:r>
              <w:rPr>
                <w:rFonts w:hint="default" w:ascii="Times New Roman" w:hAnsi="Times New Roman" w:cs="Times New Roman"/>
                <w:color w:val="000000" w:themeColor="text1"/>
                <w:kern w:val="0"/>
                <w:sz w:val="24"/>
                <w:szCs w:val="24"/>
                <w:highlight w:val="none"/>
                <w14:textFill>
                  <w14:solidFill>
                    <w14:schemeClr w14:val="tx1"/>
                  </w14:solidFill>
                </w14:textFill>
              </w:rPr>
              <w:t>量为</w:t>
            </w:r>
            <w:r>
              <w:rPr>
                <w:rFonts w:hint="default" w:ascii="Times New Roman" w:hAnsi="Times New Roman" w:cs="Times New Roman"/>
                <w:color w:val="000000" w:themeColor="text1"/>
                <w:spacing w:val="-4"/>
                <w:sz w:val="24"/>
                <w:szCs w:val="24"/>
                <w:lang w:val="en-US" w:eastAsia="zh-CN"/>
                <w14:textFill>
                  <w14:solidFill>
                    <w14:schemeClr w14:val="tx1"/>
                  </w14:solidFill>
                </w14:textFill>
              </w:rPr>
              <w:t>0.1248</w:t>
            </w:r>
            <w:r>
              <w:rPr>
                <w:rFonts w:hint="default" w:ascii="Times New Roman" w:hAnsi="Times New Roman" w:cs="Times New Roman"/>
                <w:color w:val="000000" w:themeColor="text1"/>
                <w:spacing w:val="-4"/>
                <w:sz w:val="24"/>
                <w:szCs w:val="24"/>
                <w14:textFill>
                  <w14:solidFill>
                    <w14:schemeClr w14:val="tx1"/>
                  </w14:solidFill>
                </w14:textFill>
              </w:rPr>
              <w:t>m</w:t>
            </w:r>
            <w:r>
              <w:rPr>
                <w:rFonts w:hint="default" w:ascii="Times New Roman" w:hAnsi="Times New Roman" w:cs="Times New Roman"/>
                <w:color w:val="000000" w:themeColor="text1"/>
                <w:spacing w:val="-4"/>
                <w:sz w:val="24"/>
                <w:szCs w:val="24"/>
                <w:vertAlign w:val="superscript"/>
                <w14:textFill>
                  <w14:solidFill>
                    <w14:schemeClr w14:val="tx1"/>
                  </w14:solidFill>
                </w14:textFill>
              </w:rPr>
              <w:t>3</w:t>
            </w:r>
            <w:r>
              <w:rPr>
                <w:rFonts w:hint="default" w:ascii="Times New Roman" w:hAnsi="Times New Roman" w:cs="Times New Roman"/>
                <w:color w:val="000000" w:themeColor="text1"/>
                <w:spacing w:val="-4"/>
                <w:sz w:val="24"/>
                <w:szCs w:val="24"/>
                <w14:textFill>
                  <w14:solidFill>
                    <w14:schemeClr w14:val="tx1"/>
                  </w14:solidFill>
                </w14:textFill>
              </w:rPr>
              <w:t>/d（</w:t>
            </w:r>
            <w:r>
              <w:rPr>
                <w:rFonts w:hint="default" w:ascii="Times New Roman" w:hAnsi="Times New Roman" w:cs="Times New Roman"/>
                <w:color w:val="000000" w:themeColor="text1"/>
                <w:spacing w:val="-4"/>
                <w:sz w:val="24"/>
                <w:szCs w:val="24"/>
                <w:lang w:val="en-US" w:eastAsia="zh-CN"/>
                <w14:textFill>
                  <w14:solidFill>
                    <w14:schemeClr w14:val="tx1"/>
                  </w14:solidFill>
                </w14:textFill>
              </w:rPr>
              <w:t>45.552</w:t>
            </w:r>
            <w:r>
              <w:rPr>
                <w:rFonts w:hint="default" w:ascii="Times New Roman" w:hAnsi="Times New Roman" w:cs="Times New Roman"/>
                <w:color w:val="000000" w:themeColor="text1"/>
                <w:spacing w:val="-4"/>
                <w:sz w:val="24"/>
                <w:szCs w:val="24"/>
                <w14:textFill>
                  <w14:solidFill>
                    <w14:schemeClr w14:val="tx1"/>
                  </w14:solidFill>
                </w14:textFill>
              </w:rPr>
              <w:t>m</w:t>
            </w:r>
            <w:r>
              <w:rPr>
                <w:rFonts w:hint="default" w:ascii="Times New Roman" w:hAnsi="Times New Roman" w:cs="Times New Roman"/>
                <w:color w:val="000000" w:themeColor="text1"/>
                <w:spacing w:val="-4"/>
                <w:sz w:val="24"/>
                <w:szCs w:val="24"/>
                <w:vertAlign w:val="superscript"/>
                <w14:textFill>
                  <w14:solidFill>
                    <w14:schemeClr w14:val="tx1"/>
                  </w14:solidFill>
                </w14:textFill>
              </w:rPr>
              <w:t>3</w:t>
            </w:r>
            <w:r>
              <w:rPr>
                <w:rFonts w:hint="default" w:ascii="Times New Roman" w:hAnsi="Times New Roman" w:cs="Times New Roman"/>
                <w:color w:val="000000" w:themeColor="text1"/>
                <w:spacing w:val="-4"/>
                <w:sz w:val="24"/>
                <w:szCs w:val="24"/>
                <w14:textFill>
                  <w14:solidFill>
                    <w14:schemeClr w14:val="tx1"/>
                  </w14:solidFill>
                </w14:textFill>
              </w:rPr>
              <w:t>/a）</w:t>
            </w:r>
            <w:r>
              <w:rPr>
                <w:rFonts w:hint="default" w:ascii="Times New Roman" w:hAnsi="Times New Roman" w:cs="Times New Roman"/>
                <w:color w:val="000000" w:themeColor="text1"/>
                <w:kern w:val="0"/>
                <w:sz w:val="24"/>
                <w:szCs w:val="24"/>
                <w:highlight w:val="none"/>
                <w14:textFill>
                  <w14:solidFill>
                    <w14:schemeClr w14:val="tx1"/>
                  </w14:solidFill>
                </w14:textFill>
              </w:rPr>
              <w:t>，</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经化粪池处理后满足《污水综合排放标准》（GB8978-1996）表4二级标准和漯河经济技术产业集聚区污水处理厂收水标准，按照化粪池处理后排放</w:t>
            </w:r>
            <w:r>
              <w:rPr>
                <w:rFonts w:hint="default" w:ascii="Times New Roman" w:hAnsi="Times New Roman" w:cs="Times New Roman"/>
                <w:color w:val="000000" w:themeColor="text1"/>
                <w:kern w:val="0"/>
                <w:sz w:val="24"/>
                <w:szCs w:val="24"/>
                <w:highlight w:val="none"/>
                <w14:textFill>
                  <w14:solidFill>
                    <w14:schemeClr w14:val="tx1"/>
                  </w14:solidFill>
                </w14:textFill>
              </w:rPr>
              <w:t>浓度</w:t>
            </w:r>
            <w:r>
              <w:rPr>
                <w:rFonts w:hint="default" w:ascii="Times New Roman" w:hAnsi="Times New Roman"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cs="Times New Roman"/>
                <w:color w:val="000000" w:themeColor="text1"/>
                <w:kern w:val="0"/>
                <w:sz w:val="24"/>
                <w:szCs w:val="24"/>
                <w:highlight w:val="none"/>
                <w14:textFill>
                  <w14:solidFill>
                    <w14:schemeClr w14:val="tx1"/>
                  </w14:solidFill>
                </w14:textFill>
              </w:rPr>
              <w:t>COD</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150</w:t>
            </w:r>
            <w:r>
              <w:rPr>
                <w:rFonts w:hint="default" w:ascii="Times New Roman" w:hAnsi="Times New Roman" w:cs="Times New Roman"/>
                <w:color w:val="000000" w:themeColor="text1"/>
                <w:kern w:val="0"/>
                <w:sz w:val="24"/>
                <w:szCs w:val="24"/>
                <w:highlight w:val="none"/>
                <w14:textFill>
                  <w14:solidFill>
                    <w14:schemeClr w14:val="tx1"/>
                  </w14:solidFill>
                </w14:textFill>
              </w:rPr>
              <w:t>mg/L、氨氮</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24.9</w:t>
            </w:r>
            <w:r>
              <w:rPr>
                <w:rFonts w:hint="default" w:ascii="Times New Roman" w:hAnsi="Times New Roman" w:cs="Times New Roman"/>
                <w:color w:val="000000" w:themeColor="text1"/>
                <w:kern w:val="0"/>
                <w:sz w:val="24"/>
                <w:szCs w:val="24"/>
                <w:highlight w:val="none"/>
                <w14:textFill>
                  <w14:solidFill>
                    <w14:schemeClr w14:val="tx1"/>
                  </w14:solidFill>
                </w14:textFill>
              </w:rPr>
              <w:t>mg/L</w:t>
            </w:r>
            <w:r>
              <w:rPr>
                <w:rFonts w:hint="default" w:ascii="Times New Roman" w:hAnsi="Times New Roman"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进行核算</w:t>
            </w:r>
            <w:r>
              <w:rPr>
                <w:rFonts w:hint="default" w:ascii="Times New Roman" w:hAnsi="Times New Roman" w:cs="Times New Roman"/>
                <w:color w:val="000000" w:themeColor="text1"/>
                <w:kern w:val="0"/>
                <w:sz w:val="24"/>
                <w:szCs w:val="24"/>
                <w:highlight w:val="none"/>
                <w14:textFill>
                  <w14:solidFill>
                    <w14:schemeClr w14:val="tx1"/>
                  </w14:solidFill>
                </w14:textFill>
              </w:rPr>
              <w:t>，</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本次项目建成后废水污染物</w:t>
            </w:r>
            <w:r>
              <w:rPr>
                <w:rFonts w:hint="default" w:ascii="Times New Roman" w:hAnsi="Times New Roman" w:cs="Times New Roman"/>
                <w:color w:val="000000" w:themeColor="text1"/>
                <w:sz w:val="24"/>
                <w:szCs w:val="24"/>
                <w:highlight w:val="none"/>
                <w14:textFill>
                  <w14:solidFill>
                    <w14:schemeClr w14:val="tx1"/>
                  </w14:solidFill>
                </w14:textFill>
              </w:rPr>
              <w:t>COD、氨氮新增排放量分别为</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0.0068</w:t>
            </w:r>
            <w:r>
              <w:rPr>
                <w:rFonts w:hint="default" w:ascii="Times New Roman" w:hAnsi="Times New Roman" w:cs="Times New Roman"/>
                <w:color w:val="000000" w:themeColor="text1"/>
                <w:kern w:val="0"/>
                <w:sz w:val="24"/>
                <w:szCs w:val="24"/>
                <w:highlight w:val="none"/>
                <w14:textFill>
                  <w14:solidFill>
                    <w14:schemeClr w14:val="tx1"/>
                  </w14:solidFill>
                </w14:textFill>
              </w:rPr>
              <w:t>t/a、</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0.0011</w:t>
            </w:r>
            <w:r>
              <w:rPr>
                <w:rFonts w:hint="default" w:ascii="Times New Roman" w:hAnsi="Times New Roman" w:cs="Times New Roman"/>
                <w:color w:val="000000" w:themeColor="text1"/>
                <w:kern w:val="0"/>
                <w:sz w:val="24"/>
                <w:szCs w:val="24"/>
                <w:highlight w:val="none"/>
                <w14:textFill>
                  <w14:solidFill>
                    <w14:schemeClr w14:val="tx1"/>
                  </w14:solidFill>
                </w14:textFill>
              </w:rPr>
              <w:t>t/a</w:t>
            </w:r>
            <w:r>
              <w:rPr>
                <w:rFonts w:hint="default" w:ascii="Times New Roman" w:hAnsi="Times New Roman"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通过市政管网进入漯河经济技术产业集聚区污水处理厂再处理后排入黑河。</w:t>
            </w:r>
            <w:r>
              <w:rPr>
                <w:rFonts w:hint="default" w:ascii="Times New Roman" w:hAnsi="Times New Roman" w:cs="Times New Roman"/>
                <w:color w:val="000000" w:themeColor="text1"/>
                <w:kern w:val="0"/>
                <w:sz w:val="24"/>
                <w:szCs w:val="24"/>
                <w:highlight w:val="none"/>
                <w14:textFill>
                  <w14:solidFill>
                    <w14:schemeClr w14:val="tx1"/>
                  </w14:solidFill>
                </w14:textFill>
              </w:rPr>
              <w:t>根据漯河市环保局总量部门有关精神，污染物控制指标按照</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黑河</w:t>
            </w:r>
            <w:r>
              <w:rPr>
                <w:rFonts w:hint="default" w:ascii="Times New Roman" w:hAnsi="Times New Roman" w:cs="Times New Roman"/>
                <w:color w:val="000000" w:themeColor="text1"/>
                <w:kern w:val="0"/>
                <w:sz w:val="24"/>
                <w:szCs w:val="24"/>
                <w:highlight w:val="none"/>
                <w14:textFill>
                  <w14:solidFill>
                    <w14:schemeClr w14:val="tx1"/>
                  </w14:solidFill>
                </w14:textFill>
              </w:rPr>
              <w:t>2022年考核目标值（COD≤20mg/L，氨氮≤1.0mg/L）进行核算，COD、氨氮</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核定总量</w:t>
            </w:r>
            <w:r>
              <w:rPr>
                <w:rFonts w:hint="default" w:ascii="Times New Roman" w:hAnsi="Times New Roman" w:cs="Times New Roman"/>
                <w:color w:val="000000" w:themeColor="text1"/>
                <w:kern w:val="0"/>
                <w:sz w:val="24"/>
                <w:szCs w:val="24"/>
                <w:highlight w:val="none"/>
                <w14:textFill>
                  <w14:solidFill>
                    <w14:schemeClr w14:val="tx1"/>
                  </w14:solidFill>
                </w14:textFill>
              </w:rPr>
              <w:t>分别</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新增0.0009</w:t>
            </w:r>
            <w:r>
              <w:rPr>
                <w:rFonts w:hint="default" w:ascii="Times New Roman" w:hAnsi="Times New Roman" w:cs="Times New Roman"/>
                <w:color w:val="000000" w:themeColor="text1"/>
                <w:kern w:val="0"/>
                <w:sz w:val="24"/>
                <w:szCs w:val="24"/>
                <w:highlight w:val="none"/>
                <w14:textFill>
                  <w14:solidFill>
                    <w14:schemeClr w14:val="tx1"/>
                  </w14:solidFill>
                </w14:textFill>
              </w:rPr>
              <w:t>t/a、</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0.00005</w:t>
            </w:r>
            <w:r>
              <w:rPr>
                <w:rFonts w:hint="default" w:ascii="Times New Roman" w:hAnsi="Times New Roman" w:cs="Times New Roman"/>
                <w:color w:val="000000" w:themeColor="text1"/>
                <w:kern w:val="0"/>
                <w:sz w:val="24"/>
                <w:szCs w:val="24"/>
                <w:highlight w:val="none"/>
                <w14:textFill>
                  <w14:solidFill>
                    <w14:schemeClr w14:val="tx1"/>
                  </w14:solidFill>
                </w14:textFill>
              </w:rPr>
              <w:t>t/a。</w:t>
            </w:r>
          </w:p>
          <w:p>
            <w:pPr>
              <w:pStyle w:val="17"/>
              <w:keepNext w:val="0"/>
              <w:keepLines w:val="0"/>
              <w:pageBreakBefore w:val="0"/>
              <w:widowControl w:val="0"/>
              <w:kinsoku/>
              <w:wordWrap/>
              <w:overflowPunct/>
              <w:topLinePunct w:val="0"/>
              <w:autoSpaceDE/>
              <w:autoSpaceDN/>
              <w:bidi w:val="0"/>
              <w:adjustRightInd/>
              <w:snapToGrid/>
              <w:spacing w:line="480" w:lineRule="exact"/>
              <w:ind w:left="0" w:right="0" w:firstLine="480" w:firstLineChars="200"/>
              <w:jc w:val="both"/>
              <w:textAlignment w:val="auto"/>
              <w:rPr>
                <w:rFonts w:hint="default" w:ascii="Times New Roman" w:hAnsi="Times New Roman" w:cs="Times New Roman"/>
                <w:color w:val="000000" w:themeColor="text1"/>
                <w:kern w:val="0"/>
                <w:sz w:val="24"/>
                <w:szCs w:val="24"/>
                <w:highlight w:val="none"/>
                <w14:textFill>
                  <w14:solidFill>
                    <w14:schemeClr w14:val="tx1"/>
                  </w14:solidFill>
                </w14:textFill>
              </w:rPr>
            </w:pP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（2）废气总量指标：</w:t>
            </w:r>
            <w:r>
              <w:rPr>
                <w:rFonts w:hint="default" w:ascii="Times New Roman" w:hAnsi="Times New Roman" w:cs="Times New Roman"/>
                <w:color w:val="000000" w:themeColor="text1"/>
                <w:kern w:val="0"/>
                <w:sz w:val="24"/>
                <w:szCs w:val="24"/>
                <w:highlight w:val="none"/>
                <w14:textFill>
                  <w14:solidFill>
                    <w14:schemeClr w14:val="tx1"/>
                  </w14:solidFill>
                </w14:textFill>
              </w:rPr>
              <w:t>本次工程 VOCs新增排放量为</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0.1035</w:t>
            </w:r>
            <w:r>
              <w:rPr>
                <w:rFonts w:hint="default" w:ascii="Times New Roman" w:hAnsi="Times New Roman" w:cs="Times New Roman"/>
                <w:color w:val="000000" w:themeColor="text1"/>
                <w:kern w:val="0"/>
                <w:sz w:val="24"/>
                <w:szCs w:val="24"/>
                <w:highlight w:val="none"/>
                <w14:textFill>
                  <w14:solidFill>
                    <w14:schemeClr w14:val="tx1"/>
                  </w14:solidFill>
                </w14:textFill>
              </w:rPr>
              <w:t>t/a，由当地削减的VOCs排放总量中调配，区域总量不新增。</w:t>
            </w:r>
          </w:p>
          <w:p>
            <w:pPr>
              <w:pStyle w:val="17"/>
              <w:keepNext w:val="0"/>
              <w:keepLines w:val="0"/>
              <w:pageBreakBefore w:val="0"/>
              <w:widowControl w:val="0"/>
              <w:kinsoku/>
              <w:wordWrap/>
              <w:overflowPunct/>
              <w:topLinePunct w:val="0"/>
              <w:autoSpaceDE/>
              <w:autoSpaceDN/>
              <w:bidi w:val="0"/>
              <w:adjustRightInd/>
              <w:snapToGrid/>
              <w:spacing w:line="480" w:lineRule="exact"/>
              <w:ind w:left="0" w:right="0" w:firstLine="480" w:firstLineChars="200"/>
              <w:jc w:val="both"/>
              <w:textAlignment w:val="auto"/>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color="auto"/>
                <w:lang w:val="en-US" w:eastAsia="zh-CN"/>
                <w14:textFill>
                  <w14:solidFill>
                    <w14:schemeClr w14:val="tx1"/>
                  </w14:solidFill>
                </w14:textFill>
              </w:rPr>
              <w:t>（3）建议总量控制指标</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color w:val="000000" w:themeColor="text1"/>
                <w:kern w:val="0"/>
                <w:sz w:val="24"/>
                <w:szCs w:val="24"/>
                <w:highlight w:val="none"/>
                <w:u w:val="none" w:color="auto"/>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u w:val="none" w:color="auto"/>
                <w:lang w:val="en-US" w:eastAsia="zh-CN" w:bidi="ar-SA"/>
                <w14:textFill>
                  <w14:solidFill>
                    <w14:schemeClr w14:val="tx1"/>
                  </w14:solidFill>
                </w14:textFill>
              </w:rPr>
              <w:t>废水：</w:t>
            </w:r>
            <w:r>
              <w:rPr>
                <w:rFonts w:hint="default" w:ascii="Times New Roman" w:hAnsi="Times New Roman" w:cs="Times New Roman"/>
                <w:color w:val="000000" w:themeColor="text1"/>
                <w:sz w:val="24"/>
                <w:highlight w:val="none"/>
                <w14:textFill>
                  <w14:solidFill>
                    <w14:schemeClr w14:val="tx1"/>
                  </w14:solidFill>
                </w14:textFill>
              </w:rPr>
              <w:t>COD</w:t>
            </w:r>
            <w:r>
              <w:rPr>
                <w:rFonts w:hint="default"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0.0009</w:t>
            </w:r>
            <w:r>
              <w:rPr>
                <w:rFonts w:hint="default" w:ascii="Times New Roman" w:hAnsi="Times New Roman" w:cs="Times New Roman"/>
                <w:color w:val="000000" w:themeColor="text1"/>
                <w:kern w:val="0"/>
                <w:sz w:val="24"/>
                <w:szCs w:val="24"/>
                <w:highlight w:val="none"/>
                <w14:textFill>
                  <w14:solidFill>
                    <w14:schemeClr w14:val="tx1"/>
                  </w14:solidFill>
                </w14:textFill>
              </w:rPr>
              <w:t>t/a</w:t>
            </w:r>
            <w:r>
              <w:rPr>
                <w:rFonts w:hint="default" w:ascii="Times New Roman" w:hAnsi="Times New Roman" w:cs="Times New Roman"/>
                <w:color w:val="000000" w:themeColor="text1"/>
                <w:sz w:val="24"/>
                <w:highlight w:val="none"/>
                <w14:textFill>
                  <w14:solidFill>
                    <w14:schemeClr w14:val="tx1"/>
                  </w14:solidFill>
                </w14:textFill>
              </w:rPr>
              <w:t>、氨氮</w:t>
            </w:r>
            <w:r>
              <w:rPr>
                <w:rFonts w:hint="default"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0.00005</w:t>
            </w:r>
            <w:r>
              <w:rPr>
                <w:rFonts w:hint="default" w:ascii="Times New Roman" w:hAnsi="Times New Roman" w:cs="Times New Roman"/>
                <w:color w:val="000000" w:themeColor="text1"/>
                <w:kern w:val="0"/>
                <w:sz w:val="24"/>
                <w:szCs w:val="24"/>
                <w:highlight w:val="none"/>
                <w14:textFill>
                  <w14:solidFill>
                    <w14:schemeClr w14:val="tx1"/>
                  </w14:solidFill>
                </w14:textFill>
              </w:rPr>
              <w:t>t/a</w:t>
            </w:r>
            <w:r>
              <w:rPr>
                <w:rFonts w:hint="default" w:ascii="Times New Roman" w:hAnsi="Times New Roman" w:eastAsia="宋体" w:cs="Times New Roman"/>
                <w:color w:val="000000" w:themeColor="text1"/>
                <w:kern w:val="0"/>
                <w:sz w:val="24"/>
                <w:szCs w:val="24"/>
                <w:highlight w:val="none"/>
                <w:u w:val="none" w:color="auto"/>
                <w:lang w:val="en-US" w:eastAsia="zh-CN" w:bidi="ar-SA"/>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jc w:val="both"/>
              <w:textAlignment w:val="auto"/>
              <w:rPr>
                <w:rFonts w:hint="default" w:ascii="Times New Roman" w:hAnsi="Times New Roman" w:cs="Times New Roman"/>
                <w:b/>
                <w:bCs/>
                <w:color w:val="000000" w:themeColor="text1"/>
                <w:kern w:val="0"/>
                <w:szCs w:val="21"/>
                <w:u w:val="singl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u w:val="none" w:color="auto"/>
                <w:lang w:val="en-US" w:eastAsia="zh-CN" w:bidi="ar-SA"/>
                <w14:textFill>
                  <w14:solidFill>
                    <w14:schemeClr w14:val="tx1"/>
                  </w14:solidFill>
                </w14:textFill>
              </w:rPr>
              <w:t>废气：</w:t>
            </w:r>
            <w:r>
              <w:rPr>
                <w:rFonts w:hint="default" w:ascii="Times New Roman" w:hAnsi="Times New Roman" w:eastAsia="宋体" w:cs="Times New Roman"/>
                <w:color w:val="000000" w:themeColor="text1"/>
                <w:spacing w:val="-4"/>
                <w:kern w:val="0"/>
                <w:sz w:val="24"/>
                <w:szCs w:val="24"/>
                <w:highlight w:val="none"/>
                <w:lang w:val="en-US" w:eastAsia="zh-CN" w:bidi="ar-SA"/>
                <w14:textFill>
                  <w14:solidFill>
                    <w14:schemeClr w14:val="tx1"/>
                  </w14:solidFill>
                </w14:textFill>
              </w:rPr>
              <w:t>VOCs</w:t>
            </w:r>
            <w:r>
              <w:rPr>
                <w:rFonts w:hint="default" w:ascii="Times New Roman" w:hAnsi="Times New Roman" w:eastAsia="宋体" w:cs="Times New Roman"/>
                <w:color w:val="000000" w:themeColor="text1"/>
                <w:kern w:val="0"/>
                <w:sz w:val="24"/>
                <w:szCs w:val="24"/>
                <w:highlight w:val="none"/>
                <w:u w:val="none" w:color="auto"/>
                <w:lang w:val="en-US" w:eastAsia="zh-CN" w:bidi="ar-SA"/>
                <w14:textFill>
                  <w14:solidFill>
                    <w14:schemeClr w14:val="tx1"/>
                  </w14:solidFill>
                </w14:textFill>
              </w:rPr>
              <w:t>：</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0.1035</w:t>
            </w:r>
            <w:r>
              <w:rPr>
                <w:rFonts w:hint="default" w:ascii="Times New Roman" w:hAnsi="Times New Roman" w:cs="Times New Roman"/>
                <w:color w:val="000000" w:themeColor="text1"/>
                <w:kern w:val="0"/>
                <w:sz w:val="24"/>
                <w:szCs w:val="24"/>
                <w:highlight w:val="none"/>
                <w14:textFill>
                  <w14:solidFill>
                    <w14:schemeClr w14:val="tx1"/>
                  </w14:solidFill>
                </w14:textFill>
              </w:rPr>
              <w:t>t/a</w:t>
            </w:r>
            <w:r>
              <w:rPr>
                <w:rFonts w:hint="default" w:ascii="Times New Roman" w:hAnsi="Times New Roman" w:eastAsia="宋体" w:cs="Times New Roman"/>
                <w:color w:val="000000" w:themeColor="text1"/>
                <w:kern w:val="0"/>
                <w:sz w:val="24"/>
                <w:szCs w:val="24"/>
                <w:highlight w:val="none"/>
                <w:u w:val="none" w:color="auto"/>
                <w:lang w:val="en-US" w:eastAsia="zh-CN" w:bidi="ar-SA"/>
                <w14:textFill>
                  <w14:solidFill>
                    <w14:schemeClr w14:val="tx1"/>
                  </w14:solidFill>
                </w14:textFill>
              </w:rPr>
              <w:t>。</w:t>
            </w:r>
          </w:p>
        </w:tc>
      </w:tr>
    </w:tbl>
    <w:p>
      <w:pPr>
        <w:pStyle w:val="33"/>
        <w:jc w:val="center"/>
        <w:outlineLvl w:val="0"/>
        <w:rPr>
          <w:rFonts w:hint="default" w:ascii="Times New Roman" w:hAnsi="Times New Roman" w:eastAsia="黑体" w:cs="Times New Roman"/>
          <w:snapToGrid w:val="0"/>
          <w:color w:val="000000" w:themeColor="text1"/>
          <w:sz w:val="30"/>
          <w:szCs w:val="30"/>
          <w14:textFill>
            <w14:solidFill>
              <w14:schemeClr w14:val="tx1"/>
            </w14:solidFill>
          </w14:textFill>
        </w:rPr>
      </w:pPr>
      <w:r>
        <w:rPr>
          <w:rFonts w:hint="default" w:ascii="Times New Roman" w:hAnsi="Times New Roman" w:eastAsia="黑体" w:cs="Times New Roman"/>
          <w:snapToGrid w:val="0"/>
          <w:color w:val="000000" w:themeColor="text1"/>
          <w:sz w:val="36"/>
          <w:szCs w:val="36"/>
          <w14:textFill>
            <w14:solidFill>
              <w14:schemeClr w14:val="tx1"/>
            </w14:solidFill>
          </w14:textFill>
        </w:rPr>
        <w:br w:type="page"/>
      </w:r>
      <w:r>
        <w:rPr>
          <w:rFonts w:hint="default" w:ascii="Times New Roman" w:hAnsi="Times New Roman" w:eastAsia="黑体" w:cs="Times New Roman"/>
          <w:snapToGrid w:val="0"/>
          <w:color w:val="000000" w:themeColor="text1"/>
          <w:sz w:val="30"/>
          <w:szCs w:val="30"/>
          <w14:textFill>
            <w14:solidFill>
              <w14:schemeClr w14:val="tx1"/>
            </w14:solidFill>
          </w14:textFill>
        </w:rPr>
        <w:t>四、主要环境影响和保护措施</w:t>
      </w:r>
    </w:p>
    <w:tbl>
      <w:tblPr>
        <w:tblStyle w:val="37"/>
        <w:tblW w:w="512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83"/>
        <w:gridCol w:w="940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386" w:hRule="atLeast"/>
          <w:jc w:val="center"/>
        </w:trPr>
        <w:tc>
          <w:tcPr>
            <w:tcW w:w="195" w:type="pct"/>
            <w:noWrap w:val="0"/>
            <w:tcMar>
              <w:left w:w="28" w:type="dxa"/>
              <w:right w:w="28" w:type="dxa"/>
            </w:tcMar>
            <w:vAlign w:val="center"/>
          </w:tcPr>
          <w:p>
            <w:pPr>
              <w:pStyle w:val="33"/>
              <w:keepNext w:val="0"/>
              <w:keepLines w:val="0"/>
              <w:pageBreakBefore w:val="0"/>
              <w:widowControl/>
              <w:kinsoku/>
              <w:wordWrap/>
              <w:overflowPunct/>
              <w:topLinePunct w:val="0"/>
              <w:autoSpaceDE/>
              <w:autoSpaceDN/>
              <w:bidi w:val="0"/>
              <w:adjustRightInd w:val="0"/>
              <w:snapToGrid w:val="0"/>
              <w:spacing w:before="0" w:beforeAutospacing="0" w:after="0" w:afterAutospacing="0" w:line="480" w:lineRule="exact"/>
              <w:jc w:val="center"/>
              <w:textAlignment w:val="auto"/>
              <w:rPr>
                <w:rFonts w:hint="default" w:ascii="Times New Roman" w:hAnsi="Times New Roman" w:cs="Times New Roman"/>
                <w:color w:val="000000" w:themeColor="text1"/>
                <w:kern w:val="2"/>
                <w:sz w:val="24"/>
                <w:szCs w:val="24"/>
                <w14:textFill>
                  <w14:solidFill>
                    <w14:schemeClr w14:val="tx1"/>
                  </w14:solidFill>
                </w14:textFill>
              </w:rPr>
            </w:pPr>
            <w:r>
              <w:rPr>
                <w:rFonts w:hint="default" w:ascii="Times New Roman" w:hAnsi="Times New Roman" w:cs="Times New Roman"/>
                <w:color w:val="000000" w:themeColor="text1"/>
                <w:kern w:val="2"/>
                <w:sz w:val="24"/>
                <w:szCs w:val="24"/>
                <w14:textFill>
                  <w14:solidFill>
                    <w14:schemeClr w14:val="tx1"/>
                  </w14:solidFill>
                </w14:textFill>
              </w:rPr>
              <w:t>施工</w:t>
            </w:r>
          </w:p>
          <w:p>
            <w:pPr>
              <w:pStyle w:val="33"/>
              <w:keepNext w:val="0"/>
              <w:keepLines w:val="0"/>
              <w:pageBreakBefore w:val="0"/>
              <w:widowControl/>
              <w:kinsoku/>
              <w:wordWrap/>
              <w:overflowPunct/>
              <w:topLinePunct w:val="0"/>
              <w:autoSpaceDE/>
              <w:autoSpaceDN/>
              <w:bidi w:val="0"/>
              <w:adjustRightInd w:val="0"/>
              <w:snapToGrid w:val="0"/>
              <w:spacing w:before="0" w:beforeAutospacing="0" w:after="0" w:afterAutospacing="0" w:line="480" w:lineRule="exact"/>
              <w:jc w:val="center"/>
              <w:textAlignment w:val="auto"/>
              <w:rPr>
                <w:rFonts w:hint="default" w:ascii="Times New Roman" w:hAnsi="Times New Roman" w:cs="Times New Roman"/>
                <w:color w:val="000000" w:themeColor="text1"/>
                <w:kern w:val="2"/>
                <w:sz w:val="24"/>
                <w:szCs w:val="24"/>
                <w14:textFill>
                  <w14:solidFill>
                    <w14:schemeClr w14:val="tx1"/>
                  </w14:solidFill>
                </w14:textFill>
              </w:rPr>
            </w:pPr>
            <w:r>
              <w:rPr>
                <w:rFonts w:hint="default" w:ascii="Times New Roman" w:hAnsi="Times New Roman" w:cs="Times New Roman"/>
                <w:color w:val="000000" w:themeColor="text1"/>
                <w:kern w:val="2"/>
                <w:sz w:val="24"/>
                <w:szCs w:val="24"/>
                <w14:textFill>
                  <w14:solidFill>
                    <w14:schemeClr w14:val="tx1"/>
                  </w14:solidFill>
                </w14:textFill>
              </w:rPr>
              <w:t>期环</w:t>
            </w:r>
          </w:p>
          <w:p>
            <w:pPr>
              <w:pStyle w:val="33"/>
              <w:keepNext w:val="0"/>
              <w:keepLines w:val="0"/>
              <w:pageBreakBefore w:val="0"/>
              <w:widowControl/>
              <w:kinsoku/>
              <w:wordWrap/>
              <w:overflowPunct/>
              <w:topLinePunct w:val="0"/>
              <w:autoSpaceDE/>
              <w:autoSpaceDN/>
              <w:bidi w:val="0"/>
              <w:adjustRightInd w:val="0"/>
              <w:snapToGrid w:val="0"/>
              <w:spacing w:before="0" w:beforeAutospacing="0" w:after="0" w:afterAutospacing="0" w:line="480" w:lineRule="exact"/>
              <w:jc w:val="center"/>
              <w:textAlignment w:val="auto"/>
              <w:rPr>
                <w:rFonts w:hint="default" w:ascii="Times New Roman" w:hAnsi="Times New Roman" w:cs="Times New Roman"/>
                <w:color w:val="000000" w:themeColor="text1"/>
                <w:kern w:val="2"/>
                <w:sz w:val="24"/>
                <w:szCs w:val="24"/>
                <w14:textFill>
                  <w14:solidFill>
                    <w14:schemeClr w14:val="tx1"/>
                  </w14:solidFill>
                </w14:textFill>
              </w:rPr>
            </w:pPr>
            <w:r>
              <w:rPr>
                <w:rFonts w:hint="default" w:ascii="Times New Roman" w:hAnsi="Times New Roman" w:cs="Times New Roman"/>
                <w:color w:val="000000" w:themeColor="text1"/>
                <w:kern w:val="2"/>
                <w:sz w:val="24"/>
                <w:szCs w:val="24"/>
                <w14:textFill>
                  <w14:solidFill>
                    <w14:schemeClr w14:val="tx1"/>
                  </w14:solidFill>
                </w14:textFill>
              </w:rPr>
              <w:t>境保</w:t>
            </w:r>
          </w:p>
          <w:p>
            <w:pPr>
              <w:pStyle w:val="33"/>
              <w:keepNext w:val="0"/>
              <w:keepLines w:val="0"/>
              <w:pageBreakBefore w:val="0"/>
              <w:widowControl/>
              <w:kinsoku/>
              <w:wordWrap/>
              <w:overflowPunct/>
              <w:topLinePunct w:val="0"/>
              <w:autoSpaceDE/>
              <w:autoSpaceDN/>
              <w:bidi w:val="0"/>
              <w:adjustRightInd w:val="0"/>
              <w:snapToGrid w:val="0"/>
              <w:spacing w:before="0" w:beforeAutospacing="0" w:after="0" w:afterAutospacing="0" w:line="480" w:lineRule="exact"/>
              <w:jc w:val="center"/>
              <w:textAlignment w:val="auto"/>
              <w:rPr>
                <w:rFonts w:hint="default" w:ascii="Times New Roman" w:hAnsi="Times New Roman" w:cs="Times New Roman"/>
                <w:color w:val="000000" w:themeColor="text1"/>
                <w:kern w:val="2"/>
                <w:sz w:val="24"/>
                <w:szCs w:val="24"/>
                <w14:textFill>
                  <w14:solidFill>
                    <w14:schemeClr w14:val="tx1"/>
                  </w14:solidFill>
                </w14:textFill>
              </w:rPr>
            </w:pPr>
            <w:r>
              <w:rPr>
                <w:rFonts w:hint="default" w:ascii="Times New Roman" w:hAnsi="Times New Roman" w:cs="Times New Roman"/>
                <w:color w:val="000000" w:themeColor="text1"/>
                <w:kern w:val="2"/>
                <w:sz w:val="24"/>
                <w:szCs w:val="24"/>
                <w14:textFill>
                  <w14:solidFill>
                    <w14:schemeClr w14:val="tx1"/>
                  </w14:solidFill>
                </w14:textFill>
              </w:rPr>
              <w:t>护措</w:t>
            </w:r>
          </w:p>
          <w:p>
            <w:pPr>
              <w:pStyle w:val="33"/>
              <w:keepNext w:val="0"/>
              <w:keepLines w:val="0"/>
              <w:pageBreakBefore w:val="0"/>
              <w:widowControl/>
              <w:kinsoku/>
              <w:wordWrap/>
              <w:overflowPunct/>
              <w:topLinePunct w:val="0"/>
              <w:autoSpaceDE/>
              <w:autoSpaceDN/>
              <w:bidi w:val="0"/>
              <w:adjustRightInd w:val="0"/>
              <w:snapToGrid w:val="0"/>
              <w:spacing w:before="0" w:beforeAutospacing="0" w:after="0" w:afterAutospacing="0" w:line="480" w:lineRule="exact"/>
              <w:jc w:val="center"/>
              <w:textAlignment w:val="auto"/>
              <w:rPr>
                <w:rFonts w:hint="default" w:ascii="Times New Roman" w:hAnsi="Times New Roman" w:cs="Times New Roman"/>
                <w:bCs/>
                <w:color w:val="000000" w:themeColor="text1"/>
                <w:kern w:val="2"/>
                <w:sz w:val="21"/>
                <w:szCs w:val="21"/>
                <w14:textFill>
                  <w14:solidFill>
                    <w14:schemeClr w14:val="tx1"/>
                  </w14:solidFill>
                </w14:textFill>
              </w:rPr>
            </w:pPr>
            <w:r>
              <w:rPr>
                <w:rFonts w:hint="default" w:ascii="Times New Roman" w:hAnsi="Times New Roman" w:cs="Times New Roman"/>
                <w:color w:val="000000" w:themeColor="text1"/>
                <w:kern w:val="2"/>
                <w:sz w:val="24"/>
                <w:szCs w:val="24"/>
                <w14:textFill>
                  <w14:solidFill>
                    <w14:schemeClr w14:val="tx1"/>
                  </w14:solidFill>
                </w14:textFill>
              </w:rPr>
              <w:t>施</w:t>
            </w:r>
          </w:p>
        </w:tc>
        <w:tc>
          <w:tcPr>
            <w:tcW w:w="4804"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本项目施工期约2个月，作业流程主要为现有站房辅房、</w:t>
            </w:r>
            <w:r>
              <w:rPr>
                <w:rFonts w:hint="default" w:ascii="Times New Roman" w:hAnsi="Times New Roman" w:cs="Times New Roman"/>
                <w:color w:val="000000" w:themeColor="text1"/>
                <w:kern w:val="0"/>
                <w:sz w:val="24"/>
                <w:szCs w:val="24"/>
                <w:lang w:val="en-US" w:eastAsia="zh-CN"/>
                <w14:textFill>
                  <w14:solidFill>
                    <w14:schemeClr w14:val="tx1"/>
                  </w14:solidFill>
                </w14:textFill>
              </w:rPr>
              <w:t>油罐</w:t>
            </w:r>
            <w:r>
              <w:rPr>
                <w:rFonts w:hint="default" w:ascii="Times New Roman" w:hAnsi="Times New Roman" w:cs="Times New Roman"/>
                <w:color w:val="000000" w:themeColor="text1"/>
                <w:kern w:val="0"/>
                <w:sz w:val="24"/>
                <w:szCs w:val="24"/>
                <w14:textFill>
                  <w14:solidFill>
                    <w14:schemeClr w14:val="tx1"/>
                  </w14:solidFill>
                </w14:textFill>
              </w:rPr>
              <w:t>拆除，场地平整、土石方工程、基础施工、房屋结构施工</w:t>
            </w:r>
            <w:r>
              <w:rPr>
                <w:rFonts w:hint="default" w:ascii="Times New Roman" w:hAnsi="Times New Roman" w:cs="Times New Roman"/>
                <w:color w:val="000000" w:themeColor="text1"/>
                <w:kern w:val="0"/>
                <w:sz w:val="24"/>
                <w:szCs w:val="24"/>
                <w:lang w:eastAsia="zh-CN"/>
                <w14:textFill>
                  <w14:solidFill>
                    <w14:schemeClr w14:val="tx1"/>
                  </w14:solidFill>
                </w14:textFill>
              </w:rPr>
              <w:t>，以及</w:t>
            </w:r>
            <w:r>
              <w:rPr>
                <w:rFonts w:hint="default" w:ascii="Times New Roman" w:hAnsi="Times New Roman" w:cs="Times New Roman"/>
                <w:color w:val="000000" w:themeColor="text1"/>
                <w:kern w:val="0"/>
                <w:sz w:val="24"/>
                <w:szCs w:val="24"/>
                <w14:textFill>
                  <w14:solidFill>
                    <w14:schemeClr w14:val="tx1"/>
                  </w14:solidFill>
                </w14:textFill>
              </w:rPr>
              <w:t>设备安装等，主要影响为施工期扬尘、废水、噪声和固体废物等。</w:t>
            </w:r>
          </w:p>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cs="Times New Roman"/>
                <w:b/>
                <w:bCs/>
                <w:color w:val="000000" w:themeColor="text1"/>
                <w:kern w:val="0"/>
                <w:sz w:val="24"/>
                <w:szCs w:val="24"/>
                <w14:textFill>
                  <w14:solidFill>
                    <w14:schemeClr w14:val="tx1"/>
                  </w14:solidFill>
                </w14:textFill>
              </w:rPr>
            </w:pPr>
            <w:r>
              <w:rPr>
                <w:rFonts w:hint="default" w:ascii="Times New Roman" w:hAnsi="Times New Roman" w:cs="Times New Roman"/>
                <w:b/>
                <w:bCs/>
                <w:color w:val="000000" w:themeColor="text1"/>
                <w:kern w:val="0"/>
                <w:sz w:val="24"/>
                <w:szCs w:val="24"/>
                <w14:textFill>
                  <w14:solidFill>
                    <w14:schemeClr w14:val="tx1"/>
                  </w14:solidFill>
                </w14:textFill>
              </w:rPr>
              <w:t>1</w:t>
            </w:r>
            <w:r>
              <w:rPr>
                <w:rFonts w:hint="default" w:ascii="Times New Roman" w:hAnsi="Times New Roman" w:cs="Times New Roman"/>
                <w:b/>
                <w:bCs/>
                <w:color w:val="000000" w:themeColor="text1"/>
                <w:kern w:val="0"/>
                <w:sz w:val="24"/>
                <w:szCs w:val="24"/>
                <w:lang w:eastAsia="zh-CN"/>
                <w14:textFill>
                  <w14:solidFill>
                    <w14:schemeClr w14:val="tx1"/>
                  </w14:solidFill>
                </w14:textFill>
              </w:rPr>
              <w:t>、</w:t>
            </w:r>
            <w:r>
              <w:rPr>
                <w:rFonts w:hint="default" w:ascii="Times New Roman" w:hAnsi="Times New Roman" w:cs="Times New Roman"/>
                <w:b/>
                <w:bCs/>
                <w:color w:val="000000" w:themeColor="text1"/>
                <w:kern w:val="0"/>
                <w:sz w:val="24"/>
                <w:szCs w:val="24"/>
                <w14:textFill>
                  <w14:solidFill>
                    <w14:schemeClr w14:val="tx1"/>
                  </w14:solidFill>
                </w14:textFill>
              </w:rPr>
              <w:t>施工期废气</w:t>
            </w:r>
          </w:p>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cs="Times New Roman"/>
                <w:b/>
                <w:bCs/>
                <w:color w:val="000000" w:themeColor="text1"/>
                <w:kern w:val="0"/>
                <w:sz w:val="24"/>
                <w:szCs w:val="24"/>
                <w14:textFill>
                  <w14:solidFill>
                    <w14:schemeClr w14:val="tx1"/>
                  </w14:solidFill>
                </w14:textFill>
              </w:rPr>
            </w:pPr>
            <w:r>
              <w:rPr>
                <w:rFonts w:hint="default" w:ascii="Times New Roman" w:hAnsi="Times New Roman" w:cs="Times New Roman"/>
                <w:b/>
                <w:bCs/>
                <w:color w:val="000000" w:themeColor="text1"/>
                <w:kern w:val="0"/>
                <w:sz w:val="24"/>
                <w:szCs w:val="24"/>
                <w14:textFill>
                  <w14:solidFill>
                    <w14:schemeClr w14:val="tx1"/>
                  </w14:solidFill>
                </w14:textFill>
              </w:rPr>
              <w:t>1.1施工扬尘</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施工现场少量开挖土方产生扬尘；物料和建材装卸运输过程中产生的扬尘，以及焊接过程的焊接烟尘。采取施工场地裸露区使用抑尘网覆盖，场区经常洒水，运输车辆设苫布遮盖，减速慢行等措施，可以有效降低扬尘产生。</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为减少施工扬尘对大气环境造成的影响，严格执行河南省《城市房屋建筑和市政基础设施工程及道路扬尘污染防治标准》（DBJ41/T174-2020），严格落实建筑、市政、道路等各类施工工地</w:t>
            </w:r>
            <w:r>
              <w:rPr>
                <w:rFonts w:hint="default" w:ascii="Times New Roman" w:hAnsi="Times New Roman" w:cs="Times New Roman"/>
                <w:color w:val="000000" w:themeColor="text1"/>
                <w:kern w:val="0"/>
                <w:sz w:val="24"/>
                <w:szCs w:val="24"/>
                <w:lang w:eastAsia="zh-CN"/>
                <w14:textFill>
                  <w14:solidFill>
                    <w14:schemeClr w14:val="tx1"/>
                  </w14:solidFill>
                </w14:textFill>
              </w:rPr>
              <w:t>“</w:t>
            </w:r>
            <w:r>
              <w:rPr>
                <w:rFonts w:hint="default" w:ascii="Times New Roman" w:hAnsi="Times New Roman" w:cs="Times New Roman"/>
                <w:color w:val="000000" w:themeColor="text1"/>
                <w:kern w:val="0"/>
                <w:sz w:val="24"/>
                <w:szCs w:val="24"/>
                <w14:textFill>
                  <w14:solidFill>
                    <w14:schemeClr w14:val="tx1"/>
                  </w14:solidFill>
                </w14:textFill>
              </w:rPr>
              <w:t>七个 100%</w:t>
            </w:r>
            <w:r>
              <w:rPr>
                <w:rFonts w:hint="default" w:ascii="Times New Roman" w:hAnsi="Times New Roman" w:cs="Times New Roman"/>
                <w:color w:val="000000" w:themeColor="text1"/>
                <w:kern w:val="0"/>
                <w:sz w:val="24"/>
                <w:szCs w:val="24"/>
                <w:lang w:eastAsia="zh-CN"/>
                <w14:textFill>
                  <w14:solidFill>
                    <w14:schemeClr w14:val="tx1"/>
                  </w14:solidFill>
                </w14:textFill>
              </w:rPr>
              <w:t>”</w:t>
            </w:r>
            <w:r>
              <w:rPr>
                <w:rFonts w:hint="default" w:ascii="Times New Roman" w:hAnsi="Times New Roman" w:cs="Times New Roman"/>
                <w:color w:val="000000" w:themeColor="text1"/>
                <w:kern w:val="0"/>
                <w:sz w:val="24"/>
                <w:szCs w:val="24"/>
                <w14:textFill>
                  <w14:solidFill>
                    <w14:schemeClr w14:val="tx1"/>
                  </w14:solidFill>
                </w14:textFill>
              </w:rPr>
              <w:t>扬尘污染防治措施，即：施工现场100%围挡、现场路面100%硬化、物料堆放和裸地100%覆盖、出入车辆100%冲洗、渣土车运输100%密封、土方开挖湿法作业100%落实、建筑面积5000</w:t>
            </w:r>
            <w:r>
              <w:rPr>
                <w:rFonts w:hint="default" w:ascii="Times New Roman" w:hAnsi="Times New Roman" w:cs="Times New Roman"/>
                <w:color w:val="000000" w:themeColor="text1"/>
                <w:kern w:val="0"/>
                <w:sz w:val="24"/>
                <w:szCs w:val="24"/>
                <w:lang w:eastAsia="zh-CN"/>
                <w14:textFill>
                  <w14:solidFill>
                    <w14:schemeClr w14:val="tx1"/>
                  </w14:solidFill>
                </w14:textFill>
              </w:rPr>
              <w:t>平方米</w:t>
            </w:r>
            <w:r>
              <w:rPr>
                <w:rFonts w:hint="default" w:ascii="Times New Roman" w:hAnsi="Times New Roman" w:cs="Times New Roman"/>
                <w:color w:val="000000" w:themeColor="text1"/>
                <w:kern w:val="0"/>
                <w:sz w:val="24"/>
                <w:szCs w:val="24"/>
                <w14:textFill>
                  <w14:solidFill>
                    <w14:schemeClr w14:val="tx1"/>
                  </w14:solidFill>
                </w14:textFill>
              </w:rPr>
              <w:t>以上施工</w:t>
            </w:r>
            <w:r>
              <w:rPr>
                <w:rFonts w:hint="default" w:ascii="Times New Roman" w:hAnsi="Times New Roman" w:cs="Times New Roman"/>
                <w:color w:val="000000" w:themeColor="text1"/>
                <w:kern w:val="0"/>
                <w:sz w:val="24"/>
                <w:szCs w:val="24"/>
                <w:lang w:eastAsia="zh-CN"/>
                <w14:textFill>
                  <w14:solidFill>
                    <w14:schemeClr w14:val="tx1"/>
                  </w14:solidFill>
                </w14:textFill>
              </w:rPr>
              <w:t>场地</w:t>
            </w:r>
            <w:r>
              <w:rPr>
                <w:rFonts w:hint="default" w:ascii="Times New Roman" w:hAnsi="Times New Roman" w:cs="Times New Roman"/>
                <w:color w:val="000000" w:themeColor="text1"/>
                <w:kern w:val="0"/>
                <w:sz w:val="24"/>
                <w:szCs w:val="24"/>
                <w14:textFill>
                  <w14:solidFill>
                    <w14:schemeClr w14:val="tx1"/>
                  </w14:solidFill>
                </w14:textFill>
              </w:rPr>
              <w:t>等100%安装扬尘在线监测视频监控设备并</w:t>
            </w:r>
            <w:r>
              <w:rPr>
                <w:rFonts w:hint="default" w:ascii="Times New Roman" w:hAnsi="Times New Roman" w:cs="Times New Roman"/>
                <w:color w:val="000000" w:themeColor="text1"/>
                <w:kern w:val="0"/>
                <w:sz w:val="24"/>
                <w:szCs w:val="24"/>
                <w:lang w:eastAsia="zh-CN"/>
                <w14:textFill>
                  <w14:solidFill>
                    <w14:schemeClr w14:val="tx1"/>
                  </w14:solidFill>
                </w14:textFill>
              </w:rPr>
              <w:t>与</w:t>
            </w:r>
            <w:r>
              <w:rPr>
                <w:rFonts w:hint="default" w:ascii="Times New Roman" w:hAnsi="Times New Roman" w:cs="Times New Roman"/>
                <w:color w:val="000000" w:themeColor="text1"/>
                <w:kern w:val="0"/>
                <w:sz w:val="24"/>
                <w:szCs w:val="24"/>
                <w14:textFill>
                  <w14:solidFill>
                    <w14:schemeClr w14:val="tx1"/>
                  </w14:solidFill>
                </w14:textFill>
              </w:rPr>
              <w:t>主管部门监控平台联网。严格落实“两个禁止”（禁止现场搅拌混凝土和禁止现场配制砂浆）要求，加快“两个禁止”综合信息监管平台建设，实施动态监管。</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根据该文件的相关要求，为进一步减少施工扬尘污染，本次评价要求：</w:t>
            </w:r>
          </w:p>
          <w:p>
            <w:pPr>
              <w:keepNext w:val="0"/>
              <w:keepLines w:val="0"/>
              <w:pageBreakBefore w:val="0"/>
              <w:widowControl w:val="0"/>
              <w:numPr>
                <w:ilvl w:val="0"/>
                <w:numId w:val="4"/>
              </w:numPr>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施工现场实行封闭管理（场地四周已设围墙），在大门口醒目位置设置扬尘治理责任公示牌和文明施工扬尘治理标准；加强施工现场管理，落实目标责任制。</w:t>
            </w:r>
          </w:p>
          <w:p>
            <w:pPr>
              <w:keepNext w:val="0"/>
              <w:keepLines w:val="0"/>
              <w:pageBreakBefore w:val="0"/>
              <w:widowControl w:val="0"/>
              <w:numPr>
                <w:ilvl w:val="0"/>
                <w:numId w:val="4"/>
              </w:numPr>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本项目建筑面积不超过5000</w:t>
            </w:r>
            <w:r>
              <w:rPr>
                <w:rFonts w:hint="default" w:ascii="Times New Roman" w:hAnsi="Times New Roman" w:cs="Times New Roman"/>
                <w:color w:val="000000" w:themeColor="text1"/>
                <w:kern w:val="0"/>
                <w:sz w:val="24"/>
                <w:szCs w:val="24"/>
                <w:lang w:eastAsia="zh-CN"/>
                <w14:textFill>
                  <w14:solidFill>
                    <w14:schemeClr w14:val="tx1"/>
                  </w14:solidFill>
                </w14:textFill>
              </w:rPr>
              <w:t>平方米</w:t>
            </w:r>
            <w:r>
              <w:rPr>
                <w:rFonts w:hint="default" w:ascii="Times New Roman" w:hAnsi="Times New Roman" w:cs="Times New Roman"/>
                <w:color w:val="000000" w:themeColor="text1"/>
                <w:kern w:val="0"/>
                <w:sz w:val="24"/>
                <w:szCs w:val="24"/>
                <w14:textFill>
                  <w14:solidFill>
                    <w14:schemeClr w14:val="tx1"/>
                  </w14:solidFill>
                </w14:textFill>
              </w:rPr>
              <w:t>，不需安装扬尘在线监测视频监控设备。施工时所有流散物料及裸地应该全部用篷布覆盖；出入口设置车辆冲洗设施，运输车辆冲洗干净后</w:t>
            </w:r>
            <w:r>
              <w:rPr>
                <w:rFonts w:hint="default" w:ascii="Times New Roman" w:hAnsi="Times New Roman" w:cs="Times New Roman"/>
                <w:color w:val="000000" w:themeColor="text1"/>
                <w:kern w:val="0"/>
                <w:sz w:val="24"/>
                <w:szCs w:val="24"/>
                <w:lang w:eastAsia="zh-CN"/>
                <w14:textFill>
                  <w14:solidFill>
                    <w14:schemeClr w14:val="tx1"/>
                  </w14:solidFill>
                </w14:textFill>
              </w:rPr>
              <w:t>出场</w:t>
            </w:r>
            <w:r>
              <w:rPr>
                <w:rFonts w:hint="default" w:ascii="Times New Roman" w:hAnsi="Times New Roman" w:cs="Times New Roman"/>
                <w:color w:val="000000" w:themeColor="text1"/>
                <w:kern w:val="0"/>
                <w:sz w:val="24"/>
                <w:szCs w:val="24"/>
                <w14:textFill>
                  <w14:solidFill>
                    <w14:schemeClr w14:val="tx1"/>
                  </w14:solidFill>
                </w14:textFill>
              </w:rPr>
              <w:t xml:space="preserve">。 </w:t>
            </w:r>
          </w:p>
          <w:p>
            <w:pPr>
              <w:keepNext w:val="0"/>
              <w:keepLines w:val="0"/>
              <w:pageBreakBefore w:val="0"/>
              <w:widowControl w:val="0"/>
              <w:numPr>
                <w:ilvl w:val="0"/>
                <w:numId w:val="4"/>
              </w:numPr>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施工现场应有专人负责环保工作，配备洒水设备，及时洒水，减少扬尘污染。</w:t>
            </w:r>
          </w:p>
          <w:p>
            <w:pPr>
              <w:keepNext w:val="0"/>
              <w:keepLines w:val="0"/>
              <w:pageBreakBefore w:val="0"/>
              <w:widowControl w:val="0"/>
              <w:numPr>
                <w:ilvl w:val="0"/>
                <w:numId w:val="4"/>
              </w:numPr>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 xml:space="preserve">施工垃圾、生活垃圾分类存放，施工现场应当按规定设置建筑垃圾集中堆放点，建筑垃圾应集中、分类堆放；施工垃圾清运时应提前适量洒水，并按规定及时清运消纳。生活垃圾应当设置专用垃圾箱，做到日产日清。 </w:t>
            </w:r>
          </w:p>
          <w:p>
            <w:pPr>
              <w:keepNext w:val="0"/>
              <w:keepLines w:val="0"/>
              <w:pageBreakBefore w:val="0"/>
              <w:widowControl w:val="0"/>
              <w:numPr>
                <w:ilvl w:val="0"/>
                <w:numId w:val="4"/>
              </w:numPr>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 xml:space="preserve">易飞扬的细颗粒建筑材料应密闭存放，使用过程中应采取有效措施防止扬尘。施工现场土方应集中堆放，采取覆盖或固化等措施。 </w:t>
            </w:r>
          </w:p>
          <w:p>
            <w:pPr>
              <w:keepNext w:val="0"/>
              <w:keepLines w:val="0"/>
              <w:pageBreakBefore w:val="0"/>
              <w:widowControl w:val="0"/>
              <w:numPr>
                <w:ilvl w:val="0"/>
                <w:numId w:val="4"/>
              </w:numPr>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四级以上大风天气或市政府发布空气质量预警时，严禁进行土方开挖、</w:t>
            </w:r>
          </w:p>
          <w:p>
            <w:pPr>
              <w:keepNext w:val="0"/>
              <w:keepLines w:val="0"/>
              <w:pageBreakBefore w:val="0"/>
              <w:widowControl w:val="0"/>
              <w:numPr>
                <w:ilvl w:val="0"/>
                <w:numId w:val="4"/>
              </w:numPr>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回填等可能产生扬尘的施工。</w:t>
            </w:r>
          </w:p>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cs="Times New Roman"/>
                <w:b/>
                <w:bCs/>
                <w:color w:val="000000" w:themeColor="text1"/>
                <w:kern w:val="0"/>
                <w:sz w:val="24"/>
                <w:szCs w:val="24"/>
                <w14:textFill>
                  <w14:solidFill>
                    <w14:schemeClr w14:val="tx1"/>
                  </w14:solidFill>
                </w14:textFill>
              </w:rPr>
            </w:pPr>
            <w:r>
              <w:rPr>
                <w:rFonts w:hint="default" w:ascii="Times New Roman" w:hAnsi="Times New Roman" w:cs="Times New Roman"/>
                <w:b/>
                <w:bCs/>
                <w:color w:val="000000" w:themeColor="text1"/>
                <w:kern w:val="0"/>
                <w:sz w:val="24"/>
                <w:szCs w:val="24"/>
                <w14:textFill>
                  <w14:solidFill>
                    <w14:schemeClr w14:val="tx1"/>
                  </w14:solidFill>
                </w14:textFill>
              </w:rPr>
              <w:t>1.2施工机械废气</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施工期间，使用机动车运输原材料、设备和机械设备的运转，均会排放一定量的CO、NO</w:t>
            </w:r>
            <w:r>
              <w:rPr>
                <w:rFonts w:hint="default" w:ascii="Times New Roman" w:hAnsi="Times New Roman" w:cs="Times New Roman"/>
                <w:color w:val="000000" w:themeColor="text1"/>
                <w:kern w:val="0"/>
                <w:sz w:val="24"/>
                <w:szCs w:val="24"/>
                <w:vertAlign w:val="subscript"/>
                <w14:textFill>
                  <w14:solidFill>
                    <w14:schemeClr w14:val="tx1"/>
                  </w14:solidFill>
                </w14:textFill>
              </w:rPr>
              <w:t>X</w:t>
            </w:r>
            <w:r>
              <w:rPr>
                <w:rFonts w:hint="default" w:ascii="Times New Roman" w:hAnsi="Times New Roman" w:cs="Times New Roman"/>
                <w:color w:val="000000" w:themeColor="text1"/>
                <w:kern w:val="0"/>
                <w:sz w:val="24"/>
                <w:szCs w:val="24"/>
                <w14:textFill>
                  <w14:solidFill>
                    <w14:schemeClr w14:val="tx1"/>
                  </w14:solidFill>
                </w14:textFill>
              </w:rPr>
              <w:t xml:space="preserve">以及未完全燃烧的CO等，其特点是排放量小，且属间断性无组织排放，由于其这一特点，加之施工场地开阔，扩散条件良好，因此对其不加处理也可达到相应的排放标准。施工期间采取的主要治理措施为： </w:t>
            </w:r>
          </w:p>
          <w:p>
            <w:pPr>
              <w:keepNext w:val="0"/>
              <w:keepLines w:val="0"/>
              <w:pageBreakBefore w:val="0"/>
              <w:widowControl w:val="0"/>
              <w:numPr>
                <w:ilvl w:val="0"/>
                <w:numId w:val="5"/>
              </w:numPr>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 xml:space="preserve">选用先进的施工机械，减少油耗和燃油废气污染。 </w:t>
            </w:r>
          </w:p>
          <w:p>
            <w:pPr>
              <w:keepNext w:val="0"/>
              <w:keepLines w:val="0"/>
              <w:pageBreakBefore w:val="0"/>
              <w:widowControl w:val="0"/>
              <w:numPr>
                <w:ilvl w:val="0"/>
                <w:numId w:val="5"/>
              </w:numPr>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 xml:space="preserve">尽量使用电气化设备，少使用燃油设备。 </w:t>
            </w:r>
          </w:p>
          <w:p>
            <w:pPr>
              <w:keepNext w:val="0"/>
              <w:keepLines w:val="0"/>
              <w:pageBreakBefore w:val="0"/>
              <w:widowControl w:val="0"/>
              <w:numPr>
                <w:ilvl w:val="0"/>
                <w:numId w:val="5"/>
              </w:numPr>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 xml:space="preserve">施工阶段做好设备的维修和养护工作，使机械设备处于良好的工作状态，减少油耗，同时降低污染。 </w:t>
            </w:r>
          </w:p>
          <w:p>
            <w:pPr>
              <w:keepNext w:val="0"/>
              <w:keepLines w:val="0"/>
              <w:pageBreakBefore w:val="0"/>
              <w:widowControl w:val="0"/>
              <w:numPr>
                <w:ilvl w:val="0"/>
                <w:numId w:val="5"/>
              </w:numPr>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 xml:space="preserve">使用节能低耗的运输车辆，减少汽车尾气的产生量。 </w:t>
            </w:r>
          </w:p>
          <w:p>
            <w:pPr>
              <w:keepNext w:val="0"/>
              <w:keepLines w:val="0"/>
              <w:pageBreakBefore w:val="0"/>
              <w:widowControl w:val="0"/>
              <w:kinsoku/>
              <w:wordWrap/>
              <w:overflowPunct/>
              <w:topLinePunct w:val="0"/>
              <w:autoSpaceDE/>
              <w:autoSpaceDN/>
              <w:bidi w:val="0"/>
              <w:adjustRightInd w:val="0"/>
              <w:snapToGrid w:val="0"/>
              <w:spacing w:line="480" w:lineRule="exact"/>
              <w:ind w:left="420" w:left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（5）对汽车的尾气排放进行监督和管理，严格执行汽车排污监管办法。</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通过采取以上措施后，本项目施工期产生的废气能够得到有效处理，对周围环境的影响在可接受程度范围之内，项目施工期对大气环境影响较小。</w:t>
            </w:r>
          </w:p>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cs="Times New Roman"/>
                <w:b/>
                <w:bCs/>
                <w:color w:val="000000" w:themeColor="text1"/>
                <w:kern w:val="0"/>
                <w:sz w:val="24"/>
                <w:szCs w:val="24"/>
                <w14:textFill>
                  <w14:solidFill>
                    <w14:schemeClr w14:val="tx1"/>
                  </w14:solidFill>
                </w14:textFill>
              </w:rPr>
            </w:pPr>
            <w:r>
              <w:rPr>
                <w:rFonts w:hint="default" w:ascii="Times New Roman" w:hAnsi="Times New Roman" w:cs="Times New Roman"/>
                <w:b/>
                <w:bCs/>
                <w:color w:val="000000" w:themeColor="text1"/>
                <w:kern w:val="0"/>
                <w:sz w:val="24"/>
                <w:szCs w:val="24"/>
                <w14:textFill>
                  <w14:solidFill>
                    <w14:schemeClr w14:val="tx1"/>
                  </w14:solidFill>
                </w14:textFill>
              </w:rPr>
              <w:t>2</w:t>
            </w:r>
            <w:r>
              <w:rPr>
                <w:rFonts w:hint="default" w:ascii="Times New Roman" w:hAnsi="Times New Roman" w:cs="Times New Roman"/>
                <w:b/>
                <w:bCs/>
                <w:color w:val="000000" w:themeColor="text1"/>
                <w:kern w:val="0"/>
                <w:sz w:val="24"/>
                <w:szCs w:val="24"/>
                <w:lang w:eastAsia="zh-CN"/>
                <w14:textFill>
                  <w14:solidFill>
                    <w14:schemeClr w14:val="tx1"/>
                  </w14:solidFill>
                </w14:textFill>
              </w:rPr>
              <w:t>、</w:t>
            </w:r>
            <w:r>
              <w:rPr>
                <w:rFonts w:hint="default" w:ascii="Times New Roman" w:hAnsi="Times New Roman" w:cs="Times New Roman"/>
                <w:b/>
                <w:bCs/>
                <w:color w:val="000000" w:themeColor="text1"/>
                <w:kern w:val="0"/>
                <w:sz w:val="24"/>
                <w:szCs w:val="24"/>
                <w14:textFill>
                  <w14:solidFill>
                    <w14:schemeClr w14:val="tx1"/>
                  </w14:solidFill>
                </w14:textFill>
              </w:rPr>
              <w:t>施工期水环境影响</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本项目废水来源于两部分：一是建筑施工产生的施工废水，这部分废水含泥沙等悬浮物很高，一般呈碱性；二是施工人员的生活污水，主要含 COD、NH</w:t>
            </w:r>
            <w:r>
              <w:rPr>
                <w:rFonts w:hint="default" w:ascii="Times New Roman" w:hAnsi="Times New Roman" w:cs="Times New Roman"/>
                <w:color w:val="000000" w:themeColor="text1"/>
                <w:kern w:val="0"/>
                <w:sz w:val="24"/>
                <w:szCs w:val="24"/>
                <w:vertAlign w:val="subscript"/>
                <w14:textFill>
                  <w14:solidFill>
                    <w14:schemeClr w14:val="tx1"/>
                  </w14:solidFill>
                </w14:textFill>
              </w:rPr>
              <w:t>3</w:t>
            </w:r>
            <w:r>
              <w:rPr>
                <w:rFonts w:hint="default" w:ascii="Times New Roman" w:hAnsi="Times New Roman" w:cs="Times New Roman"/>
                <w:color w:val="000000" w:themeColor="text1"/>
                <w:kern w:val="0"/>
                <w:sz w:val="24"/>
                <w:szCs w:val="24"/>
                <w14:textFill>
                  <w14:solidFill>
                    <w14:schemeClr w14:val="tx1"/>
                  </w14:solidFill>
                </w14:textFill>
              </w:rPr>
              <w:t xml:space="preserve">-N、SS等污染物。 </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（1）施工废水</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 xml:space="preserve">施工废水主要包括混凝土养护以及机械和车辆冲洗。在施工阶段，施工中产生的施工废水中含有泥沙和固体废料，为了减少施工废水中的悬浮物浓度，减轻地表水污染的负荷量，需在施工工地设置沉淀池，使废水中悬浮物大幅度降低，经沉淀后回用，不外排。 </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（2）生活污水</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施工期施工人员将产生生活污水，所含主要污染物为SS、COD、氨氮等。本项目施工期施工人员生活污水利用化粪池收集处理后排入漯河经济技术产业集聚区污水处理厂进一步处理。</w:t>
            </w:r>
          </w:p>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cs="Times New Roman"/>
                <w:b/>
                <w:bCs/>
                <w:color w:val="000000" w:themeColor="text1"/>
                <w:kern w:val="0"/>
                <w:sz w:val="24"/>
                <w:szCs w:val="24"/>
                <w14:textFill>
                  <w14:solidFill>
                    <w14:schemeClr w14:val="tx1"/>
                  </w14:solidFill>
                </w14:textFill>
              </w:rPr>
            </w:pPr>
            <w:r>
              <w:rPr>
                <w:rFonts w:hint="default" w:ascii="Times New Roman" w:hAnsi="Times New Roman" w:cs="Times New Roman"/>
                <w:b/>
                <w:bCs/>
                <w:color w:val="000000" w:themeColor="text1"/>
                <w:kern w:val="0"/>
                <w:sz w:val="24"/>
                <w:szCs w:val="24"/>
                <w14:textFill>
                  <w14:solidFill>
                    <w14:schemeClr w14:val="tx1"/>
                  </w14:solidFill>
                </w14:textFill>
              </w:rPr>
              <w:t>3</w:t>
            </w:r>
            <w:r>
              <w:rPr>
                <w:rFonts w:hint="default" w:ascii="Times New Roman" w:hAnsi="Times New Roman" w:cs="Times New Roman"/>
                <w:b/>
                <w:bCs/>
                <w:color w:val="000000" w:themeColor="text1"/>
                <w:kern w:val="0"/>
                <w:sz w:val="24"/>
                <w:szCs w:val="24"/>
                <w:lang w:eastAsia="zh-CN"/>
                <w14:textFill>
                  <w14:solidFill>
                    <w14:schemeClr w14:val="tx1"/>
                  </w14:solidFill>
                </w14:textFill>
              </w:rPr>
              <w:t>、</w:t>
            </w:r>
            <w:r>
              <w:rPr>
                <w:rFonts w:hint="default" w:ascii="Times New Roman" w:hAnsi="Times New Roman" w:cs="Times New Roman"/>
                <w:b/>
                <w:bCs/>
                <w:color w:val="000000" w:themeColor="text1"/>
                <w:kern w:val="0"/>
                <w:sz w:val="24"/>
                <w:szCs w:val="24"/>
                <w14:textFill>
                  <w14:solidFill>
                    <w14:schemeClr w14:val="tx1"/>
                  </w14:solidFill>
                </w14:textFill>
              </w:rPr>
              <w:t>施工期噪声环境影响</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 xml:space="preserve">施工期主要噪声源有：运输车辆，挖掘机、推土机等设备产生的噪声，声级在75-90 dB(A)之间。施工过程中应加强对噪声的控制，评价建议采取以下措施加以防范： </w:t>
            </w:r>
          </w:p>
          <w:p>
            <w:pPr>
              <w:keepNext w:val="0"/>
              <w:keepLines w:val="0"/>
              <w:pageBreakBefore w:val="0"/>
              <w:widowControl w:val="0"/>
              <w:numPr>
                <w:ilvl w:val="0"/>
                <w:numId w:val="0"/>
              </w:numPr>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lang w:eastAsia="zh-CN"/>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14:textFill>
                  <w14:solidFill>
                    <w14:schemeClr w14:val="tx1"/>
                  </w14:solidFill>
                </w14:textFill>
              </w:rPr>
              <w:t>1</w:t>
            </w:r>
            <w:r>
              <w:rPr>
                <w:rFonts w:hint="default" w:ascii="Times New Roman" w:hAnsi="Times New Roman" w:cs="Times New Roman"/>
                <w:color w:val="000000" w:themeColor="text1"/>
                <w:kern w:val="0"/>
                <w:sz w:val="24"/>
                <w:szCs w:val="24"/>
                <w:lang w:eastAsia="zh-CN"/>
                <w14:textFill>
                  <w14:solidFill>
                    <w14:schemeClr w14:val="tx1"/>
                  </w14:solidFill>
                </w14:textFill>
              </w:rPr>
              <w:t>）</w:t>
            </w:r>
            <w:r>
              <w:rPr>
                <w:rFonts w:hint="default" w:ascii="Times New Roman" w:hAnsi="Times New Roman" w:cs="Times New Roman"/>
                <w:color w:val="000000" w:themeColor="text1"/>
                <w:kern w:val="0"/>
                <w:sz w:val="24"/>
                <w:szCs w:val="24"/>
                <w14:textFill>
                  <w14:solidFill>
                    <w14:schemeClr w14:val="tx1"/>
                  </w14:solidFill>
                </w14:textFill>
              </w:rPr>
              <w:t xml:space="preserve">选用较先进、噪声较低的设备和工艺，加强检查、维护和保养机械设备，保持润滑，紧固各部件，减少运行震动噪声。整体设备应安放稳固，加设减震垫、减震基础，有条件的采用减震机座，降低噪声。 </w:t>
            </w:r>
          </w:p>
          <w:p>
            <w:pPr>
              <w:keepNext w:val="0"/>
              <w:keepLines w:val="0"/>
              <w:pageBreakBefore w:val="0"/>
              <w:widowControl w:val="0"/>
              <w:numPr>
                <w:ilvl w:val="0"/>
                <w:numId w:val="0"/>
              </w:numPr>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lang w:eastAsia="zh-CN"/>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14:textFill>
                  <w14:solidFill>
                    <w14:schemeClr w14:val="tx1"/>
                  </w14:solidFill>
                </w14:textFill>
              </w:rPr>
              <w:t>2</w:t>
            </w:r>
            <w:r>
              <w:rPr>
                <w:rFonts w:hint="default" w:ascii="Times New Roman" w:hAnsi="Times New Roman" w:cs="Times New Roman"/>
                <w:color w:val="000000" w:themeColor="text1"/>
                <w:kern w:val="0"/>
                <w:sz w:val="24"/>
                <w:szCs w:val="24"/>
                <w:lang w:eastAsia="zh-CN"/>
                <w14:textFill>
                  <w14:solidFill>
                    <w14:schemeClr w14:val="tx1"/>
                  </w14:solidFill>
                </w14:textFill>
              </w:rPr>
              <w:t>）</w:t>
            </w:r>
            <w:r>
              <w:rPr>
                <w:rFonts w:hint="default" w:ascii="Times New Roman" w:hAnsi="Times New Roman" w:cs="Times New Roman"/>
                <w:color w:val="000000" w:themeColor="text1"/>
                <w:kern w:val="0"/>
                <w:sz w:val="24"/>
                <w:szCs w:val="24"/>
                <w14:textFill>
                  <w14:solidFill>
                    <w14:schemeClr w14:val="tx1"/>
                  </w14:solidFill>
                </w14:textFill>
              </w:rPr>
              <w:t xml:space="preserve">在四边界设置围挡。 </w:t>
            </w:r>
          </w:p>
          <w:p>
            <w:pPr>
              <w:keepNext w:val="0"/>
              <w:keepLines w:val="0"/>
              <w:pageBreakBefore w:val="0"/>
              <w:widowControl w:val="0"/>
              <w:numPr>
                <w:ilvl w:val="0"/>
                <w:numId w:val="0"/>
              </w:numPr>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lang w:eastAsia="zh-CN"/>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14:textFill>
                  <w14:solidFill>
                    <w14:schemeClr w14:val="tx1"/>
                  </w14:solidFill>
                </w14:textFill>
              </w:rPr>
              <w:t>3</w:t>
            </w:r>
            <w:r>
              <w:rPr>
                <w:rFonts w:hint="default" w:ascii="Times New Roman" w:hAnsi="Times New Roman" w:cs="Times New Roman"/>
                <w:color w:val="000000" w:themeColor="text1"/>
                <w:kern w:val="0"/>
                <w:sz w:val="24"/>
                <w:szCs w:val="24"/>
                <w:lang w:eastAsia="zh-CN"/>
                <w14:textFill>
                  <w14:solidFill>
                    <w14:schemeClr w14:val="tx1"/>
                  </w14:solidFill>
                </w14:textFill>
              </w:rPr>
              <w:t>）</w:t>
            </w:r>
            <w:r>
              <w:rPr>
                <w:rFonts w:hint="default" w:ascii="Times New Roman" w:hAnsi="Times New Roman" w:cs="Times New Roman"/>
                <w:color w:val="000000" w:themeColor="text1"/>
                <w:kern w:val="0"/>
                <w:sz w:val="24"/>
                <w:szCs w:val="24"/>
                <w14:textFill>
                  <w14:solidFill>
                    <w14:schemeClr w14:val="tx1"/>
                  </w14:solidFill>
                </w14:textFill>
              </w:rPr>
              <w:t>合理布局施工现场，切割、钣金等应设置密闭操作间，最大程度</w:t>
            </w:r>
            <w:r>
              <w:rPr>
                <w:rFonts w:hint="default" w:ascii="Times New Roman" w:hAnsi="Times New Roman" w:cs="Times New Roman"/>
                <w:color w:val="000000" w:themeColor="text1"/>
                <w:kern w:val="0"/>
                <w:sz w:val="24"/>
                <w:szCs w:val="24"/>
                <w:lang w:eastAsia="zh-CN"/>
                <w14:textFill>
                  <w14:solidFill>
                    <w14:schemeClr w14:val="tx1"/>
                  </w14:solidFill>
                </w14:textFill>
              </w:rPr>
              <w:t>地</w:t>
            </w:r>
            <w:r>
              <w:rPr>
                <w:rFonts w:hint="default" w:ascii="Times New Roman" w:hAnsi="Times New Roman" w:cs="Times New Roman"/>
                <w:color w:val="000000" w:themeColor="text1"/>
                <w:kern w:val="0"/>
                <w:sz w:val="24"/>
                <w:szCs w:val="24"/>
                <w14:textFill>
                  <w14:solidFill>
                    <w14:schemeClr w14:val="tx1"/>
                  </w14:solidFill>
                </w14:textFill>
              </w:rPr>
              <w:t>减缓对周边噪声水平影响，同时避免在同一地点安排大量动力机械设备，以避免局部声级过高。</w:t>
            </w:r>
          </w:p>
          <w:p>
            <w:pPr>
              <w:keepNext w:val="0"/>
              <w:keepLines w:val="0"/>
              <w:pageBreakBefore w:val="0"/>
              <w:widowControl w:val="0"/>
              <w:numPr>
                <w:ilvl w:val="0"/>
                <w:numId w:val="0"/>
              </w:numPr>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（4）合理安排施工时间，禁止施工单位夜间（22:00-6:00）施工，如因工程需要夜间施工，应提前向环保主管部门申请，经批准后公示，方可夜间施工，若非必须连续施工，不允许夜间施工。</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施工期的影响将伴随着施工期的结束而结束，故采取上述措施后，本项目建筑施工噪声对周边环境影响较小。</w:t>
            </w:r>
          </w:p>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cs="Times New Roman"/>
                <w:b/>
                <w:bCs/>
                <w:color w:val="000000" w:themeColor="text1"/>
                <w:kern w:val="0"/>
                <w:sz w:val="24"/>
                <w:szCs w:val="24"/>
                <w14:textFill>
                  <w14:solidFill>
                    <w14:schemeClr w14:val="tx1"/>
                  </w14:solidFill>
                </w14:textFill>
              </w:rPr>
            </w:pPr>
            <w:r>
              <w:rPr>
                <w:rFonts w:hint="default" w:ascii="Times New Roman" w:hAnsi="Times New Roman" w:cs="Times New Roman"/>
                <w:b/>
                <w:bCs/>
                <w:color w:val="000000" w:themeColor="text1"/>
                <w:kern w:val="0"/>
                <w:sz w:val="24"/>
                <w:szCs w:val="24"/>
                <w14:textFill>
                  <w14:solidFill>
                    <w14:schemeClr w14:val="tx1"/>
                  </w14:solidFill>
                </w14:textFill>
              </w:rPr>
              <w:t>4</w:t>
            </w:r>
            <w:r>
              <w:rPr>
                <w:rFonts w:hint="default" w:ascii="Times New Roman" w:hAnsi="Times New Roman" w:cs="Times New Roman"/>
                <w:b/>
                <w:bCs/>
                <w:color w:val="000000" w:themeColor="text1"/>
                <w:kern w:val="0"/>
                <w:sz w:val="24"/>
                <w:szCs w:val="24"/>
                <w:lang w:eastAsia="zh-CN"/>
                <w14:textFill>
                  <w14:solidFill>
                    <w14:schemeClr w14:val="tx1"/>
                  </w14:solidFill>
                </w14:textFill>
              </w:rPr>
              <w:t>、</w:t>
            </w:r>
            <w:r>
              <w:rPr>
                <w:rFonts w:hint="default" w:ascii="Times New Roman" w:hAnsi="Times New Roman" w:cs="Times New Roman"/>
                <w:b/>
                <w:bCs/>
                <w:color w:val="000000" w:themeColor="text1"/>
                <w:kern w:val="0"/>
                <w:sz w:val="24"/>
                <w:szCs w:val="24"/>
                <w14:textFill>
                  <w14:solidFill>
                    <w14:schemeClr w14:val="tx1"/>
                  </w14:solidFill>
                </w14:textFill>
              </w:rPr>
              <w:t>施工期固体废物影响</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加强施工期废弃物的收集和管理，将建筑垃圾和能回收的废材料、废包装袋分别收集堆放，废材料、废包装袋及时出售给废品回收公司处理。废渣运往建设部门指定的建筑垃圾场处理，严禁随意倾倒。根据工程要求，可作为填方的弃土可回用于地基填垫和平整，部分可以移植用作绿化栽培使用；不能用作填方的弃土应及时清运。</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本项目施工期生活垃圾经过垃圾桶收集后，由环卫部门进行集中处置，不会对环境产生二次污染。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95" w:type="pct"/>
            <w:noWrap w:val="0"/>
            <w:tcMar>
              <w:left w:w="28" w:type="dxa"/>
              <w:right w:w="28" w:type="dxa"/>
            </w:tcMar>
            <w:vAlign w:val="center"/>
          </w:tcPr>
          <w:p>
            <w:pPr>
              <w:keepNext w:val="0"/>
              <w:keepLines w:val="0"/>
              <w:pageBreakBefore w:val="0"/>
              <w:kinsoku/>
              <w:wordWrap/>
              <w:overflowPunct/>
              <w:topLinePunct w:val="0"/>
              <w:autoSpaceDE/>
              <w:autoSpaceDN/>
              <w:bidi w:val="0"/>
              <w:adjustRightInd w:val="0"/>
              <w:snapToGrid w:val="0"/>
              <w:spacing w:line="480" w:lineRule="exact"/>
              <w:jc w:val="center"/>
              <w:textAlignment w:val="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Cs/>
                <w:color w:val="000000" w:themeColor="text1"/>
                <w:sz w:val="24"/>
                <w:szCs w:val="24"/>
                <w14:textFill>
                  <w14:solidFill>
                    <w14:schemeClr w14:val="tx1"/>
                  </w14:solidFill>
                </w14:textFill>
              </w:rPr>
              <w:t>运营</w:t>
            </w:r>
          </w:p>
          <w:p>
            <w:pPr>
              <w:keepNext w:val="0"/>
              <w:keepLines w:val="0"/>
              <w:pageBreakBefore w:val="0"/>
              <w:kinsoku/>
              <w:wordWrap/>
              <w:overflowPunct/>
              <w:topLinePunct w:val="0"/>
              <w:autoSpaceDE/>
              <w:autoSpaceDN/>
              <w:bidi w:val="0"/>
              <w:adjustRightInd w:val="0"/>
              <w:snapToGrid w:val="0"/>
              <w:spacing w:line="480" w:lineRule="exact"/>
              <w:jc w:val="center"/>
              <w:textAlignment w:val="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Cs/>
                <w:color w:val="000000" w:themeColor="text1"/>
                <w:sz w:val="24"/>
                <w:szCs w:val="24"/>
                <w14:textFill>
                  <w14:solidFill>
                    <w14:schemeClr w14:val="tx1"/>
                  </w14:solidFill>
                </w14:textFill>
              </w:rPr>
              <w:t>期环</w:t>
            </w:r>
          </w:p>
          <w:p>
            <w:pPr>
              <w:keepNext w:val="0"/>
              <w:keepLines w:val="0"/>
              <w:pageBreakBefore w:val="0"/>
              <w:kinsoku/>
              <w:wordWrap/>
              <w:overflowPunct/>
              <w:topLinePunct w:val="0"/>
              <w:autoSpaceDE/>
              <w:autoSpaceDN/>
              <w:bidi w:val="0"/>
              <w:adjustRightInd w:val="0"/>
              <w:snapToGrid w:val="0"/>
              <w:spacing w:line="480" w:lineRule="exact"/>
              <w:jc w:val="center"/>
              <w:textAlignment w:val="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Cs/>
                <w:color w:val="000000" w:themeColor="text1"/>
                <w:sz w:val="24"/>
                <w:szCs w:val="24"/>
                <w14:textFill>
                  <w14:solidFill>
                    <w14:schemeClr w14:val="tx1"/>
                  </w14:solidFill>
                </w14:textFill>
              </w:rPr>
              <w:t>境影</w:t>
            </w:r>
          </w:p>
          <w:p>
            <w:pPr>
              <w:keepNext w:val="0"/>
              <w:keepLines w:val="0"/>
              <w:pageBreakBefore w:val="0"/>
              <w:kinsoku/>
              <w:wordWrap/>
              <w:overflowPunct/>
              <w:topLinePunct w:val="0"/>
              <w:autoSpaceDE/>
              <w:autoSpaceDN/>
              <w:bidi w:val="0"/>
              <w:adjustRightInd w:val="0"/>
              <w:snapToGrid w:val="0"/>
              <w:spacing w:line="480" w:lineRule="exact"/>
              <w:jc w:val="center"/>
              <w:textAlignment w:val="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Cs/>
                <w:color w:val="000000" w:themeColor="text1"/>
                <w:sz w:val="24"/>
                <w:szCs w:val="24"/>
                <w14:textFill>
                  <w14:solidFill>
                    <w14:schemeClr w14:val="tx1"/>
                  </w14:solidFill>
                </w14:textFill>
              </w:rPr>
              <w:t>响和</w:t>
            </w:r>
          </w:p>
          <w:p>
            <w:pPr>
              <w:keepNext w:val="0"/>
              <w:keepLines w:val="0"/>
              <w:pageBreakBefore w:val="0"/>
              <w:kinsoku/>
              <w:wordWrap/>
              <w:overflowPunct/>
              <w:topLinePunct w:val="0"/>
              <w:autoSpaceDE/>
              <w:autoSpaceDN/>
              <w:bidi w:val="0"/>
              <w:adjustRightInd w:val="0"/>
              <w:snapToGrid w:val="0"/>
              <w:spacing w:line="480" w:lineRule="exact"/>
              <w:jc w:val="center"/>
              <w:textAlignment w:val="auto"/>
              <w:rPr>
                <w:rFonts w:hint="default" w:ascii="Times New Roman" w:hAnsi="Times New Roman" w:cs="Times New Roman"/>
                <w:bCs/>
                <w:color w:val="000000" w:themeColor="text1"/>
                <w:sz w:val="24"/>
                <w:szCs w:val="24"/>
                <w14:textFill>
                  <w14:solidFill>
                    <w14:schemeClr w14:val="tx1"/>
                  </w14:solidFill>
                </w14:textFill>
              </w:rPr>
            </w:pPr>
            <w:r>
              <w:rPr>
                <w:rFonts w:hint="default" w:ascii="Times New Roman" w:hAnsi="Times New Roman" w:cs="Times New Roman"/>
                <w:bCs/>
                <w:color w:val="000000" w:themeColor="text1"/>
                <w:sz w:val="24"/>
                <w:szCs w:val="24"/>
                <w14:textFill>
                  <w14:solidFill>
                    <w14:schemeClr w14:val="tx1"/>
                  </w14:solidFill>
                </w14:textFill>
              </w:rPr>
              <w:t>保护</w:t>
            </w:r>
          </w:p>
          <w:p>
            <w:pPr>
              <w:pStyle w:val="33"/>
              <w:keepNext w:val="0"/>
              <w:keepLines w:val="0"/>
              <w:pageBreakBefore w:val="0"/>
              <w:kinsoku/>
              <w:wordWrap/>
              <w:overflowPunct/>
              <w:topLinePunct w:val="0"/>
              <w:autoSpaceDE/>
              <w:autoSpaceDN/>
              <w:bidi w:val="0"/>
              <w:adjustRightInd w:val="0"/>
              <w:snapToGrid w:val="0"/>
              <w:spacing w:before="0" w:beforeAutospacing="0" w:after="0" w:afterAutospacing="0" w:line="480" w:lineRule="exact"/>
              <w:jc w:val="center"/>
              <w:textAlignment w:val="auto"/>
              <w:rPr>
                <w:rFonts w:hint="default" w:ascii="Times New Roman" w:hAnsi="Times New Roman" w:cs="Times New Roman"/>
                <w:color w:val="000000" w:themeColor="text1"/>
                <w:kern w:val="2"/>
                <w:sz w:val="21"/>
                <w:szCs w:val="21"/>
                <w14:textFill>
                  <w14:solidFill>
                    <w14:schemeClr w14:val="tx1"/>
                  </w14:solidFill>
                </w14:textFill>
              </w:rPr>
            </w:pPr>
            <w:r>
              <w:rPr>
                <w:rFonts w:hint="default" w:ascii="Times New Roman" w:hAnsi="Times New Roman" w:cs="Times New Roman"/>
                <w:bCs/>
                <w:color w:val="000000" w:themeColor="text1"/>
                <w:sz w:val="24"/>
                <w:szCs w:val="24"/>
                <w14:textFill>
                  <w14:solidFill>
                    <w14:schemeClr w14:val="tx1"/>
                  </w14:solidFill>
                </w14:textFill>
              </w:rPr>
              <w:t>措施</w:t>
            </w:r>
          </w:p>
        </w:tc>
        <w:tc>
          <w:tcPr>
            <w:tcW w:w="4804" w:type="pct"/>
            <w:noWrap w:val="0"/>
            <w:vAlign w:val="center"/>
          </w:tcPr>
          <w:p>
            <w:pPr>
              <w:pStyle w:val="36"/>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1、废气</w:t>
            </w:r>
          </w:p>
          <w:p>
            <w:pPr>
              <w:pStyle w:val="36"/>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1.1废气产排情况</w:t>
            </w:r>
          </w:p>
          <w:p>
            <w:pPr>
              <w:pStyle w:val="36"/>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本项目废气污染物排放情况统计见下表。</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表30                       大气污染物产排情况一览表</w:t>
            </w:r>
          </w:p>
          <w:tbl>
            <w:tblPr>
              <w:tblStyle w:val="37"/>
              <w:tblW w:w="917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02"/>
              <w:gridCol w:w="832"/>
              <w:gridCol w:w="583"/>
              <w:gridCol w:w="669"/>
              <w:gridCol w:w="716"/>
              <w:gridCol w:w="634"/>
              <w:gridCol w:w="425"/>
              <w:gridCol w:w="1241"/>
              <w:gridCol w:w="634"/>
              <w:gridCol w:w="642"/>
              <w:gridCol w:w="728"/>
              <w:gridCol w:w="757"/>
              <w:gridCol w:w="7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08" w:hRule="atLeast"/>
                <w:jc w:val="center"/>
              </w:trPr>
              <w:tc>
                <w:tcPr>
                  <w:tcW w:w="602" w:type="dxa"/>
                  <w:vMerge w:val="restart"/>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18"/>
                      <w:szCs w:val="18"/>
                      <w14:textFill>
                        <w14:solidFill>
                          <w14:schemeClr w14:val="tx1"/>
                        </w14:solidFill>
                      </w14:textFill>
                    </w:rPr>
                  </w:pPr>
                  <w:r>
                    <w:rPr>
                      <w:rFonts w:hint="default" w:ascii="Times New Roman" w:hAnsi="Times New Roman" w:cs="Times New Roman"/>
                      <w:b/>
                      <w:bCs/>
                      <w:color w:val="000000" w:themeColor="text1"/>
                      <w:sz w:val="18"/>
                      <w:szCs w:val="18"/>
                      <w14:textFill>
                        <w14:solidFill>
                          <w14:schemeClr w14:val="tx1"/>
                        </w14:solidFill>
                      </w14:textFill>
                    </w:rPr>
                    <w:t>产污设施</w:t>
                  </w:r>
                </w:p>
              </w:tc>
              <w:tc>
                <w:tcPr>
                  <w:tcW w:w="832" w:type="dxa"/>
                  <w:vMerge w:val="restart"/>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18"/>
                      <w:szCs w:val="18"/>
                      <w14:textFill>
                        <w14:solidFill>
                          <w14:schemeClr w14:val="tx1"/>
                        </w14:solidFill>
                      </w14:textFill>
                    </w:rPr>
                  </w:pPr>
                  <w:r>
                    <w:rPr>
                      <w:rFonts w:hint="default" w:ascii="Times New Roman" w:hAnsi="Times New Roman" w:cs="Times New Roman"/>
                      <w:b/>
                      <w:bCs/>
                      <w:color w:val="000000" w:themeColor="text1"/>
                      <w:sz w:val="18"/>
                      <w:szCs w:val="18"/>
                      <w14:textFill>
                        <w14:solidFill>
                          <w14:schemeClr w14:val="tx1"/>
                        </w14:solidFill>
                      </w14:textFill>
                    </w:rPr>
                    <w:t>产污环节</w:t>
                  </w:r>
                </w:p>
              </w:tc>
              <w:tc>
                <w:tcPr>
                  <w:tcW w:w="583" w:type="dxa"/>
                  <w:vMerge w:val="restart"/>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18"/>
                      <w:szCs w:val="18"/>
                      <w14:textFill>
                        <w14:solidFill>
                          <w14:schemeClr w14:val="tx1"/>
                        </w14:solidFill>
                      </w14:textFill>
                    </w:rPr>
                  </w:pPr>
                  <w:r>
                    <w:rPr>
                      <w:rFonts w:hint="default" w:ascii="Times New Roman" w:hAnsi="Times New Roman" w:cs="Times New Roman"/>
                      <w:b/>
                      <w:bCs/>
                      <w:color w:val="000000" w:themeColor="text1"/>
                      <w:sz w:val="18"/>
                      <w:szCs w:val="18"/>
                      <w14:textFill>
                        <w14:solidFill>
                          <w14:schemeClr w14:val="tx1"/>
                        </w14:solidFill>
                      </w14:textFill>
                    </w:rPr>
                    <w:t>污染物种类</w:t>
                  </w:r>
                </w:p>
              </w:tc>
              <w:tc>
                <w:tcPr>
                  <w:tcW w:w="2019" w:type="dxa"/>
                  <w:gridSpan w:val="3"/>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18"/>
                      <w:szCs w:val="18"/>
                      <w14:textFill>
                        <w14:solidFill>
                          <w14:schemeClr w14:val="tx1"/>
                        </w14:solidFill>
                      </w14:textFill>
                    </w:rPr>
                  </w:pPr>
                  <w:r>
                    <w:rPr>
                      <w:rFonts w:hint="default" w:ascii="Times New Roman" w:hAnsi="Times New Roman" w:cs="Times New Roman"/>
                      <w:b/>
                      <w:bCs/>
                      <w:color w:val="000000" w:themeColor="text1"/>
                      <w:sz w:val="18"/>
                      <w:szCs w:val="18"/>
                      <w14:textFill>
                        <w14:solidFill>
                          <w14:schemeClr w14:val="tx1"/>
                        </w14:solidFill>
                      </w14:textFill>
                    </w:rPr>
                    <w:t>产生情况</w:t>
                  </w:r>
                </w:p>
              </w:tc>
              <w:tc>
                <w:tcPr>
                  <w:tcW w:w="425" w:type="dxa"/>
                  <w:vMerge w:val="restart"/>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18"/>
                      <w:szCs w:val="18"/>
                      <w14:textFill>
                        <w14:solidFill>
                          <w14:schemeClr w14:val="tx1"/>
                        </w14:solidFill>
                      </w14:textFill>
                    </w:rPr>
                  </w:pPr>
                  <w:r>
                    <w:rPr>
                      <w:rFonts w:hint="default" w:ascii="Times New Roman" w:hAnsi="Times New Roman" w:cs="Times New Roman"/>
                      <w:b/>
                      <w:bCs/>
                      <w:color w:val="000000" w:themeColor="text1"/>
                      <w:sz w:val="18"/>
                      <w:szCs w:val="18"/>
                      <w14:textFill>
                        <w14:solidFill>
                          <w14:schemeClr w14:val="tx1"/>
                        </w14:solidFill>
                      </w14:textFill>
                    </w:rPr>
                    <w:t>排放形式</w:t>
                  </w:r>
                </w:p>
              </w:tc>
              <w:tc>
                <w:tcPr>
                  <w:tcW w:w="1875" w:type="dxa"/>
                  <w:gridSpan w:val="2"/>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18"/>
                      <w:szCs w:val="18"/>
                      <w14:textFill>
                        <w14:solidFill>
                          <w14:schemeClr w14:val="tx1"/>
                        </w14:solidFill>
                      </w14:textFill>
                    </w:rPr>
                  </w:pPr>
                  <w:r>
                    <w:rPr>
                      <w:rFonts w:hint="default" w:ascii="Times New Roman" w:hAnsi="Times New Roman" w:cs="Times New Roman"/>
                      <w:b/>
                      <w:bCs/>
                      <w:color w:val="000000" w:themeColor="text1"/>
                      <w:sz w:val="18"/>
                      <w:szCs w:val="18"/>
                      <w14:textFill>
                        <w14:solidFill>
                          <w14:schemeClr w14:val="tx1"/>
                        </w14:solidFill>
                      </w14:textFill>
                    </w:rPr>
                    <w:t>治理措施</w:t>
                  </w:r>
                </w:p>
              </w:tc>
              <w:tc>
                <w:tcPr>
                  <w:tcW w:w="2127" w:type="dxa"/>
                  <w:gridSpan w:val="3"/>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18"/>
                      <w:szCs w:val="18"/>
                      <w14:textFill>
                        <w14:solidFill>
                          <w14:schemeClr w14:val="tx1"/>
                        </w14:solidFill>
                      </w14:textFill>
                    </w:rPr>
                  </w:pPr>
                  <w:r>
                    <w:rPr>
                      <w:rFonts w:hint="default" w:ascii="Times New Roman" w:hAnsi="Times New Roman" w:cs="Times New Roman"/>
                      <w:b/>
                      <w:bCs/>
                      <w:color w:val="000000" w:themeColor="text1"/>
                      <w:sz w:val="18"/>
                      <w:szCs w:val="18"/>
                      <w14:textFill>
                        <w14:solidFill>
                          <w14:schemeClr w14:val="tx1"/>
                        </w14:solidFill>
                      </w14:textFill>
                    </w:rPr>
                    <w:t>排放情况</w:t>
                  </w:r>
                </w:p>
              </w:tc>
              <w:tc>
                <w:tcPr>
                  <w:tcW w:w="710" w:type="dxa"/>
                  <w:vMerge w:val="restart"/>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18"/>
                      <w:szCs w:val="18"/>
                      <w:u w:val="single"/>
                      <w14:textFill>
                        <w14:solidFill>
                          <w14:schemeClr w14:val="tx1"/>
                        </w14:solidFill>
                      </w14:textFill>
                    </w:rPr>
                  </w:pPr>
                  <w:r>
                    <w:rPr>
                      <w:rFonts w:hint="default" w:ascii="Times New Roman" w:hAnsi="Times New Roman" w:cs="Times New Roman"/>
                      <w:b/>
                      <w:bCs/>
                      <w:color w:val="000000" w:themeColor="text1"/>
                      <w:sz w:val="18"/>
                      <w:szCs w:val="18"/>
                      <w14:textFill>
                        <w14:solidFill>
                          <w14:schemeClr w14:val="tx1"/>
                        </w14:solidFill>
                      </w14:textFill>
                    </w:rPr>
                    <w:t>排放执行标准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602" w:type="dxa"/>
                  <w:vMerge w:val="continue"/>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18"/>
                      <w:szCs w:val="18"/>
                      <w14:textFill>
                        <w14:solidFill>
                          <w14:schemeClr w14:val="tx1"/>
                        </w14:solidFill>
                      </w14:textFill>
                    </w:rPr>
                  </w:pPr>
                </w:p>
              </w:tc>
              <w:tc>
                <w:tcPr>
                  <w:tcW w:w="832" w:type="dxa"/>
                  <w:vMerge w:val="continue"/>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18"/>
                      <w:szCs w:val="18"/>
                      <w14:textFill>
                        <w14:solidFill>
                          <w14:schemeClr w14:val="tx1"/>
                        </w14:solidFill>
                      </w14:textFill>
                    </w:rPr>
                  </w:pPr>
                </w:p>
              </w:tc>
              <w:tc>
                <w:tcPr>
                  <w:tcW w:w="583" w:type="dxa"/>
                  <w:vMerge w:val="continue"/>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18"/>
                      <w:szCs w:val="18"/>
                      <w14:textFill>
                        <w14:solidFill>
                          <w14:schemeClr w14:val="tx1"/>
                        </w14:solidFill>
                      </w14:textFill>
                    </w:rPr>
                  </w:pPr>
                </w:p>
              </w:tc>
              <w:tc>
                <w:tcPr>
                  <w:tcW w:w="669"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b/>
                      <w:bCs/>
                      <w:color w:val="000000" w:themeColor="text1"/>
                      <w:sz w:val="18"/>
                      <w:szCs w:val="18"/>
                      <w14:textFill>
                        <w14:solidFill>
                          <w14:schemeClr w14:val="tx1"/>
                        </w14:solidFill>
                      </w14:textFill>
                    </w:rPr>
                    <w:t>速率kg/h</w:t>
                  </w:r>
                </w:p>
              </w:tc>
              <w:tc>
                <w:tcPr>
                  <w:tcW w:w="716"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18"/>
                      <w:szCs w:val="18"/>
                      <w14:textFill>
                        <w14:solidFill>
                          <w14:schemeClr w14:val="tx1"/>
                        </w14:solidFill>
                      </w14:textFill>
                    </w:rPr>
                  </w:pPr>
                  <w:r>
                    <w:rPr>
                      <w:rFonts w:hint="default" w:ascii="Times New Roman" w:hAnsi="Times New Roman" w:cs="Times New Roman"/>
                      <w:b/>
                      <w:bCs/>
                      <w:color w:val="000000" w:themeColor="text1"/>
                      <w:sz w:val="18"/>
                      <w:szCs w:val="18"/>
                      <w14:textFill>
                        <w14:solidFill>
                          <w14:schemeClr w14:val="tx1"/>
                        </w14:solidFill>
                      </w14:textFill>
                    </w:rPr>
                    <w:t>浓度mg/m</w:t>
                  </w:r>
                  <w:r>
                    <w:rPr>
                      <w:rFonts w:hint="default" w:ascii="Times New Roman" w:hAnsi="Times New Roman" w:cs="Times New Roman"/>
                      <w:b/>
                      <w:bCs/>
                      <w:color w:val="000000" w:themeColor="text1"/>
                      <w:sz w:val="18"/>
                      <w:szCs w:val="18"/>
                      <w:vertAlign w:val="superscript"/>
                      <w14:textFill>
                        <w14:solidFill>
                          <w14:schemeClr w14:val="tx1"/>
                        </w14:solidFill>
                      </w14:textFill>
                    </w:rPr>
                    <w:t>3</w:t>
                  </w:r>
                </w:p>
              </w:tc>
              <w:tc>
                <w:tcPr>
                  <w:tcW w:w="634"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b/>
                      <w:bCs/>
                      <w:color w:val="000000" w:themeColor="text1"/>
                      <w:sz w:val="18"/>
                      <w:szCs w:val="18"/>
                      <w14:textFill>
                        <w14:solidFill>
                          <w14:schemeClr w14:val="tx1"/>
                        </w14:solidFill>
                      </w14:textFill>
                    </w:rPr>
                    <w:t>产生量t/a</w:t>
                  </w:r>
                </w:p>
              </w:tc>
              <w:tc>
                <w:tcPr>
                  <w:tcW w:w="425" w:type="dxa"/>
                  <w:vMerge w:val="continue"/>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18"/>
                      <w:szCs w:val="18"/>
                      <w14:textFill>
                        <w14:solidFill>
                          <w14:schemeClr w14:val="tx1"/>
                        </w14:solidFill>
                      </w14:textFill>
                    </w:rPr>
                  </w:pPr>
                </w:p>
              </w:tc>
              <w:tc>
                <w:tcPr>
                  <w:tcW w:w="1241"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18"/>
                      <w:szCs w:val="18"/>
                      <w14:textFill>
                        <w14:solidFill>
                          <w14:schemeClr w14:val="tx1"/>
                        </w14:solidFill>
                      </w14:textFill>
                    </w:rPr>
                  </w:pPr>
                  <w:r>
                    <w:rPr>
                      <w:rFonts w:hint="default" w:ascii="Times New Roman" w:hAnsi="Times New Roman" w:cs="Times New Roman"/>
                      <w:b/>
                      <w:bCs/>
                      <w:color w:val="000000" w:themeColor="text1"/>
                      <w:sz w:val="18"/>
                      <w:szCs w:val="18"/>
                      <w14:textFill>
                        <w14:solidFill>
                          <w14:schemeClr w14:val="tx1"/>
                        </w14:solidFill>
                      </w14:textFill>
                    </w:rPr>
                    <w:t>名称、处理能力、收集效率、去除率</w:t>
                  </w:r>
                </w:p>
              </w:tc>
              <w:tc>
                <w:tcPr>
                  <w:tcW w:w="634"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18"/>
                      <w:szCs w:val="18"/>
                      <w14:textFill>
                        <w14:solidFill>
                          <w14:schemeClr w14:val="tx1"/>
                        </w14:solidFill>
                      </w14:textFill>
                    </w:rPr>
                  </w:pPr>
                  <w:r>
                    <w:rPr>
                      <w:rFonts w:hint="default" w:ascii="Times New Roman" w:hAnsi="Times New Roman" w:cs="Times New Roman"/>
                      <w:b/>
                      <w:bCs/>
                      <w:color w:val="000000" w:themeColor="text1"/>
                      <w:sz w:val="18"/>
                      <w:szCs w:val="18"/>
                      <w14:textFill>
                        <w14:solidFill>
                          <w14:schemeClr w14:val="tx1"/>
                        </w14:solidFill>
                      </w14:textFill>
                    </w:rPr>
                    <w:t>是否技术可行</w:t>
                  </w:r>
                </w:p>
              </w:tc>
              <w:tc>
                <w:tcPr>
                  <w:tcW w:w="642"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18"/>
                      <w:szCs w:val="18"/>
                      <w14:textFill>
                        <w14:solidFill>
                          <w14:schemeClr w14:val="tx1"/>
                        </w14:solidFill>
                      </w14:textFill>
                    </w:rPr>
                  </w:pPr>
                  <w:r>
                    <w:rPr>
                      <w:rFonts w:hint="default" w:ascii="Times New Roman" w:hAnsi="Times New Roman" w:cs="Times New Roman"/>
                      <w:b/>
                      <w:bCs/>
                      <w:color w:val="000000" w:themeColor="text1"/>
                      <w:sz w:val="18"/>
                      <w:szCs w:val="18"/>
                      <w14:textFill>
                        <w14:solidFill>
                          <w14:schemeClr w14:val="tx1"/>
                        </w14:solidFill>
                      </w14:textFill>
                    </w:rPr>
                    <w:t>速率kg/h</w:t>
                  </w:r>
                </w:p>
              </w:tc>
              <w:tc>
                <w:tcPr>
                  <w:tcW w:w="728"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18"/>
                      <w:szCs w:val="18"/>
                      <w14:textFill>
                        <w14:solidFill>
                          <w14:schemeClr w14:val="tx1"/>
                        </w14:solidFill>
                      </w14:textFill>
                    </w:rPr>
                  </w:pPr>
                  <w:r>
                    <w:rPr>
                      <w:rFonts w:hint="default" w:ascii="Times New Roman" w:hAnsi="Times New Roman" w:cs="Times New Roman"/>
                      <w:b/>
                      <w:bCs/>
                      <w:color w:val="000000" w:themeColor="text1"/>
                      <w:sz w:val="18"/>
                      <w:szCs w:val="18"/>
                      <w14:textFill>
                        <w14:solidFill>
                          <w14:schemeClr w14:val="tx1"/>
                        </w14:solidFill>
                      </w14:textFill>
                    </w:rPr>
                    <w:t>浓度mg/m</w:t>
                  </w:r>
                  <w:r>
                    <w:rPr>
                      <w:rFonts w:hint="default" w:ascii="Times New Roman" w:hAnsi="Times New Roman" w:cs="Times New Roman"/>
                      <w:b/>
                      <w:bCs/>
                      <w:color w:val="000000" w:themeColor="text1"/>
                      <w:sz w:val="18"/>
                      <w:szCs w:val="18"/>
                      <w:vertAlign w:val="superscript"/>
                      <w14:textFill>
                        <w14:solidFill>
                          <w14:schemeClr w14:val="tx1"/>
                        </w14:solidFill>
                      </w14:textFill>
                    </w:rPr>
                    <w:t>3</w:t>
                  </w:r>
                </w:p>
              </w:tc>
              <w:tc>
                <w:tcPr>
                  <w:tcW w:w="757"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18"/>
                      <w:szCs w:val="18"/>
                      <w14:textFill>
                        <w14:solidFill>
                          <w14:schemeClr w14:val="tx1"/>
                        </w14:solidFill>
                      </w14:textFill>
                    </w:rPr>
                  </w:pPr>
                  <w:r>
                    <w:rPr>
                      <w:rFonts w:hint="default" w:ascii="Times New Roman" w:hAnsi="Times New Roman" w:cs="Times New Roman"/>
                      <w:b/>
                      <w:bCs/>
                      <w:color w:val="000000" w:themeColor="text1"/>
                      <w:sz w:val="18"/>
                      <w:szCs w:val="18"/>
                      <w14:textFill>
                        <w14:solidFill>
                          <w14:schemeClr w14:val="tx1"/>
                        </w14:solidFill>
                      </w14:textFill>
                    </w:rPr>
                    <w:t>排放量t/a</w:t>
                  </w:r>
                </w:p>
              </w:tc>
              <w:tc>
                <w:tcPr>
                  <w:tcW w:w="710" w:type="dxa"/>
                  <w:vMerge w:val="continue"/>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18"/>
                      <w:szCs w:val="18"/>
                      <w:u w:val="singl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08" w:hRule="atLeast"/>
                <w:jc w:val="center"/>
              </w:trPr>
              <w:tc>
                <w:tcPr>
                  <w:tcW w:w="602"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18"/>
                      <w:szCs w:val="18"/>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加油机、油罐</w:t>
                  </w:r>
                </w:p>
              </w:tc>
              <w:tc>
                <w:tcPr>
                  <w:tcW w:w="832"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18"/>
                      <w:szCs w:val="18"/>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卸油、储油、加油</w:t>
                  </w:r>
                </w:p>
              </w:tc>
              <w:tc>
                <w:tcPr>
                  <w:tcW w:w="583"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18"/>
                      <w:szCs w:val="18"/>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非甲烷总烃</w:t>
                  </w:r>
                </w:p>
              </w:tc>
              <w:tc>
                <w:tcPr>
                  <w:tcW w:w="669"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0.171</w:t>
                  </w:r>
                </w:p>
              </w:tc>
              <w:tc>
                <w:tcPr>
                  <w:tcW w:w="716"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18"/>
                      <w:szCs w:val="18"/>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w:t>
                  </w:r>
                </w:p>
              </w:tc>
              <w:tc>
                <w:tcPr>
                  <w:tcW w:w="634"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000000" w:themeColor="text1"/>
                      <w:kern w:val="2"/>
                      <w:sz w:val="18"/>
                      <w:szCs w:val="18"/>
                      <w:lang w:val="en-US" w:eastAsia="zh-CN" w:bidi="ar-SA"/>
                      <w14:textFill>
                        <w14:solidFill>
                          <w14:schemeClr w14:val="tx1"/>
                        </w14:solidFill>
                      </w14:textFill>
                    </w:rPr>
                  </w:pPr>
                  <w:r>
                    <w:rPr>
                      <w:rFonts w:hint="default" w:ascii="Times New Roman" w:hAnsi="Times New Roman" w:cs="Times New Roman"/>
                      <w:color w:val="000000" w:themeColor="text1"/>
                      <w:sz w:val="18"/>
                      <w:szCs w:val="18"/>
                      <w:lang w:val="en-US" w:eastAsia="zh-CN"/>
                      <w14:textFill>
                        <w14:solidFill>
                          <w14:schemeClr w14:val="tx1"/>
                        </w14:solidFill>
                      </w14:textFill>
                    </w:rPr>
                    <w:t>1.5</w:t>
                  </w:r>
                </w:p>
              </w:tc>
              <w:tc>
                <w:tcPr>
                  <w:tcW w:w="425"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18"/>
                      <w:szCs w:val="18"/>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无组织</w:t>
                  </w:r>
                </w:p>
              </w:tc>
              <w:tc>
                <w:tcPr>
                  <w:tcW w:w="1241"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18"/>
                      <w:szCs w:val="18"/>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油气回收系统、回收率95%</w:t>
                  </w:r>
                </w:p>
              </w:tc>
              <w:tc>
                <w:tcPr>
                  <w:tcW w:w="634"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18"/>
                      <w:szCs w:val="18"/>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可行</w:t>
                  </w:r>
                </w:p>
              </w:tc>
              <w:tc>
                <w:tcPr>
                  <w:tcW w:w="642"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0.0</w:t>
                  </w:r>
                  <w:r>
                    <w:rPr>
                      <w:rFonts w:hint="default" w:ascii="Times New Roman" w:hAnsi="Times New Roman" w:cs="Times New Roman"/>
                      <w:color w:val="000000" w:themeColor="text1"/>
                      <w:sz w:val="18"/>
                      <w:szCs w:val="18"/>
                      <w:lang w:val="en-US" w:eastAsia="zh-CN"/>
                      <w14:textFill>
                        <w14:solidFill>
                          <w14:schemeClr w14:val="tx1"/>
                        </w14:solidFill>
                      </w14:textFill>
                    </w:rPr>
                    <w:t>12</w:t>
                  </w:r>
                </w:p>
              </w:tc>
              <w:tc>
                <w:tcPr>
                  <w:tcW w:w="728"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18"/>
                      <w:szCs w:val="18"/>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w:t>
                  </w:r>
                </w:p>
              </w:tc>
              <w:tc>
                <w:tcPr>
                  <w:tcW w:w="757"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0.</w:t>
                  </w:r>
                  <w:r>
                    <w:rPr>
                      <w:rFonts w:hint="default" w:ascii="Times New Roman" w:hAnsi="Times New Roman" w:cs="Times New Roman"/>
                      <w:color w:val="000000" w:themeColor="text1"/>
                      <w:sz w:val="18"/>
                      <w:szCs w:val="18"/>
                      <w:lang w:val="en-US" w:eastAsia="zh-CN"/>
                      <w14:textFill>
                        <w14:solidFill>
                          <w14:schemeClr w14:val="tx1"/>
                        </w14:solidFill>
                      </w14:textFill>
                    </w:rPr>
                    <w:t>1035</w:t>
                  </w:r>
                </w:p>
              </w:tc>
              <w:tc>
                <w:tcPr>
                  <w:tcW w:w="710"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18"/>
                      <w:szCs w:val="18"/>
                      <w:u w:val="single"/>
                      <w14:textFill>
                        <w14:solidFill>
                          <w14:schemeClr w14:val="tx1"/>
                        </w14:solidFill>
                      </w14:textFill>
                    </w:rPr>
                  </w:pPr>
                  <w:r>
                    <w:rPr>
                      <w:rFonts w:hint="default" w:ascii="Times New Roman" w:hAnsi="Times New Roman" w:cs="Times New Roman"/>
                      <w:color w:val="000000" w:themeColor="text1"/>
                      <w:sz w:val="18"/>
                      <w:szCs w:val="18"/>
                      <w14:textFill>
                        <w14:solidFill>
                          <w14:schemeClr w14:val="tx1"/>
                        </w14:solidFill>
                      </w14:textFill>
                    </w:rPr>
                    <w:t>GB20952-2020</w:t>
                  </w:r>
                </w:p>
              </w:tc>
            </w:tr>
          </w:tbl>
          <w:p>
            <w:pPr>
              <w:pStyle w:val="36"/>
              <w:keepNext w:val="0"/>
              <w:keepLines w:val="0"/>
              <w:pageBreakBefore w:val="0"/>
              <w:widowControl w:val="0"/>
              <w:kinsoku/>
              <w:wordWrap/>
              <w:overflowPunct/>
              <w:topLinePunct w:val="0"/>
              <w:autoSpaceDE/>
              <w:autoSpaceDN/>
              <w:bidi w:val="0"/>
              <w:spacing w:line="480" w:lineRule="exac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由上表可知，非甲烷总烃无组织产生量为4t/a，无组织排放量为0.276t/a，排放速率为0.032kg/h。</w:t>
            </w:r>
          </w:p>
          <w:p>
            <w:pPr>
              <w:pStyle w:val="36"/>
              <w:keepNext w:val="0"/>
              <w:keepLines w:val="0"/>
              <w:pageBreakBefore w:val="0"/>
              <w:widowControl w:val="0"/>
              <w:kinsoku/>
              <w:wordWrap/>
              <w:overflowPunct/>
              <w:topLinePunct w:val="0"/>
              <w:autoSpaceDE/>
              <w:autoSpaceDN/>
              <w:bidi w:val="0"/>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1.2污染源排放情况</w:t>
            </w:r>
          </w:p>
          <w:p>
            <w:pPr>
              <w:pStyle w:val="36"/>
              <w:keepNext w:val="0"/>
              <w:keepLines w:val="0"/>
              <w:pageBreakBefore w:val="0"/>
              <w:widowControl w:val="0"/>
              <w:kinsoku/>
              <w:wordWrap/>
              <w:overflowPunct/>
              <w:topLinePunct w:val="0"/>
              <w:autoSpaceDE/>
              <w:autoSpaceDN/>
              <w:bidi w:val="0"/>
              <w:spacing w:line="480" w:lineRule="exac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本项目运营期产生废气包括卸油、加油及储油罐小呼吸产生的有机废气（以非甲烷总烃计）。</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①汽油卸油、加油过程产生的有机废气</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根据《散装液态石油产品损耗》（GB11085-89），汽油在卸油过程的损耗率0.2%、在加油过程损耗率为0.29%。项目针对汽油设置有卸油油气回收系统（即一次油气回收系统）和加油油气回收系统（二次油气回收系统），油气回收系统回收率95%。本项目</w:t>
            </w:r>
            <w:r>
              <w:rPr>
                <w:rFonts w:hint="default" w:ascii="Times New Roman" w:hAnsi="Times New Roman" w:cs="Times New Roman"/>
                <w:color w:val="000000" w:themeColor="text1"/>
                <w:sz w:val="24"/>
                <w:szCs w:val="24"/>
                <w:lang w:val="en-US" w:eastAsia="zh-CN"/>
                <w14:textFill>
                  <w14:solidFill>
                    <w14:schemeClr w14:val="tx1"/>
                  </w14:solidFill>
                </w14:textFill>
              </w:rPr>
              <w:t>新增</w:t>
            </w:r>
            <w:r>
              <w:rPr>
                <w:rFonts w:hint="default" w:ascii="Times New Roman" w:hAnsi="Times New Roman" w:cs="Times New Roman"/>
                <w:color w:val="000000" w:themeColor="text1"/>
                <w:sz w:val="24"/>
                <w:szCs w:val="24"/>
                <w14:textFill>
                  <w14:solidFill>
                    <w14:schemeClr w14:val="tx1"/>
                  </w14:solidFill>
                </w14:textFill>
              </w:rPr>
              <w:t>汽油年销售增加量为</w:t>
            </w:r>
            <w:r>
              <w:rPr>
                <w:rFonts w:hint="default" w:ascii="Times New Roman" w:hAnsi="Times New Roman" w:cs="Times New Roman"/>
                <w:color w:val="000000" w:themeColor="text1"/>
                <w:sz w:val="24"/>
                <w:szCs w:val="24"/>
                <w:lang w:val="en-US" w:eastAsia="zh-CN"/>
                <w14:textFill>
                  <w14:solidFill>
                    <w14:schemeClr w14:val="tx1"/>
                  </w14:solidFill>
                </w14:textFill>
              </w:rPr>
              <w:t>30</w:t>
            </w:r>
            <w:r>
              <w:rPr>
                <w:rFonts w:hint="default" w:ascii="Times New Roman" w:hAnsi="Times New Roman" w:cs="Times New Roman"/>
                <w:color w:val="000000" w:themeColor="text1"/>
                <w:sz w:val="24"/>
                <w:szCs w:val="24"/>
                <w14:textFill>
                  <w14:solidFill>
                    <w14:schemeClr w14:val="tx1"/>
                  </w14:solidFill>
                </w14:textFill>
              </w:rPr>
              <w:t>0t/a，汽油油气损耗量计算结果见下表。</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表31                     汽油油气损耗量计算结果表</w:t>
            </w:r>
          </w:p>
          <w:tbl>
            <w:tblPr>
              <w:tblStyle w:val="37"/>
              <w:tblW w:w="921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70"/>
              <w:gridCol w:w="1320"/>
              <w:gridCol w:w="1178"/>
              <w:gridCol w:w="1200"/>
              <w:gridCol w:w="1290"/>
              <w:gridCol w:w="1612"/>
              <w:gridCol w:w="134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407" w:hRule="atLeast"/>
                <w:jc w:val="center"/>
              </w:trPr>
              <w:tc>
                <w:tcPr>
                  <w:tcW w:w="127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项目</w:t>
                  </w:r>
                </w:p>
              </w:tc>
              <w:tc>
                <w:tcPr>
                  <w:tcW w:w="13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color w:val="000000" w:themeColor="text1"/>
                      <w:kern w:val="0"/>
                      <w:sz w:val="21"/>
                      <w:szCs w:val="21"/>
                      <w:lang w:val="en-US" w:eastAsia="zh-CN"/>
                      <w14:textFill>
                        <w14:solidFill>
                          <w14:schemeClr w14:val="tx1"/>
                        </w14:solidFill>
                      </w14:textFill>
                    </w:rPr>
                  </w:pPr>
                  <w:r>
                    <w:rPr>
                      <w:rFonts w:hint="default" w:ascii="Times New Roman" w:hAnsi="Times New Roman" w:cs="Times New Roman"/>
                      <w:b/>
                      <w:bCs/>
                      <w:color w:val="000000" w:themeColor="text1"/>
                      <w:kern w:val="0"/>
                      <w:sz w:val="21"/>
                      <w:szCs w:val="21"/>
                      <w:lang w:val="en-US" w:eastAsia="zh-CN"/>
                      <w14:textFill>
                        <w14:solidFill>
                          <w14:schemeClr w14:val="tx1"/>
                        </w14:solidFill>
                      </w14:textFill>
                    </w:rPr>
                    <w:t>汽油新增销售量</w:t>
                  </w:r>
                  <w:r>
                    <w:rPr>
                      <w:rFonts w:hint="default" w:ascii="Times New Roman" w:hAnsi="Times New Roman" w:cs="Times New Roman"/>
                      <w:color w:val="000000" w:themeColor="text1"/>
                      <w:sz w:val="24"/>
                      <w:szCs w:val="24"/>
                      <w14:textFill>
                        <w14:solidFill>
                          <w14:schemeClr w14:val="tx1"/>
                        </w14:solidFill>
                      </w14:textFill>
                    </w:rPr>
                    <w:t>t/a</w:t>
                  </w:r>
                </w:p>
              </w:tc>
              <w:tc>
                <w:tcPr>
                  <w:tcW w:w="11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损耗率</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w:t>
                  </w:r>
                </w:p>
              </w:tc>
              <w:tc>
                <w:tcPr>
                  <w:tcW w:w="12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损耗量</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t/a</w:t>
                  </w:r>
                </w:p>
              </w:tc>
              <w:tc>
                <w:tcPr>
                  <w:tcW w:w="129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油气回收率</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w:t>
                  </w:r>
                </w:p>
              </w:tc>
              <w:tc>
                <w:tcPr>
                  <w:tcW w:w="161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油气回收系统收集量t/a</w:t>
                  </w:r>
                </w:p>
              </w:tc>
              <w:tc>
                <w:tcPr>
                  <w:tcW w:w="134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油气排放量</w:t>
                  </w:r>
                </w:p>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7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卸油</w:t>
                  </w:r>
                </w:p>
              </w:tc>
              <w:tc>
                <w:tcPr>
                  <w:tcW w:w="13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300</w:t>
                  </w:r>
                </w:p>
              </w:tc>
              <w:tc>
                <w:tcPr>
                  <w:tcW w:w="11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0.2</w:t>
                  </w:r>
                </w:p>
              </w:tc>
              <w:tc>
                <w:tcPr>
                  <w:tcW w:w="12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1.6</w:t>
                  </w:r>
                </w:p>
              </w:tc>
              <w:tc>
                <w:tcPr>
                  <w:tcW w:w="129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95</w:t>
                  </w:r>
                </w:p>
              </w:tc>
              <w:tc>
                <w:tcPr>
                  <w:tcW w:w="161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1.52</w:t>
                  </w:r>
                </w:p>
              </w:tc>
              <w:tc>
                <w:tcPr>
                  <w:tcW w:w="134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0.08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7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加油零售</w:t>
                  </w:r>
                </w:p>
              </w:tc>
              <w:tc>
                <w:tcPr>
                  <w:tcW w:w="13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300</w:t>
                  </w:r>
                </w:p>
              </w:tc>
              <w:tc>
                <w:tcPr>
                  <w:tcW w:w="11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0.29</w:t>
                  </w:r>
                </w:p>
              </w:tc>
              <w:tc>
                <w:tcPr>
                  <w:tcW w:w="12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2.32</w:t>
                  </w:r>
                </w:p>
              </w:tc>
              <w:tc>
                <w:tcPr>
                  <w:tcW w:w="129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95</w:t>
                  </w:r>
                </w:p>
              </w:tc>
              <w:tc>
                <w:tcPr>
                  <w:tcW w:w="161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2.204</w:t>
                  </w:r>
                </w:p>
              </w:tc>
              <w:tc>
                <w:tcPr>
                  <w:tcW w:w="134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0.116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7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合计损耗量</w:t>
                  </w:r>
                </w:p>
              </w:tc>
              <w:tc>
                <w:tcPr>
                  <w:tcW w:w="132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w:t>
                  </w:r>
                </w:p>
              </w:tc>
              <w:tc>
                <w:tcPr>
                  <w:tcW w:w="11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w:t>
                  </w:r>
                </w:p>
              </w:tc>
              <w:tc>
                <w:tcPr>
                  <w:tcW w:w="12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1.47</w:t>
                  </w:r>
                </w:p>
              </w:tc>
              <w:tc>
                <w:tcPr>
                  <w:tcW w:w="129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w:t>
                  </w:r>
                </w:p>
              </w:tc>
              <w:tc>
                <w:tcPr>
                  <w:tcW w:w="161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1.3965</w:t>
                  </w:r>
                </w:p>
              </w:tc>
              <w:tc>
                <w:tcPr>
                  <w:tcW w:w="134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0.0735</w:t>
                  </w:r>
                </w:p>
              </w:tc>
            </w:tr>
          </w:tbl>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由上表可知，本项目汽油卸油、加油过程挥发产生的非甲烷总烃量为</w:t>
            </w:r>
            <w:r>
              <w:rPr>
                <w:rFonts w:hint="default" w:ascii="Times New Roman" w:hAnsi="Times New Roman" w:cs="Times New Roman"/>
                <w:color w:val="000000" w:themeColor="text1"/>
                <w:sz w:val="24"/>
                <w:szCs w:val="24"/>
                <w:lang w:val="en-US" w:eastAsia="zh-CN"/>
                <w14:textFill>
                  <w14:solidFill>
                    <w14:schemeClr w14:val="tx1"/>
                  </w14:solidFill>
                </w14:textFill>
              </w:rPr>
              <w:t>0.0735</w:t>
            </w:r>
            <w:r>
              <w:rPr>
                <w:rFonts w:hint="default" w:ascii="Times New Roman" w:hAnsi="Times New Roman" w:cs="Times New Roman"/>
                <w:color w:val="000000" w:themeColor="text1"/>
                <w:sz w:val="24"/>
                <w:szCs w:val="24"/>
                <w14:textFill>
                  <w14:solidFill>
                    <w14:schemeClr w14:val="tx1"/>
                  </w14:solidFill>
                </w14:textFill>
              </w:rPr>
              <w:t>t/a。</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②油罐小呼吸产生的有机废气</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根据《散装液态石油产品损耗》（GB11085-89），汽油在贮存（即小呼吸）过程的损耗率为0.01%。本项目汽油年销售增加量为</w:t>
            </w:r>
            <w:r>
              <w:rPr>
                <w:rFonts w:hint="default" w:ascii="Times New Roman" w:hAnsi="Times New Roman" w:cs="Times New Roman"/>
                <w:color w:val="000000" w:themeColor="text1"/>
                <w:sz w:val="24"/>
                <w:szCs w:val="24"/>
                <w:lang w:val="en-US" w:eastAsia="zh-CN"/>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00t/a，小呼吸损耗量计算结果见下表。</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表32                     小呼吸耗量计算结果表</w:t>
            </w:r>
          </w:p>
          <w:tbl>
            <w:tblPr>
              <w:tblStyle w:val="37"/>
              <w:tblW w:w="9213"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01"/>
              <w:gridCol w:w="2317"/>
              <w:gridCol w:w="1830"/>
              <w:gridCol w:w="1590"/>
              <w:gridCol w:w="167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项目</w:t>
                  </w:r>
                </w:p>
              </w:tc>
              <w:tc>
                <w:tcPr>
                  <w:tcW w:w="23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b/>
                      <w:bCs/>
                      <w:color w:val="000000" w:themeColor="text1"/>
                      <w:kern w:val="0"/>
                      <w:sz w:val="21"/>
                      <w:szCs w:val="21"/>
                      <w:lang w:val="en-US" w:eastAsia="zh-CN"/>
                      <w14:textFill>
                        <w14:solidFill>
                          <w14:schemeClr w14:val="tx1"/>
                        </w14:solidFill>
                      </w14:textFill>
                    </w:rPr>
                    <w:t>汽油新增销售量</w:t>
                  </w:r>
                  <w:r>
                    <w:rPr>
                      <w:rFonts w:hint="default" w:ascii="Times New Roman" w:hAnsi="Times New Roman" w:cs="Times New Roman"/>
                      <w:color w:val="000000" w:themeColor="text1"/>
                      <w:sz w:val="24"/>
                      <w:szCs w:val="24"/>
                      <w14:textFill>
                        <w14:solidFill>
                          <w14:schemeClr w14:val="tx1"/>
                        </w14:solidFill>
                      </w14:textFill>
                    </w:rPr>
                    <w:t>t/a</w:t>
                  </w:r>
                </w:p>
              </w:tc>
              <w:tc>
                <w:tcPr>
                  <w:tcW w:w="18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损耗率%</w:t>
                  </w:r>
                </w:p>
              </w:tc>
              <w:tc>
                <w:tcPr>
                  <w:tcW w:w="159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损耗量t/a</w:t>
                  </w:r>
                </w:p>
              </w:tc>
              <w:tc>
                <w:tcPr>
                  <w:tcW w:w="16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油气排放量t/a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8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汽油</w:t>
                  </w:r>
                </w:p>
              </w:tc>
              <w:tc>
                <w:tcPr>
                  <w:tcW w:w="23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300</w:t>
                  </w:r>
                </w:p>
              </w:tc>
              <w:tc>
                <w:tcPr>
                  <w:tcW w:w="18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0.01</w:t>
                  </w:r>
                </w:p>
              </w:tc>
              <w:tc>
                <w:tcPr>
                  <w:tcW w:w="159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0.0</w:t>
                  </w:r>
                  <w:r>
                    <w:rPr>
                      <w:rFonts w:hint="default" w:ascii="Times New Roman" w:hAnsi="Times New Roman" w:cs="Times New Roman"/>
                      <w:color w:val="000000" w:themeColor="text1"/>
                      <w:kern w:val="0"/>
                      <w:sz w:val="21"/>
                      <w:szCs w:val="21"/>
                      <w:lang w:val="en-US" w:eastAsia="zh-CN"/>
                      <w14:textFill>
                        <w14:solidFill>
                          <w14:schemeClr w14:val="tx1"/>
                        </w14:solidFill>
                      </w14:textFill>
                    </w:rPr>
                    <w:t>3</w:t>
                  </w:r>
                </w:p>
              </w:tc>
              <w:tc>
                <w:tcPr>
                  <w:tcW w:w="16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0.0</w:t>
                  </w:r>
                  <w:r>
                    <w:rPr>
                      <w:rFonts w:hint="default" w:ascii="Times New Roman" w:hAnsi="Times New Roman" w:cs="Times New Roman"/>
                      <w:color w:val="000000" w:themeColor="text1"/>
                      <w:kern w:val="0"/>
                      <w:sz w:val="21"/>
                      <w:szCs w:val="21"/>
                      <w:lang w:val="en-US" w:eastAsia="zh-CN"/>
                      <w14:textFill>
                        <w14:solidFill>
                          <w14:schemeClr w14:val="tx1"/>
                        </w14:solidFill>
                      </w14:textFill>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8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合计损耗量</w:t>
                  </w:r>
                </w:p>
              </w:tc>
              <w:tc>
                <w:tcPr>
                  <w:tcW w:w="23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w:t>
                  </w:r>
                </w:p>
              </w:tc>
              <w:tc>
                <w:tcPr>
                  <w:tcW w:w="18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w:t>
                  </w:r>
                </w:p>
              </w:tc>
              <w:tc>
                <w:tcPr>
                  <w:tcW w:w="159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eastAsia="zh-CN"/>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0.0</w:t>
                  </w:r>
                  <w:r>
                    <w:rPr>
                      <w:rFonts w:hint="default" w:ascii="Times New Roman" w:hAnsi="Times New Roman" w:cs="Times New Roman"/>
                      <w:color w:val="000000" w:themeColor="text1"/>
                      <w:kern w:val="0"/>
                      <w:sz w:val="21"/>
                      <w:szCs w:val="21"/>
                      <w:lang w:val="en-US" w:eastAsia="zh-CN"/>
                      <w14:textFill>
                        <w14:solidFill>
                          <w14:schemeClr w14:val="tx1"/>
                        </w14:solidFill>
                      </w14:textFill>
                    </w:rPr>
                    <w:t>3</w:t>
                  </w:r>
                </w:p>
              </w:tc>
              <w:tc>
                <w:tcPr>
                  <w:tcW w:w="167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0.0</w:t>
                  </w:r>
                  <w:r>
                    <w:rPr>
                      <w:rFonts w:hint="default" w:ascii="Times New Roman" w:hAnsi="Times New Roman" w:cs="Times New Roman"/>
                      <w:color w:val="000000" w:themeColor="text1"/>
                      <w:kern w:val="0"/>
                      <w:sz w:val="21"/>
                      <w:szCs w:val="21"/>
                      <w:lang w:val="en-US" w:eastAsia="zh-CN"/>
                      <w14:textFill>
                        <w14:solidFill>
                          <w14:schemeClr w14:val="tx1"/>
                        </w14:solidFill>
                      </w14:textFill>
                    </w:rPr>
                    <w:t>3</w:t>
                  </w:r>
                </w:p>
              </w:tc>
            </w:tr>
          </w:tbl>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由上表可知，油罐小呼</w:t>
            </w:r>
            <w:r>
              <w:rPr>
                <w:rFonts w:hint="default" w:ascii="Times New Roman" w:hAnsi="Times New Roman" w:eastAsia="宋体" w:cs="Times New Roman"/>
                <w:color w:val="000000" w:themeColor="text1"/>
                <w:sz w:val="24"/>
                <w:szCs w:val="24"/>
                <w14:textFill>
                  <w14:solidFill>
                    <w14:schemeClr w14:val="tx1"/>
                  </w14:solidFill>
                </w14:textFill>
              </w:rPr>
              <w:t>吸产生的非甲烷总烃量为0.0</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t/a。</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根据上述分析，本项目运营期油气产排情况见下表。</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表33                     项目油气产排情况一览表</w:t>
            </w:r>
          </w:p>
          <w:tbl>
            <w:tblPr>
              <w:tblStyle w:val="37"/>
              <w:tblW w:w="921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623"/>
              <w:gridCol w:w="1842"/>
              <w:gridCol w:w="2683"/>
              <w:gridCol w:w="206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项目</w:t>
                  </w:r>
                </w:p>
              </w:tc>
              <w:tc>
                <w:tcPr>
                  <w:tcW w:w="18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产生量t/a</w:t>
                  </w:r>
                </w:p>
              </w:tc>
              <w:tc>
                <w:tcPr>
                  <w:tcW w:w="26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油气回收系统收集量t/a</w:t>
                  </w:r>
                </w:p>
              </w:tc>
              <w:tc>
                <w:tcPr>
                  <w:tcW w:w="20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油气排放量t/a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汽油卸油、加油过程</w:t>
                  </w:r>
                </w:p>
              </w:tc>
              <w:tc>
                <w:tcPr>
                  <w:tcW w:w="18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1.47</w:t>
                  </w:r>
                </w:p>
              </w:tc>
              <w:tc>
                <w:tcPr>
                  <w:tcW w:w="26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1.3965</w:t>
                  </w:r>
                </w:p>
              </w:tc>
              <w:tc>
                <w:tcPr>
                  <w:tcW w:w="20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0.0735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油罐小呼吸</w:t>
                  </w:r>
                </w:p>
              </w:tc>
              <w:tc>
                <w:tcPr>
                  <w:tcW w:w="18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0.0</w:t>
                  </w: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3</w:t>
                  </w:r>
                </w:p>
              </w:tc>
              <w:tc>
                <w:tcPr>
                  <w:tcW w:w="26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w:t>
                  </w:r>
                </w:p>
              </w:tc>
              <w:tc>
                <w:tcPr>
                  <w:tcW w:w="20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0.0</w:t>
                  </w: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合计损耗量</w:t>
                  </w:r>
                </w:p>
              </w:tc>
              <w:tc>
                <w:tcPr>
                  <w:tcW w:w="18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1.5</w:t>
                  </w:r>
                </w:p>
              </w:tc>
              <w:tc>
                <w:tcPr>
                  <w:tcW w:w="268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1.3965</w:t>
                  </w:r>
                </w:p>
              </w:tc>
              <w:tc>
                <w:tcPr>
                  <w:tcW w:w="20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0.1035</w:t>
                  </w:r>
                </w:p>
              </w:tc>
            </w:tr>
          </w:tbl>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由上表可知，本项目运营期油气产生总量为</w:t>
            </w:r>
            <w:r>
              <w:rPr>
                <w:rFonts w:hint="default" w:ascii="Times New Roman" w:hAnsi="Times New Roman" w:cs="Times New Roman"/>
                <w:color w:val="000000" w:themeColor="text1"/>
                <w:sz w:val="24"/>
                <w:szCs w:val="24"/>
                <w:lang w:val="en-US" w:eastAsia="zh-CN"/>
                <w14:textFill>
                  <w14:solidFill>
                    <w14:schemeClr w14:val="tx1"/>
                  </w14:solidFill>
                </w14:textFill>
              </w:rPr>
              <w:t>1.5</w:t>
            </w:r>
            <w:r>
              <w:rPr>
                <w:rFonts w:hint="default" w:ascii="Times New Roman" w:hAnsi="Times New Roman" w:cs="Times New Roman"/>
                <w:color w:val="000000" w:themeColor="text1"/>
                <w:sz w:val="24"/>
                <w:szCs w:val="24"/>
                <w14:textFill>
                  <w14:solidFill>
                    <w14:schemeClr w14:val="tx1"/>
                  </w14:solidFill>
                </w14:textFill>
              </w:rPr>
              <w:t>t/a，损耗的油气经油气回收系统收集后，排放量为</w:t>
            </w:r>
            <w:r>
              <w:rPr>
                <w:rFonts w:hint="default" w:ascii="Times New Roman" w:hAnsi="Times New Roman" w:cs="Times New Roman"/>
                <w:color w:val="000000" w:themeColor="text1"/>
                <w:sz w:val="24"/>
                <w:szCs w:val="24"/>
                <w:lang w:val="en-US" w:eastAsia="zh-CN"/>
                <w14:textFill>
                  <w14:solidFill>
                    <w14:schemeClr w14:val="tx1"/>
                  </w14:solidFill>
                </w14:textFill>
              </w:rPr>
              <w:t>0.1035</w:t>
            </w:r>
            <w:r>
              <w:rPr>
                <w:rFonts w:hint="default" w:ascii="Times New Roman" w:hAnsi="Times New Roman" w:cs="Times New Roman"/>
                <w:color w:val="000000" w:themeColor="text1"/>
                <w:sz w:val="24"/>
                <w:szCs w:val="24"/>
                <w14:textFill>
                  <w14:solidFill>
                    <w14:schemeClr w14:val="tx1"/>
                  </w14:solidFill>
                </w14:textFill>
              </w:rPr>
              <w:t>t/a。本项目运营时间365d/a，每天24h，则排放速率</w:t>
            </w:r>
            <w:r>
              <w:rPr>
                <w:rFonts w:hint="default" w:ascii="Times New Roman" w:hAnsi="Times New Roman" w:cs="Times New Roman"/>
                <w:color w:val="000000" w:themeColor="text1"/>
                <w:sz w:val="24"/>
                <w:szCs w:val="24"/>
                <w:lang w:val="en-US" w:eastAsia="zh-CN"/>
                <w14:textFill>
                  <w14:solidFill>
                    <w14:schemeClr w14:val="tx1"/>
                  </w14:solidFill>
                </w14:textFill>
              </w:rPr>
              <w:t>0.012</w:t>
            </w:r>
            <w:r>
              <w:rPr>
                <w:rFonts w:hint="default" w:ascii="Times New Roman" w:hAnsi="Times New Roman" w:cs="Times New Roman"/>
                <w:color w:val="000000" w:themeColor="text1"/>
                <w:sz w:val="24"/>
                <w:szCs w:val="24"/>
                <w14:textFill>
                  <w14:solidFill>
                    <w14:schemeClr w14:val="tx1"/>
                  </w14:solidFill>
                </w14:textFill>
              </w:rPr>
              <w:t>kg/h。</w:t>
            </w:r>
          </w:p>
          <w:p>
            <w:pPr>
              <w:pStyle w:val="36"/>
              <w:keepNext w:val="0"/>
              <w:keepLines w:val="0"/>
              <w:pageBreakBefore w:val="0"/>
              <w:widowControl w:val="0"/>
              <w:kinsoku/>
              <w:wordWrap/>
              <w:overflowPunct/>
              <w:topLinePunct w:val="0"/>
              <w:autoSpaceDE/>
              <w:autoSpaceDN/>
              <w:bidi w:val="0"/>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1.3废气治理措施可行性分析</w:t>
            </w:r>
          </w:p>
          <w:p>
            <w:pPr>
              <w:pStyle w:val="36"/>
              <w:keepNext w:val="0"/>
              <w:keepLines w:val="0"/>
              <w:pageBreakBefore w:val="0"/>
              <w:widowControl w:val="0"/>
              <w:kinsoku/>
              <w:wordWrap/>
              <w:overflowPunct/>
              <w:topLinePunct w:val="0"/>
              <w:autoSpaceDE/>
              <w:autoSpaceDN/>
              <w:bidi w:val="0"/>
              <w:spacing w:line="480" w:lineRule="exact"/>
              <w:textAlignment w:val="auto"/>
              <w:rPr>
                <w:rFonts w:hint="default" w:ascii="Times New Roman" w:hAnsi="Times New Roman" w:cs="Times New Roman"/>
                <w:b/>
                <w:bCs/>
                <w:color w:val="000000" w:themeColor="text1"/>
                <w:sz w:val="24"/>
                <w:szCs w:val="24"/>
                <w:u w:val="single"/>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根据《排污许可证申请与核发技术规范-储油库、加油站》（HJ1118-2020）附录 F，加油站排污单位污染治理措施可行性技术包含油气回收系统，本项目采用油气回收系统对卸油及加油过程中产生的有机废气（以非甲烷总烃计）进行收集处理。经采用油气回收系统，可有效降低营运期产生的非甲烷总烃对周围环境的影响，最终非甲烷总烃排放量为0.</w:t>
            </w:r>
            <w:r>
              <w:rPr>
                <w:rFonts w:hint="default" w:ascii="Times New Roman" w:hAnsi="Times New Roman" w:cs="Times New Roman"/>
                <w:color w:val="000000" w:themeColor="text1"/>
                <w:sz w:val="24"/>
                <w:szCs w:val="24"/>
                <w:lang w:val="en-US" w:eastAsia="zh-CN"/>
                <w14:textFill>
                  <w14:solidFill>
                    <w14:schemeClr w14:val="tx1"/>
                  </w14:solidFill>
                </w14:textFill>
              </w:rPr>
              <w:t>1035</w:t>
            </w:r>
            <w:r>
              <w:rPr>
                <w:rFonts w:hint="default" w:ascii="Times New Roman" w:hAnsi="Times New Roman" w:cs="Times New Roman"/>
                <w:color w:val="000000" w:themeColor="text1"/>
                <w:sz w:val="24"/>
                <w:szCs w:val="24"/>
                <w14:textFill>
                  <w14:solidFill>
                    <w14:schemeClr w14:val="tx1"/>
                  </w14:solidFill>
                </w14:textFill>
              </w:rPr>
              <w:t>t/a，排放速率为0.0</w:t>
            </w:r>
            <w:r>
              <w:rPr>
                <w:rFonts w:hint="default" w:ascii="Times New Roman" w:hAnsi="Times New Roman" w:cs="Times New Roman"/>
                <w:color w:val="000000" w:themeColor="text1"/>
                <w:sz w:val="24"/>
                <w:szCs w:val="24"/>
                <w:lang w:val="en-US" w:eastAsia="zh-CN"/>
                <w14:textFill>
                  <w14:solidFill>
                    <w14:schemeClr w14:val="tx1"/>
                  </w14:solidFill>
                </w14:textFill>
              </w:rPr>
              <w:t>12</w:t>
            </w:r>
            <w:r>
              <w:rPr>
                <w:rFonts w:hint="default" w:ascii="Times New Roman" w:hAnsi="Times New Roman" w:cs="Times New Roman"/>
                <w:color w:val="000000" w:themeColor="text1"/>
                <w:sz w:val="24"/>
                <w:szCs w:val="24"/>
                <w14:textFill>
                  <w14:solidFill>
                    <w14:schemeClr w14:val="tx1"/>
                  </w14:solidFill>
                </w14:textFill>
              </w:rPr>
              <w:t>kg/h，措施合理可行。</w:t>
            </w:r>
          </w:p>
          <w:p>
            <w:pPr>
              <w:pStyle w:val="36"/>
              <w:keepNext w:val="0"/>
              <w:keepLines w:val="0"/>
              <w:pageBreakBefore w:val="0"/>
              <w:widowControl w:val="0"/>
              <w:kinsoku/>
              <w:wordWrap/>
              <w:overflowPunct/>
              <w:topLinePunct w:val="0"/>
              <w:autoSpaceDE/>
              <w:autoSpaceDN/>
              <w:bidi w:val="0"/>
              <w:spacing w:line="480" w:lineRule="exact"/>
              <w:ind w:firstLine="482" w:firstLineChars="200"/>
              <w:textAlignment w:val="auto"/>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1.4</w:t>
            </w:r>
            <w:r>
              <w:rPr>
                <w:rFonts w:hint="default" w:ascii="Times New Roman" w:hAnsi="Times New Roman" w:eastAsia="宋体" w:cs="Times New Roman"/>
                <w:b/>
                <w:bCs/>
                <w:color w:val="000000" w:themeColor="text1"/>
                <w:sz w:val="24"/>
                <w:szCs w:val="24"/>
                <w14:textFill>
                  <w14:solidFill>
                    <w14:schemeClr w14:val="tx1"/>
                  </w14:solidFill>
                </w14:textFill>
              </w:rPr>
              <w:t>大气污染物排放量核算</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表34        大气污染物无组织排放量核算表</w:t>
            </w:r>
          </w:p>
          <w:tbl>
            <w:tblPr>
              <w:tblStyle w:val="37"/>
              <w:tblW w:w="923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6"/>
              <w:gridCol w:w="1323"/>
              <w:gridCol w:w="647"/>
              <w:gridCol w:w="1319"/>
              <w:gridCol w:w="3505"/>
              <w:gridCol w:w="1121"/>
              <w:gridCol w:w="89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t>序号</w:t>
                  </w:r>
                </w:p>
              </w:tc>
              <w:tc>
                <w:tcPr>
                  <w:tcW w:w="1323"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t>产污环节</w:t>
                  </w:r>
                </w:p>
              </w:tc>
              <w:tc>
                <w:tcPr>
                  <w:tcW w:w="647"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t>污染物</w:t>
                  </w:r>
                </w:p>
              </w:tc>
              <w:tc>
                <w:tcPr>
                  <w:tcW w:w="1319"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t>主要污染防治措施</w:t>
                  </w:r>
                </w:p>
              </w:tc>
              <w:tc>
                <w:tcPr>
                  <w:tcW w:w="4626"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t>国家或地方污染物排放标准</w:t>
                  </w:r>
                </w:p>
              </w:tc>
              <w:tc>
                <w:tcPr>
                  <w:tcW w:w="895" w:type="dxa"/>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t>排放量（t/a）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pPr>
                </w:p>
              </w:tc>
              <w:tc>
                <w:tcPr>
                  <w:tcW w:w="1323"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pPr>
                </w:p>
              </w:tc>
              <w:tc>
                <w:tcPr>
                  <w:tcW w:w="647"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pPr>
                </w:p>
              </w:tc>
              <w:tc>
                <w:tcPr>
                  <w:tcW w:w="1319"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pPr>
                </w:p>
              </w:tc>
              <w:tc>
                <w:tcPr>
                  <w:tcW w:w="3505"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t>标准名称</w:t>
                  </w:r>
                </w:p>
              </w:tc>
              <w:tc>
                <w:tcPr>
                  <w:tcW w:w="1121"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t>浓度限值</w:t>
                  </w:r>
                </w:p>
              </w:tc>
              <w:tc>
                <w:tcPr>
                  <w:tcW w:w="895" w:type="dxa"/>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t>1</w:t>
                  </w:r>
                </w:p>
              </w:tc>
              <w:tc>
                <w:tcPr>
                  <w:tcW w:w="1323"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zh-CN" w:eastAsia="zh-CN"/>
                      <w14:textFill>
                        <w14:solidFill>
                          <w14:schemeClr w14:val="tx1"/>
                        </w14:solidFill>
                      </w14:textFill>
                    </w:rPr>
                  </w:pPr>
                  <w:r>
                    <w:rPr>
                      <w:rFonts w:hint="default" w:ascii="Times New Roman" w:hAnsi="Times New Roman" w:cs="Times New Roman"/>
                      <w:color w:val="000000" w:themeColor="text1"/>
                      <w:sz w:val="21"/>
                      <w:szCs w:val="21"/>
                      <w:highlight w:val="none"/>
                      <w:u w:val="none" w:color="auto"/>
                      <w14:textFill>
                        <w14:solidFill>
                          <w14:schemeClr w14:val="tx1"/>
                        </w14:solidFill>
                      </w14:textFill>
                    </w:rPr>
                    <w:t>油罐大小呼吸、加油作业等过程</w:t>
                  </w:r>
                </w:p>
              </w:tc>
              <w:tc>
                <w:tcPr>
                  <w:tcW w:w="647"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pPr>
                  <w:r>
                    <w:rPr>
                      <w:rFonts w:hint="default" w:ascii="Times New Roman" w:hAnsi="Times New Roman" w:eastAsia="宋体" w:cs="Times New Roman"/>
                      <w:color w:val="000000" w:themeColor="text1"/>
                      <w:spacing w:val="0"/>
                      <w:sz w:val="21"/>
                      <w:szCs w:val="21"/>
                      <w:lang w:val="en-US" w:eastAsia="zh-CN"/>
                      <w14:textFill>
                        <w14:solidFill>
                          <w14:schemeClr w14:val="tx1"/>
                        </w14:solidFill>
                      </w14:textFill>
                    </w:rPr>
                    <w:t>非甲烷总烃</w:t>
                  </w:r>
                </w:p>
              </w:tc>
              <w:tc>
                <w:tcPr>
                  <w:tcW w:w="1319"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油罐密闭、</w:t>
                  </w:r>
                  <w:r>
                    <w:rPr>
                      <w:rFonts w:hint="default" w:ascii="Times New Roman" w:hAnsi="Times New Roman" w:cs="Times New Roman"/>
                      <w:color w:val="000000" w:themeColor="text1"/>
                      <w:sz w:val="21"/>
                      <w:szCs w:val="21"/>
                      <w:highlight w:val="none"/>
                      <w:u w:val="none" w:color="auto"/>
                      <w:lang w:eastAsia="zh-CN"/>
                      <w14:textFill>
                        <w14:solidFill>
                          <w14:schemeClr w14:val="tx1"/>
                        </w14:solidFill>
                      </w14:textFill>
                    </w:rPr>
                    <w:t>装卸油、</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加油</w:t>
                  </w:r>
                  <w:r>
                    <w:rPr>
                      <w:rFonts w:hint="default" w:ascii="Times New Roman" w:hAnsi="Times New Roman" w:cs="Times New Roman"/>
                      <w:color w:val="000000" w:themeColor="text1"/>
                      <w:sz w:val="21"/>
                      <w:szCs w:val="21"/>
                      <w:highlight w:val="none"/>
                      <w:u w:val="none" w:color="auto"/>
                      <w:lang w:eastAsia="zh-CN"/>
                      <w14:textFill>
                        <w14:solidFill>
                          <w14:schemeClr w14:val="tx1"/>
                        </w14:solidFill>
                      </w14:textFill>
                    </w:rPr>
                    <w:t>过程</w:t>
                  </w:r>
                  <w:r>
                    <w:rPr>
                      <w:rFonts w:hint="default" w:ascii="Times New Roman" w:hAnsi="Times New Roman" w:cs="Times New Roman"/>
                      <w:color w:val="000000" w:themeColor="text1"/>
                      <w:sz w:val="21"/>
                      <w:szCs w:val="21"/>
                      <w:highlight w:val="none"/>
                      <w:u w:val="none" w:color="auto"/>
                      <w:lang w:val="en-US" w:eastAsia="zh-CN"/>
                      <w14:textFill>
                        <w14:solidFill>
                          <w14:schemeClr w14:val="tx1"/>
                        </w14:solidFill>
                      </w14:textFill>
                    </w:rPr>
                    <w:t>采取</w:t>
                  </w:r>
                  <w:r>
                    <w:rPr>
                      <w:rFonts w:hint="default" w:ascii="Times New Roman" w:hAnsi="Times New Roman" w:cs="Times New Roman"/>
                      <w:color w:val="000000" w:themeColor="text1"/>
                      <w:sz w:val="21"/>
                      <w:szCs w:val="21"/>
                      <w:highlight w:val="none"/>
                      <w:u w:val="none" w:color="auto"/>
                      <w:lang w:eastAsia="zh-CN"/>
                      <w14:textFill>
                        <w14:solidFill>
                          <w14:schemeClr w14:val="tx1"/>
                        </w14:solidFill>
                      </w14:textFill>
                    </w:rPr>
                    <w:t>油气回收</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等</w:t>
                  </w:r>
                </w:p>
              </w:tc>
              <w:tc>
                <w:tcPr>
                  <w:tcW w:w="3505"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《加油站大气污染物排放标准》（GB20952-2020）</w:t>
                  </w:r>
                  <w:r>
                    <w:rPr>
                      <w:rFonts w:hint="default" w:ascii="Times New Roman" w:hAnsi="Times New Roman" w:eastAsia="宋体" w:cs="Times New Roman"/>
                      <w:b w:val="0"/>
                      <w:bCs w:val="0"/>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《全省开展工业企业挥发性有机物专项治理工作中排放建议值》（豫环攻坚办〔2017〕162 号）</w:t>
                  </w:r>
                </w:p>
              </w:tc>
              <w:tc>
                <w:tcPr>
                  <w:tcW w:w="1121"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ind w:firstLine="0" w:firstLineChars="0"/>
                    <w:jc w:val="both"/>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2.0</w:t>
                  </w:r>
                  <w:r>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t>mg/</w:t>
                  </w:r>
                  <w:r>
                    <w:rPr>
                      <w:rFonts w:hint="default" w:ascii="Times New Roman" w:hAnsi="Times New Roman" w:eastAsia="宋体" w:cs="Times New Roman"/>
                      <w:color w:val="000000" w:themeColor="text1"/>
                      <w:sz w:val="21"/>
                      <w:szCs w:val="21"/>
                      <w:u w:val="none" w:color="auto"/>
                      <w:lang w:val="zh-CN" w:eastAsia="zh-CN"/>
                      <w14:textFill>
                        <w14:solidFill>
                          <w14:schemeClr w14:val="tx1"/>
                        </w14:solidFill>
                      </w14:textFill>
                    </w:rPr>
                    <w:t>m</w:t>
                  </w:r>
                  <w:r>
                    <w:rPr>
                      <w:rFonts w:hint="default" w:ascii="Times New Roman" w:hAnsi="Times New Roman" w:eastAsia="宋体" w:cs="Times New Roman"/>
                      <w:color w:val="000000" w:themeColor="text1"/>
                      <w:sz w:val="21"/>
                      <w:szCs w:val="21"/>
                      <w:u w:val="none" w:color="auto"/>
                      <w:vertAlign w:val="superscript"/>
                      <w:lang w:val="zh-CN" w:eastAsia="zh-CN"/>
                      <w14:textFill>
                        <w14:solidFill>
                          <w14:schemeClr w14:val="tx1"/>
                        </w14:solidFill>
                      </w14:textFill>
                    </w:rPr>
                    <w:t>3</w:t>
                  </w:r>
                </w:p>
              </w:tc>
              <w:tc>
                <w:tcPr>
                  <w:tcW w:w="895" w:type="dxa"/>
                  <w:noWrap w:val="0"/>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0.1035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49"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pPr>
                  <w:r>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t>无组织排放总计</w:t>
                  </w:r>
                </w:p>
              </w:tc>
              <w:tc>
                <w:tcPr>
                  <w:tcW w:w="5471" w:type="dxa"/>
                  <w:gridSpan w:val="3"/>
                  <w:noWrap w:val="0"/>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zh-CN"/>
                      <w14:textFill>
                        <w14:solidFill>
                          <w14:schemeClr w14:val="tx1"/>
                        </w14:solidFill>
                      </w14:textFill>
                    </w:rPr>
                  </w:pPr>
                  <w:r>
                    <w:rPr>
                      <w:rFonts w:hint="default" w:ascii="Times New Roman" w:hAnsi="Times New Roman" w:eastAsia="宋体" w:cs="Times New Roman"/>
                      <w:color w:val="000000" w:themeColor="text1"/>
                      <w:spacing w:val="0"/>
                      <w:sz w:val="21"/>
                      <w:szCs w:val="21"/>
                      <w:lang w:val="en-US" w:eastAsia="zh-CN"/>
                      <w14:textFill>
                        <w14:solidFill>
                          <w14:schemeClr w14:val="tx1"/>
                        </w14:solidFill>
                      </w14:textFill>
                    </w:rPr>
                    <w:t>非甲烷总烃</w:t>
                  </w:r>
                </w:p>
              </w:tc>
              <w:tc>
                <w:tcPr>
                  <w:tcW w:w="2016" w:type="dxa"/>
                  <w:gridSpan w:val="2"/>
                  <w:noWrap w:val="0"/>
                  <w:vAlign w:val="center"/>
                </w:tcPr>
                <w:p>
                  <w:pPr>
                    <w:keepNext w:val="0"/>
                    <w:keepLines w:val="0"/>
                    <w:pageBreakBefore w:val="0"/>
                    <w:widowControl w:val="0"/>
                    <w:kinsoku/>
                    <w:wordWrap/>
                    <w:overflowPunct/>
                    <w:topLinePunct w:val="0"/>
                    <w:autoSpaceDE w:val="0"/>
                    <w:autoSpaceDN w:val="0"/>
                    <w:bidi w:val="0"/>
                    <w:adjustRightInd w:val="0"/>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0.1035</w:t>
                  </w:r>
                  <w:r>
                    <w:rPr>
                      <w:rFonts w:hint="default" w:ascii="Times New Roman" w:hAnsi="Times New Roman" w:eastAsia="宋体" w:cs="Times New Roman"/>
                      <w:color w:val="000000" w:themeColor="text1"/>
                      <w:sz w:val="21"/>
                      <w:szCs w:val="21"/>
                      <w:u w:val="none" w:color="auto"/>
                      <w:lang w:val="en-US" w:eastAsia="zh-CN"/>
                      <w14:textFill>
                        <w14:solidFill>
                          <w14:schemeClr w14:val="tx1"/>
                        </w14:solidFill>
                      </w14:textFill>
                    </w:rPr>
                    <w:t xml:space="preserve"> t/a</w:t>
                  </w:r>
                </w:p>
              </w:tc>
            </w:tr>
          </w:tbl>
          <w:p>
            <w:pPr>
              <w:pStyle w:val="36"/>
              <w:keepNext w:val="0"/>
              <w:keepLines w:val="0"/>
              <w:pageBreakBefore w:val="0"/>
              <w:widowControl w:val="0"/>
              <w:kinsoku/>
              <w:wordWrap/>
              <w:overflowPunct/>
              <w:topLinePunct w:val="0"/>
              <w:autoSpaceDE/>
              <w:autoSpaceDN/>
              <w:bidi w:val="0"/>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1.</w:t>
            </w:r>
            <w:r>
              <w:rPr>
                <w:rFonts w:hint="default" w:ascii="Times New Roman" w:hAnsi="Times New Roman" w:cs="Times New Roman"/>
                <w:b/>
                <w:bCs/>
                <w:color w:val="000000" w:themeColor="text1"/>
                <w:sz w:val="24"/>
                <w:szCs w:val="24"/>
                <w:lang w:val="en-US" w:eastAsia="zh-CN"/>
                <w14:textFill>
                  <w14:solidFill>
                    <w14:schemeClr w14:val="tx1"/>
                  </w14:solidFill>
                </w14:textFill>
              </w:rPr>
              <w:t>5</w:t>
            </w:r>
            <w:r>
              <w:rPr>
                <w:rFonts w:hint="default" w:ascii="Times New Roman" w:hAnsi="Times New Roman" w:cs="Times New Roman"/>
                <w:b/>
                <w:bCs/>
                <w:color w:val="000000" w:themeColor="text1"/>
                <w:sz w:val="24"/>
                <w:szCs w:val="24"/>
                <w14:textFill>
                  <w14:solidFill>
                    <w14:schemeClr w14:val="tx1"/>
                  </w14:solidFill>
                </w14:textFill>
              </w:rPr>
              <w:t>自行监测要求</w:t>
            </w:r>
          </w:p>
          <w:p>
            <w:pPr>
              <w:pStyle w:val="36"/>
              <w:keepNext w:val="0"/>
              <w:keepLines w:val="0"/>
              <w:pageBreakBefore w:val="0"/>
              <w:widowControl w:val="0"/>
              <w:kinsoku/>
              <w:wordWrap/>
              <w:overflowPunct/>
              <w:topLinePunct w:val="0"/>
              <w:autoSpaceDE/>
              <w:autoSpaceDN/>
              <w:bidi w:val="0"/>
              <w:spacing w:line="480" w:lineRule="exac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根据《排污许可证申请与核发技术规范-储油库、加油站》（HJ1118-2020）和本项目废气排放情况，本项目大气监测计划见下表。</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表35                     项目油气产排情况一览表</w:t>
            </w:r>
          </w:p>
          <w:tbl>
            <w:tblPr>
              <w:tblStyle w:val="37"/>
              <w:tblW w:w="920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53"/>
              <w:gridCol w:w="1587"/>
              <w:gridCol w:w="1121"/>
              <w:gridCol w:w="52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25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监测点位</w:t>
                  </w:r>
                </w:p>
              </w:tc>
              <w:tc>
                <w:tcPr>
                  <w:tcW w:w="15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监测项目</w:t>
                  </w:r>
                </w:p>
              </w:tc>
              <w:tc>
                <w:tcPr>
                  <w:tcW w:w="11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监测频次</w:t>
                  </w:r>
                </w:p>
              </w:tc>
              <w:tc>
                <w:tcPr>
                  <w:tcW w:w="524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125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油气回收系统</w:t>
                  </w:r>
                </w:p>
              </w:tc>
              <w:tc>
                <w:tcPr>
                  <w:tcW w:w="15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snapToGrid w:val="0"/>
                      <w:color w:val="000000" w:themeColor="text1"/>
                      <w:kern w:val="0"/>
                      <w:sz w:val="21"/>
                      <w:szCs w:val="21"/>
                      <w14:textFill>
                        <w14:solidFill>
                          <w14:schemeClr w14:val="tx1"/>
                        </w14:solidFill>
                      </w14:textFill>
                    </w:rPr>
                  </w:pPr>
                  <w:r>
                    <w:rPr>
                      <w:rFonts w:hint="default" w:ascii="Times New Roman" w:hAnsi="Times New Roman" w:cs="Times New Roman"/>
                      <w:snapToGrid w:val="0"/>
                      <w:color w:val="000000" w:themeColor="text1"/>
                      <w:kern w:val="0"/>
                      <w:sz w:val="21"/>
                      <w:szCs w:val="21"/>
                      <w14:textFill>
                        <w14:solidFill>
                          <w14:schemeClr w14:val="tx1"/>
                        </w14:solidFill>
                      </w14:textFill>
                    </w:rPr>
                    <w:t>气液比、液阻、密闭性</w:t>
                  </w:r>
                </w:p>
              </w:tc>
              <w:tc>
                <w:tcPr>
                  <w:tcW w:w="11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1次/年</w:t>
                  </w:r>
                </w:p>
              </w:tc>
              <w:tc>
                <w:tcPr>
                  <w:tcW w:w="524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《加油站大气污染物排放标准》（GB20952-2020）、《全省开展工业企业挥发性有机物专项治理工作中排放建议值》（豫环攻坚办〔2017〕162 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24" w:hRule="atLeast"/>
                <w:jc w:val="center"/>
              </w:trPr>
              <w:tc>
                <w:tcPr>
                  <w:tcW w:w="1253" w:type="dxa"/>
                  <w:tcBorders>
                    <w:tl2br w:val="nil"/>
                    <w:tr2bl w:val="nil"/>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企业边界</w:t>
                  </w:r>
                </w:p>
              </w:tc>
              <w:tc>
                <w:tcPr>
                  <w:tcW w:w="158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snapToGrid w:val="0"/>
                      <w:color w:val="000000" w:themeColor="text1"/>
                      <w:kern w:val="0"/>
                      <w:sz w:val="21"/>
                      <w:szCs w:val="21"/>
                      <w14:textFill>
                        <w14:solidFill>
                          <w14:schemeClr w14:val="tx1"/>
                        </w14:solidFill>
                      </w14:textFill>
                    </w:rPr>
                    <w:t>挥发性有机物</w:t>
                  </w:r>
                </w:p>
              </w:tc>
              <w:tc>
                <w:tcPr>
                  <w:tcW w:w="11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1次/年</w:t>
                  </w:r>
                </w:p>
              </w:tc>
              <w:tc>
                <w:tcPr>
                  <w:tcW w:w="524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p>
              </w:tc>
            </w:tr>
          </w:tbl>
          <w:p>
            <w:pPr>
              <w:pStyle w:val="36"/>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1.</w:t>
            </w:r>
            <w:r>
              <w:rPr>
                <w:rFonts w:hint="default" w:ascii="Times New Roman" w:hAnsi="Times New Roman" w:cs="Times New Roman"/>
                <w:b/>
                <w:bCs/>
                <w:color w:val="000000" w:themeColor="text1"/>
                <w:sz w:val="24"/>
                <w:szCs w:val="24"/>
                <w:lang w:val="en-US" w:eastAsia="zh-CN"/>
                <w14:textFill>
                  <w14:solidFill>
                    <w14:schemeClr w14:val="tx1"/>
                  </w14:solidFill>
                </w14:textFill>
              </w:rPr>
              <w:t>6</w:t>
            </w:r>
            <w:r>
              <w:rPr>
                <w:rFonts w:hint="default" w:ascii="Times New Roman" w:hAnsi="Times New Roman" w:cs="Times New Roman"/>
                <w:b/>
                <w:bCs/>
                <w:color w:val="000000" w:themeColor="text1"/>
                <w:sz w:val="24"/>
                <w:szCs w:val="24"/>
                <w14:textFill>
                  <w14:solidFill>
                    <w14:schemeClr w14:val="tx1"/>
                  </w14:solidFill>
                </w14:textFill>
              </w:rPr>
              <w:t>废气环境影响分析结论</w:t>
            </w:r>
          </w:p>
          <w:p>
            <w:pPr>
              <w:pStyle w:val="36"/>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项目位于漯河市经济技术产业集聚区（含漯河经济开发区）</w:t>
            </w:r>
            <w:r>
              <w:rPr>
                <w:rFonts w:hint="default" w:ascii="Times New Roman" w:hAnsi="Times New Roman" w:cs="Times New Roman"/>
                <w:color w:val="000000" w:themeColor="text1"/>
                <w:sz w:val="24"/>
                <w:szCs w:val="24"/>
                <w:lang w:eastAsia="zh-CN"/>
                <w14:textFill>
                  <w14:solidFill>
                    <w14:schemeClr w14:val="tx1"/>
                  </w14:solidFill>
                </w14:textFill>
              </w:rPr>
              <w:t>燕山南路与漳江东路交叉口往西北约210米</w:t>
            </w:r>
            <w:r>
              <w:rPr>
                <w:rFonts w:hint="default" w:ascii="Times New Roman" w:hAnsi="Times New Roman" w:cs="Times New Roman"/>
                <w:color w:val="000000" w:themeColor="text1"/>
                <w:sz w:val="24"/>
                <w:szCs w:val="24"/>
                <w14:textFill>
                  <w14:solidFill>
                    <w14:schemeClr w14:val="tx1"/>
                  </w14:solidFill>
                </w14:textFill>
              </w:rPr>
              <w:t>，该区域环境空气属于二类，项目所在区域环境质量为不达标区。本项目营运期针对废气采取的措施为：卸油及加油过程中产生的有机废气（以非甲烷总烃计）采用油气回收系统处理，本项目废气排放对区域环境影响较小，在可接受范围内。</w:t>
            </w:r>
          </w:p>
          <w:p>
            <w:pPr>
              <w:pStyle w:val="36"/>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2、废水</w:t>
            </w:r>
          </w:p>
          <w:p>
            <w:pPr>
              <w:pStyle w:val="36"/>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000000" w:themeColor="text1"/>
                <w:spacing w:val="-4"/>
                <w:sz w:val="24"/>
                <w:szCs w:val="24"/>
                <w14:textFill>
                  <w14:solidFill>
                    <w14:schemeClr w14:val="tx1"/>
                  </w14:solidFill>
                </w14:textFill>
              </w:rPr>
            </w:pPr>
            <w:r>
              <w:rPr>
                <w:rFonts w:hint="default" w:ascii="Times New Roman" w:hAnsi="Times New Roman" w:cs="Times New Roman"/>
                <w:color w:val="000000" w:themeColor="text1"/>
                <w:spacing w:val="-4"/>
                <w:sz w:val="24"/>
                <w:szCs w:val="24"/>
                <w14:textFill>
                  <w14:solidFill>
                    <w14:schemeClr w14:val="tx1"/>
                  </w14:solidFill>
                </w14:textFill>
              </w:rPr>
              <w:t>改扩建项目不新增员工，</w:t>
            </w:r>
            <w:r>
              <w:rPr>
                <w:rFonts w:hint="default" w:ascii="Times New Roman" w:hAnsi="Times New Roman" w:cs="Times New Roman"/>
                <w:color w:val="000000" w:themeColor="text1"/>
                <w:spacing w:val="-4"/>
                <w:sz w:val="24"/>
                <w:szCs w:val="24"/>
                <w:lang w:val="en-US" w:eastAsia="zh-CN"/>
                <w14:textFill>
                  <w14:solidFill>
                    <w14:schemeClr w14:val="tx1"/>
                  </w14:solidFill>
                </w14:textFill>
              </w:rPr>
              <w:t>因此不新增职工生活用水和生活污水量，</w:t>
            </w:r>
            <w:r>
              <w:rPr>
                <w:rFonts w:hint="default" w:ascii="Times New Roman" w:hAnsi="Times New Roman" w:cs="Times New Roman"/>
                <w:color w:val="000000" w:themeColor="text1"/>
                <w:spacing w:val="-4"/>
                <w:sz w:val="24"/>
                <w:szCs w:val="24"/>
                <w14:textFill>
                  <w14:solidFill>
                    <w14:schemeClr w14:val="tx1"/>
                  </w14:solidFill>
                </w14:textFill>
              </w:rPr>
              <w:t>用水主要为</w:t>
            </w:r>
            <w:r>
              <w:rPr>
                <w:rFonts w:hint="default" w:ascii="Times New Roman" w:hAnsi="Times New Roman" w:cs="Times New Roman"/>
                <w:color w:val="000000" w:themeColor="text1"/>
                <w:spacing w:val="-4"/>
                <w:sz w:val="24"/>
                <w:szCs w:val="24"/>
                <w:lang w:val="en-US" w:eastAsia="zh-CN"/>
                <w14:textFill>
                  <w14:solidFill>
                    <w14:schemeClr w14:val="tx1"/>
                  </w14:solidFill>
                </w14:textFill>
              </w:rPr>
              <w:t>顾客</w:t>
            </w:r>
            <w:r>
              <w:rPr>
                <w:rFonts w:hint="default" w:ascii="Times New Roman" w:hAnsi="Times New Roman" w:cs="Times New Roman"/>
                <w:color w:val="000000" w:themeColor="text1"/>
                <w:spacing w:val="-4"/>
                <w:sz w:val="24"/>
                <w:szCs w:val="24"/>
                <w14:textFill>
                  <w14:solidFill>
                    <w14:schemeClr w14:val="tx1"/>
                  </w14:solidFill>
                </w14:textFill>
              </w:rPr>
              <w:t>生活用水</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产生生活污水。</w:t>
            </w:r>
            <w:r>
              <w:rPr>
                <w:rFonts w:hint="default" w:ascii="Times New Roman" w:hAnsi="Times New Roman" w:cs="Times New Roman"/>
                <w:color w:val="000000" w:themeColor="text1"/>
                <w:sz w:val="24"/>
                <w:szCs w:val="24"/>
                <w14:textFill>
                  <w14:solidFill>
                    <w14:schemeClr w14:val="tx1"/>
                  </w14:solidFill>
                </w14:textFill>
              </w:rPr>
              <w:t>生活污水经化粪池处理</w:t>
            </w:r>
            <w:r>
              <w:rPr>
                <w:rFonts w:hint="default" w:ascii="Times New Roman" w:hAnsi="Times New Roman" w:cs="Times New Roman"/>
                <w:color w:val="000000" w:themeColor="text1"/>
                <w:spacing w:val="-4"/>
                <w:sz w:val="24"/>
                <w:szCs w:val="24"/>
                <w14:textFill>
                  <w14:solidFill>
                    <w14:schemeClr w14:val="tx1"/>
                  </w14:solidFill>
                </w14:textFill>
              </w:rPr>
              <w:t>后排入漯河经济技术产业集聚区污水处理厂</w:t>
            </w:r>
            <w:r>
              <w:rPr>
                <w:rFonts w:hint="default" w:ascii="Times New Roman" w:hAnsi="Times New Roman" w:cs="Times New Roman"/>
                <w:color w:val="000000" w:themeColor="text1"/>
                <w:spacing w:val="-4"/>
                <w:sz w:val="24"/>
                <w:szCs w:val="24"/>
                <w:lang w:eastAsia="zh-CN"/>
                <w14:textFill>
                  <w14:solidFill>
                    <w14:schemeClr w14:val="tx1"/>
                  </w14:solidFill>
                </w14:textFill>
              </w:rPr>
              <w:t>，</w:t>
            </w:r>
            <w:r>
              <w:rPr>
                <w:rFonts w:hint="default" w:ascii="Times New Roman" w:hAnsi="Times New Roman" w:cs="Times New Roman"/>
                <w:color w:val="000000" w:themeColor="text1"/>
                <w:spacing w:val="-4"/>
                <w:sz w:val="24"/>
                <w:szCs w:val="24"/>
                <w14:textFill>
                  <w14:solidFill>
                    <w14:schemeClr w14:val="tx1"/>
                  </w14:solidFill>
                </w14:textFill>
              </w:rPr>
              <w:t>处理后进入黑河。</w:t>
            </w:r>
          </w:p>
          <w:p>
            <w:pPr>
              <w:pStyle w:val="36"/>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2.1生活污水产排情况</w:t>
            </w:r>
          </w:p>
          <w:p>
            <w:pPr>
              <w:pStyle w:val="36"/>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pacing w:val="-4"/>
                <w:sz w:val="24"/>
                <w:szCs w:val="24"/>
                <w14:textFill>
                  <w14:solidFill>
                    <w14:schemeClr w14:val="tx1"/>
                  </w14:solidFill>
                </w14:textFill>
              </w:rPr>
              <w:t>改扩建项目汽油加油规模增加</w:t>
            </w:r>
            <w:r>
              <w:rPr>
                <w:rFonts w:hint="default" w:ascii="Times New Roman" w:hAnsi="Times New Roman" w:cs="Times New Roman"/>
                <w:color w:val="000000" w:themeColor="text1"/>
                <w:spacing w:val="-4"/>
                <w:sz w:val="24"/>
                <w:szCs w:val="24"/>
                <w:lang w:val="en-US" w:eastAsia="zh-CN"/>
                <w14:textFill>
                  <w14:solidFill>
                    <w14:schemeClr w14:val="tx1"/>
                  </w14:solidFill>
                </w14:textFill>
              </w:rPr>
              <w:t>3</w:t>
            </w:r>
            <w:r>
              <w:rPr>
                <w:rFonts w:hint="default" w:ascii="Times New Roman" w:hAnsi="Times New Roman" w:cs="Times New Roman"/>
                <w:color w:val="000000" w:themeColor="text1"/>
                <w:spacing w:val="-4"/>
                <w:sz w:val="24"/>
                <w:szCs w:val="24"/>
                <w14:textFill>
                  <w14:solidFill>
                    <w14:schemeClr w14:val="tx1"/>
                  </w14:solidFill>
                </w14:textFill>
              </w:rPr>
              <w:t>00t/a（密度</w:t>
            </w:r>
            <w:r>
              <w:rPr>
                <w:rFonts w:hint="default" w:ascii="Times New Roman" w:hAnsi="Times New Roman" w:cs="Times New Roman"/>
                <w:color w:val="000000" w:themeColor="text1"/>
                <w:spacing w:val="-4"/>
                <w:sz w:val="24"/>
                <w:szCs w:val="24"/>
                <w:lang w:eastAsia="zh-CN"/>
                <w14:textFill>
                  <w14:solidFill>
                    <w14:schemeClr w14:val="tx1"/>
                  </w14:solidFill>
                </w14:textFill>
              </w:rPr>
              <w:t>0.75t</w:t>
            </w:r>
            <w:r>
              <w:rPr>
                <w:rFonts w:hint="default" w:ascii="Times New Roman" w:hAnsi="Times New Roman" w:cs="Times New Roman"/>
                <w:color w:val="000000" w:themeColor="text1"/>
                <w:spacing w:val="-4"/>
                <w:sz w:val="24"/>
                <w:szCs w:val="24"/>
                <w14:textFill>
                  <w14:solidFill>
                    <w14:schemeClr w14:val="tx1"/>
                  </w14:solidFill>
                </w14:textFill>
              </w:rPr>
              <w:t>/m</w:t>
            </w:r>
            <w:r>
              <w:rPr>
                <w:rFonts w:hint="default" w:ascii="Times New Roman" w:hAnsi="Times New Roman" w:cs="Times New Roman"/>
                <w:color w:val="000000" w:themeColor="text1"/>
                <w:spacing w:val="-4"/>
                <w:sz w:val="24"/>
                <w:szCs w:val="24"/>
                <w:vertAlign w:val="superscript"/>
                <w14:textFill>
                  <w14:solidFill>
                    <w14:schemeClr w14:val="tx1"/>
                  </w14:solidFill>
                </w14:textFill>
              </w:rPr>
              <w:t>3</w:t>
            </w:r>
            <w:r>
              <w:rPr>
                <w:rFonts w:hint="default" w:ascii="Times New Roman" w:hAnsi="Times New Roman" w:cs="Times New Roman"/>
                <w:color w:val="000000" w:themeColor="text1"/>
                <w:spacing w:val="-4"/>
                <w:sz w:val="24"/>
                <w:szCs w:val="24"/>
                <w14:textFill>
                  <w14:solidFill>
                    <w14:schemeClr w14:val="tx1"/>
                  </w14:solidFill>
                </w14:textFill>
              </w:rPr>
              <w:t>），加汽油车辆平均35L/辆，经估算，改扩建项目每天可增加加油车辆共计</w:t>
            </w:r>
            <w:r>
              <w:rPr>
                <w:rFonts w:hint="default" w:ascii="Times New Roman" w:hAnsi="Times New Roman" w:cs="Times New Roman"/>
                <w:color w:val="000000" w:themeColor="text1"/>
                <w:spacing w:val="-4"/>
                <w:sz w:val="24"/>
                <w:szCs w:val="24"/>
                <w:lang w:val="en-US" w:eastAsia="zh-CN"/>
                <w14:textFill>
                  <w14:solidFill>
                    <w14:schemeClr w14:val="tx1"/>
                  </w14:solidFill>
                </w14:textFill>
              </w:rPr>
              <w:t>32</w:t>
            </w:r>
            <w:r>
              <w:rPr>
                <w:rFonts w:hint="default" w:ascii="Times New Roman" w:hAnsi="Times New Roman" w:cs="Times New Roman"/>
                <w:color w:val="000000" w:themeColor="text1"/>
                <w:spacing w:val="-4"/>
                <w:sz w:val="24"/>
                <w:szCs w:val="24"/>
                <w14:textFill>
                  <w14:solidFill>
                    <w14:schemeClr w14:val="tx1"/>
                  </w14:solidFill>
                </w14:textFill>
              </w:rPr>
              <w:t>辆，每辆车以2人计，则本站客流量约为</w:t>
            </w:r>
            <w:r>
              <w:rPr>
                <w:rFonts w:hint="default" w:ascii="Times New Roman" w:hAnsi="Times New Roman" w:cs="Times New Roman"/>
                <w:color w:val="000000" w:themeColor="text1"/>
                <w:spacing w:val="-4"/>
                <w:sz w:val="24"/>
                <w:szCs w:val="24"/>
                <w:lang w:val="en-US" w:eastAsia="zh-CN"/>
                <w14:textFill>
                  <w14:solidFill>
                    <w14:schemeClr w14:val="tx1"/>
                  </w14:solidFill>
                </w14:textFill>
              </w:rPr>
              <w:t>64</w:t>
            </w:r>
            <w:r>
              <w:rPr>
                <w:rFonts w:hint="default" w:ascii="Times New Roman" w:hAnsi="Times New Roman" w:cs="Times New Roman"/>
                <w:color w:val="000000" w:themeColor="text1"/>
                <w:spacing w:val="-4"/>
                <w:sz w:val="24"/>
                <w:szCs w:val="24"/>
                <w14:textFill>
                  <w14:solidFill>
                    <w14:schemeClr w14:val="tx1"/>
                  </w14:solidFill>
                </w14:textFill>
              </w:rPr>
              <w:t>人次/d，按40%顾客（</w:t>
            </w:r>
            <w:r>
              <w:rPr>
                <w:rFonts w:hint="default" w:ascii="Times New Roman" w:hAnsi="Times New Roman" w:cs="Times New Roman"/>
                <w:color w:val="000000" w:themeColor="text1"/>
                <w:spacing w:val="-4"/>
                <w:sz w:val="24"/>
                <w:szCs w:val="24"/>
                <w:lang w:val="en-US" w:eastAsia="zh-CN"/>
                <w14:textFill>
                  <w14:solidFill>
                    <w14:schemeClr w14:val="tx1"/>
                  </w14:solidFill>
                </w14:textFill>
              </w:rPr>
              <w:t>26</w:t>
            </w:r>
            <w:r>
              <w:rPr>
                <w:rFonts w:hint="default" w:ascii="Times New Roman" w:hAnsi="Times New Roman" w:cs="Times New Roman"/>
                <w:color w:val="000000" w:themeColor="text1"/>
                <w:spacing w:val="-4"/>
                <w:sz w:val="24"/>
                <w:szCs w:val="24"/>
                <w14:textFill>
                  <w14:solidFill>
                    <w14:schemeClr w14:val="tx1"/>
                  </w14:solidFill>
                </w14:textFill>
              </w:rPr>
              <w:t>人次）需要进入生活区计算，参考《工业与城镇生活用水定额》（DB41/T 385-2020）环境卫生管理-公共厕所用水定额6L/人·次计算；外来人员生活总用水量为</w:t>
            </w:r>
            <w:r>
              <w:rPr>
                <w:rFonts w:hint="default" w:ascii="Times New Roman" w:hAnsi="Times New Roman" w:cs="Times New Roman"/>
                <w:color w:val="000000" w:themeColor="text1"/>
                <w:spacing w:val="-4"/>
                <w:sz w:val="24"/>
                <w:szCs w:val="24"/>
                <w:lang w:val="en-US" w:eastAsia="zh-CN"/>
                <w14:textFill>
                  <w14:solidFill>
                    <w14:schemeClr w14:val="tx1"/>
                  </w14:solidFill>
                </w14:textFill>
              </w:rPr>
              <w:t>0.156</w:t>
            </w:r>
            <w:r>
              <w:rPr>
                <w:rFonts w:hint="default" w:ascii="Times New Roman" w:hAnsi="Times New Roman" w:cs="Times New Roman"/>
                <w:color w:val="000000" w:themeColor="text1"/>
                <w:spacing w:val="-4"/>
                <w:sz w:val="24"/>
                <w:szCs w:val="24"/>
                <w14:textFill>
                  <w14:solidFill>
                    <w14:schemeClr w14:val="tx1"/>
                  </w14:solidFill>
                </w14:textFill>
              </w:rPr>
              <w:t>m</w:t>
            </w:r>
            <w:r>
              <w:rPr>
                <w:rFonts w:hint="default" w:ascii="Times New Roman" w:hAnsi="Times New Roman" w:cs="Times New Roman"/>
                <w:color w:val="000000" w:themeColor="text1"/>
                <w:spacing w:val="-4"/>
                <w:sz w:val="24"/>
                <w:szCs w:val="24"/>
                <w:vertAlign w:val="superscript"/>
                <w14:textFill>
                  <w14:solidFill>
                    <w14:schemeClr w14:val="tx1"/>
                  </w14:solidFill>
                </w14:textFill>
              </w:rPr>
              <w:t>3</w:t>
            </w:r>
            <w:r>
              <w:rPr>
                <w:rFonts w:hint="default" w:ascii="Times New Roman" w:hAnsi="Times New Roman" w:cs="Times New Roman"/>
                <w:color w:val="000000" w:themeColor="text1"/>
                <w:spacing w:val="-4"/>
                <w:sz w:val="24"/>
                <w:szCs w:val="24"/>
                <w14:textFill>
                  <w14:solidFill>
                    <w14:schemeClr w14:val="tx1"/>
                  </w14:solidFill>
                </w14:textFill>
              </w:rPr>
              <w:t>/d（</w:t>
            </w:r>
            <w:r>
              <w:rPr>
                <w:rFonts w:hint="default" w:ascii="Times New Roman" w:hAnsi="Times New Roman" w:cs="Times New Roman"/>
                <w:color w:val="000000" w:themeColor="text1"/>
                <w:spacing w:val="-4"/>
                <w:sz w:val="24"/>
                <w:szCs w:val="24"/>
                <w:lang w:val="en-US" w:eastAsia="zh-CN"/>
                <w14:textFill>
                  <w14:solidFill>
                    <w14:schemeClr w14:val="tx1"/>
                  </w14:solidFill>
                </w14:textFill>
              </w:rPr>
              <w:t>56.94</w:t>
            </w:r>
            <w:r>
              <w:rPr>
                <w:rFonts w:hint="default" w:ascii="Times New Roman" w:hAnsi="Times New Roman" w:cs="Times New Roman"/>
                <w:color w:val="000000" w:themeColor="text1"/>
                <w:spacing w:val="-4"/>
                <w:sz w:val="24"/>
                <w:szCs w:val="24"/>
                <w14:textFill>
                  <w14:solidFill>
                    <w14:schemeClr w14:val="tx1"/>
                  </w14:solidFill>
                </w14:textFill>
              </w:rPr>
              <w:t>m</w:t>
            </w:r>
            <w:r>
              <w:rPr>
                <w:rFonts w:hint="default" w:ascii="Times New Roman" w:hAnsi="Times New Roman" w:cs="Times New Roman"/>
                <w:color w:val="000000" w:themeColor="text1"/>
                <w:spacing w:val="-4"/>
                <w:sz w:val="24"/>
                <w:szCs w:val="24"/>
                <w:vertAlign w:val="superscript"/>
                <w14:textFill>
                  <w14:solidFill>
                    <w14:schemeClr w14:val="tx1"/>
                  </w14:solidFill>
                </w14:textFill>
              </w:rPr>
              <w:t>3</w:t>
            </w:r>
            <w:r>
              <w:rPr>
                <w:rFonts w:hint="default" w:ascii="Times New Roman" w:hAnsi="Times New Roman" w:cs="Times New Roman"/>
                <w:color w:val="000000" w:themeColor="text1"/>
                <w:spacing w:val="-4"/>
                <w:sz w:val="24"/>
                <w:szCs w:val="24"/>
                <w14:textFill>
                  <w14:solidFill>
                    <w14:schemeClr w14:val="tx1"/>
                  </w14:solidFill>
                </w14:textFill>
              </w:rPr>
              <w:t>/a），排污系数按80%计，则生活污水产生量为</w:t>
            </w:r>
            <w:r>
              <w:rPr>
                <w:rFonts w:hint="default" w:ascii="Times New Roman" w:hAnsi="Times New Roman" w:cs="Times New Roman"/>
                <w:color w:val="000000" w:themeColor="text1"/>
                <w:spacing w:val="-4"/>
                <w:sz w:val="24"/>
                <w:szCs w:val="24"/>
                <w:lang w:val="en-US" w:eastAsia="zh-CN"/>
                <w14:textFill>
                  <w14:solidFill>
                    <w14:schemeClr w14:val="tx1"/>
                  </w14:solidFill>
                </w14:textFill>
              </w:rPr>
              <w:t>0.1248</w:t>
            </w:r>
            <w:r>
              <w:rPr>
                <w:rFonts w:hint="default" w:ascii="Times New Roman" w:hAnsi="Times New Roman" w:cs="Times New Roman"/>
                <w:color w:val="000000" w:themeColor="text1"/>
                <w:spacing w:val="-4"/>
                <w:sz w:val="24"/>
                <w:szCs w:val="24"/>
                <w14:textFill>
                  <w14:solidFill>
                    <w14:schemeClr w14:val="tx1"/>
                  </w14:solidFill>
                </w14:textFill>
              </w:rPr>
              <w:t>m</w:t>
            </w:r>
            <w:r>
              <w:rPr>
                <w:rFonts w:hint="default" w:ascii="Times New Roman" w:hAnsi="Times New Roman" w:cs="Times New Roman"/>
                <w:color w:val="000000" w:themeColor="text1"/>
                <w:spacing w:val="-4"/>
                <w:sz w:val="24"/>
                <w:szCs w:val="24"/>
                <w:vertAlign w:val="superscript"/>
                <w14:textFill>
                  <w14:solidFill>
                    <w14:schemeClr w14:val="tx1"/>
                  </w14:solidFill>
                </w14:textFill>
              </w:rPr>
              <w:t>3</w:t>
            </w:r>
            <w:r>
              <w:rPr>
                <w:rFonts w:hint="default" w:ascii="Times New Roman" w:hAnsi="Times New Roman" w:cs="Times New Roman"/>
                <w:color w:val="000000" w:themeColor="text1"/>
                <w:spacing w:val="-4"/>
                <w:sz w:val="24"/>
                <w:szCs w:val="24"/>
                <w14:textFill>
                  <w14:solidFill>
                    <w14:schemeClr w14:val="tx1"/>
                  </w14:solidFill>
                </w14:textFill>
              </w:rPr>
              <w:t>/d（</w:t>
            </w:r>
            <w:r>
              <w:rPr>
                <w:rFonts w:hint="default" w:ascii="Times New Roman" w:hAnsi="Times New Roman" w:cs="Times New Roman"/>
                <w:color w:val="000000" w:themeColor="text1"/>
                <w:spacing w:val="-4"/>
                <w:sz w:val="24"/>
                <w:szCs w:val="24"/>
                <w:lang w:val="en-US" w:eastAsia="zh-CN"/>
                <w14:textFill>
                  <w14:solidFill>
                    <w14:schemeClr w14:val="tx1"/>
                  </w14:solidFill>
                </w14:textFill>
              </w:rPr>
              <w:t>45.552</w:t>
            </w:r>
            <w:r>
              <w:rPr>
                <w:rFonts w:hint="default" w:ascii="Times New Roman" w:hAnsi="Times New Roman" w:cs="Times New Roman"/>
                <w:color w:val="000000" w:themeColor="text1"/>
                <w:spacing w:val="-4"/>
                <w:sz w:val="24"/>
                <w:szCs w:val="24"/>
                <w14:textFill>
                  <w14:solidFill>
                    <w14:schemeClr w14:val="tx1"/>
                  </w14:solidFill>
                </w14:textFill>
              </w:rPr>
              <w:t>m</w:t>
            </w:r>
            <w:r>
              <w:rPr>
                <w:rFonts w:hint="default" w:ascii="Times New Roman" w:hAnsi="Times New Roman" w:cs="Times New Roman"/>
                <w:color w:val="000000" w:themeColor="text1"/>
                <w:spacing w:val="-4"/>
                <w:sz w:val="24"/>
                <w:szCs w:val="24"/>
                <w:vertAlign w:val="superscript"/>
                <w14:textFill>
                  <w14:solidFill>
                    <w14:schemeClr w14:val="tx1"/>
                  </w14:solidFill>
                </w14:textFill>
              </w:rPr>
              <w:t>3</w:t>
            </w:r>
            <w:r>
              <w:rPr>
                <w:rFonts w:hint="default" w:ascii="Times New Roman" w:hAnsi="Times New Roman" w:cs="Times New Roman"/>
                <w:color w:val="000000" w:themeColor="text1"/>
                <w:spacing w:val="-4"/>
                <w:sz w:val="24"/>
                <w:szCs w:val="24"/>
                <w14:textFill>
                  <w14:solidFill>
                    <w14:schemeClr w14:val="tx1"/>
                  </w14:solidFill>
                </w14:textFill>
              </w:rPr>
              <w:t>/a）</w:t>
            </w:r>
            <w:r>
              <w:rPr>
                <w:rFonts w:hint="default" w:ascii="Times New Roman" w:hAnsi="Times New Roman" w:cs="Times New Roman"/>
                <w:color w:val="000000" w:themeColor="text1"/>
                <w:sz w:val="24"/>
                <w:szCs w:val="24"/>
                <w14:textFill>
                  <w14:solidFill>
                    <w14:schemeClr w14:val="tx1"/>
                  </w14:solidFill>
                </w14:textFill>
              </w:rPr>
              <w:t>。类比同类企业生活污水水质，生活污水中污染物主要为COD、SS和氨氮，其产生浓度分别为COD</w:t>
            </w:r>
            <w:r>
              <w:rPr>
                <w:rFonts w:hint="default" w:ascii="Times New Roman" w:hAnsi="Times New Roman" w:cs="Times New Roman"/>
                <w:color w:val="000000" w:themeColor="text1"/>
                <w:sz w:val="24"/>
                <w:szCs w:val="24"/>
                <w:lang w:val="en-US" w:eastAsia="zh-CN"/>
                <w14:textFill>
                  <w14:solidFill>
                    <w14:schemeClr w14:val="tx1"/>
                  </w14:solidFill>
                </w14:textFill>
              </w:rPr>
              <w:t>300</w:t>
            </w:r>
            <w:r>
              <w:rPr>
                <w:rFonts w:hint="default" w:ascii="Times New Roman" w:hAnsi="Times New Roman" w:cs="Times New Roman"/>
                <w:color w:val="000000" w:themeColor="text1"/>
                <w:sz w:val="24"/>
                <w:szCs w:val="24"/>
                <w14:textFill>
                  <w14:solidFill>
                    <w14:schemeClr w14:val="tx1"/>
                  </w14:solidFill>
                </w14:textFill>
              </w:rPr>
              <w:t>mg/L，SS2</w:t>
            </w:r>
            <w:r>
              <w:rPr>
                <w:rFonts w:hint="default" w:ascii="Times New Roman" w:hAnsi="Times New Roman" w:cs="Times New Roman"/>
                <w:color w:val="000000" w:themeColor="text1"/>
                <w:sz w:val="24"/>
                <w:szCs w:val="24"/>
                <w:lang w:val="en-US" w:eastAsia="zh-CN"/>
                <w14:textFill>
                  <w14:solidFill>
                    <w14:schemeClr w14:val="tx1"/>
                  </w14:solidFill>
                </w14:textFill>
              </w:rPr>
              <w:t>0</w:t>
            </w:r>
            <w:r>
              <w:rPr>
                <w:rFonts w:hint="default" w:ascii="Times New Roman" w:hAnsi="Times New Roman" w:cs="Times New Roman"/>
                <w:color w:val="000000" w:themeColor="text1"/>
                <w:sz w:val="24"/>
                <w:szCs w:val="24"/>
                <w14:textFill>
                  <w14:solidFill>
                    <w14:schemeClr w14:val="tx1"/>
                  </w14:solidFill>
                </w14:textFill>
              </w:rPr>
              <w:t>0mg/L，氨氮30mg/L，则生活污水中污染物产生量约为COD</w:t>
            </w:r>
            <w:r>
              <w:rPr>
                <w:rFonts w:hint="default" w:ascii="Times New Roman" w:hAnsi="Times New Roman" w:cs="Times New Roman"/>
                <w:color w:val="000000" w:themeColor="text1"/>
                <w:sz w:val="24"/>
                <w:szCs w:val="24"/>
                <w:lang w:val="en-US" w:eastAsia="zh-CN"/>
                <w14:textFill>
                  <w14:solidFill>
                    <w14:schemeClr w14:val="tx1"/>
                  </w14:solidFill>
                </w14:textFill>
              </w:rPr>
              <w:t>0.0137</w:t>
            </w:r>
            <w:r>
              <w:rPr>
                <w:rFonts w:hint="default" w:ascii="Times New Roman" w:hAnsi="Times New Roman" w:cs="Times New Roman"/>
                <w:color w:val="000000" w:themeColor="text1"/>
                <w:sz w:val="24"/>
                <w:szCs w:val="24"/>
                <w14:textFill>
                  <w14:solidFill>
                    <w14:schemeClr w14:val="tx1"/>
                  </w14:solidFill>
                </w14:textFill>
              </w:rPr>
              <w:t>t/a，SS</w:t>
            </w:r>
            <w:r>
              <w:rPr>
                <w:rFonts w:hint="default" w:ascii="Times New Roman" w:hAnsi="Times New Roman" w:cs="Times New Roman"/>
                <w:color w:val="000000" w:themeColor="text1"/>
                <w:sz w:val="24"/>
                <w:szCs w:val="24"/>
                <w:lang w:val="en-US" w:eastAsia="zh-CN"/>
                <w14:textFill>
                  <w14:solidFill>
                    <w14:schemeClr w14:val="tx1"/>
                  </w14:solidFill>
                </w14:textFill>
              </w:rPr>
              <w:t>0.0091</w:t>
            </w:r>
            <w:r>
              <w:rPr>
                <w:rFonts w:hint="default" w:ascii="Times New Roman" w:hAnsi="Times New Roman" w:cs="Times New Roman"/>
                <w:color w:val="000000" w:themeColor="text1"/>
                <w:sz w:val="24"/>
                <w:szCs w:val="24"/>
                <w14:textFill>
                  <w14:solidFill>
                    <w14:schemeClr w14:val="tx1"/>
                  </w14:solidFill>
                </w14:textFill>
              </w:rPr>
              <w:t>t/a，氨氮</w:t>
            </w:r>
            <w:r>
              <w:rPr>
                <w:rFonts w:hint="default" w:ascii="Times New Roman" w:hAnsi="Times New Roman" w:cs="Times New Roman"/>
                <w:color w:val="000000" w:themeColor="text1"/>
                <w:sz w:val="24"/>
                <w:szCs w:val="24"/>
                <w:lang w:val="en-US" w:eastAsia="zh-CN"/>
                <w14:textFill>
                  <w14:solidFill>
                    <w14:schemeClr w14:val="tx1"/>
                  </w14:solidFill>
                </w14:textFill>
              </w:rPr>
              <w:t>0.0014</w:t>
            </w:r>
            <w:r>
              <w:rPr>
                <w:rFonts w:hint="default" w:ascii="Times New Roman" w:hAnsi="Times New Roman" w:cs="Times New Roman"/>
                <w:color w:val="000000" w:themeColor="text1"/>
                <w:sz w:val="24"/>
                <w:szCs w:val="24"/>
                <w14:textFill>
                  <w14:solidFill>
                    <w14:schemeClr w14:val="tx1"/>
                  </w14:solidFill>
                </w14:textFill>
              </w:rPr>
              <w:t>t/a。生活污水经化粪池处理后排入漯河经济技术产业集聚区污水处理厂。</w:t>
            </w:r>
          </w:p>
          <w:p>
            <w:pPr>
              <w:pStyle w:val="36"/>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项目生活污水治理设施和排放情况见下表。</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表36           项目生活污水治理设施和排放情况一览表</w:t>
            </w:r>
          </w:p>
          <w:tbl>
            <w:tblPr>
              <w:tblStyle w:val="37"/>
              <w:tblW w:w="916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91"/>
              <w:gridCol w:w="1942"/>
              <w:gridCol w:w="2408"/>
              <w:gridCol w:w="1342"/>
              <w:gridCol w:w="1361"/>
              <w:gridCol w:w="14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类别</w:t>
                  </w:r>
                </w:p>
              </w:tc>
              <w:tc>
                <w:tcPr>
                  <w:tcW w:w="435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污染物</w:t>
                  </w:r>
                </w:p>
              </w:tc>
              <w:tc>
                <w:tcPr>
                  <w:tcW w:w="13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COD</w:t>
                  </w:r>
                </w:p>
              </w:tc>
              <w:tc>
                <w:tcPr>
                  <w:tcW w:w="13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SS</w:t>
                  </w:r>
                </w:p>
              </w:tc>
              <w:tc>
                <w:tcPr>
                  <w:tcW w:w="14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000000" w:themeColor="text1"/>
                      <w:kern w:val="0"/>
                      <w:sz w:val="21"/>
                      <w:szCs w:val="21"/>
                      <w14:textFill>
                        <w14:solidFill>
                          <w14:schemeClr w14:val="tx1"/>
                        </w14:solidFill>
                      </w14:textFill>
                    </w:rPr>
                  </w:pPr>
                  <w:r>
                    <w:rPr>
                      <w:rFonts w:hint="default" w:ascii="Times New Roman" w:hAnsi="Times New Roman" w:cs="Times New Roman"/>
                      <w:b/>
                      <w:bCs/>
                      <w:color w:val="000000" w:themeColor="text1"/>
                      <w:kern w:val="0"/>
                      <w:sz w:val="21"/>
                      <w:szCs w:val="21"/>
                      <w14:textFill>
                        <w14:solidFill>
                          <w14:schemeClr w14:val="tx1"/>
                        </w14:solidFill>
                      </w14:textFill>
                    </w:rPr>
                    <w:t>NH</w:t>
                  </w:r>
                  <w:r>
                    <w:rPr>
                      <w:rFonts w:hint="default" w:ascii="Times New Roman" w:hAnsi="Times New Roman" w:cs="Times New Roman"/>
                      <w:b/>
                      <w:bCs/>
                      <w:color w:val="000000" w:themeColor="text1"/>
                      <w:kern w:val="0"/>
                      <w:sz w:val="21"/>
                      <w:szCs w:val="21"/>
                      <w:vertAlign w:val="subscript"/>
                      <w14:textFill>
                        <w14:solidFill>
                          <w14:schemeClr w14:val="tx1"/>
                        </w14:solidFill>
                      </w14:textFill>
                    </w:rPr>
                    <w:t>3</w:t>
                  </w:r>
                  <w:r>
                    <w:rPr>
                      <w:rFonts w:hint="default" w:ascii="Times New Roman" w:hAnsi="Times New Roman" w:cs="Times New Roman"/>
                      <w:b/>
                      <w:bCs/>
                      <w:color w:val="000000" w:themeColor="text1"/>
                      <w:kern w:val="0"/>
                      <w:sz w:val="21"/>
                      <w:szCs w:val="21"/>
                      <w14:textFill>
                        <w14:solidFill>
                          <w14:schemeClr w14:val="tx1"/>
                        </w14:solidFill>
                      </w14:textFill>
                    </w:rPr>
                    <w:t>-N</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1"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顾客生活污水</w:t>
                  </w:r>
                </w:p>
              </w:tc>
              <w:tc>
                <w:tcPr>
                  <w:tcW w:w="194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产生量</w:t>
                  </w:r>
                  <w:r>
                    <w:rPr>
                      <w:rFonts w:hint="default" w:ascii="Times New Roman" w:hAnsi="Times New Roman" w:cs="Times New Roman"/>
                      <w:color w:val="000000" w:themeColor="text1"/>
                      <w:spacing w:val="-4"/>
                      <w:sz w:val="21"/>
                      <w:szCs w:val="21"/>
                      <w14:textFill>
                        <w14:solidFill>
                          <w14:schemeClr w14:val="tx1"/>
                        </w14:solidFill>
                      </w14:textFill>
                    </w:rPr>
                    <w:t>（</w:t>
                  </w:r>
                  <w:r>
                    <w:rPr>
                      <w:rFonts w:hint="default" w:ascii="Times New Roman" w:hAnsi="Times New Roman" w:cs="Times New Roman"/>
                      <w:color w:val="000000" w:themeColor="text1"/>
                      <w:spacing w:val="-4"/>
                      <w:sz w:val="21"/>
                      <w:szCs w:val="21"/>
                      <w:lang w:val="en-US" w:eastAsia="zh-CN"/>
                      <w14:textFill>
                        <w14:solidFill>
                          <w14:schemeClr w14:val="tx1"/>
                        </w14:solidFill>
                      </w14:textFill>
                    </w:rPr>
                    <w:t>45.552</w:t>
                  </w:r>
                  <w:r>
                    <w:rPr>
                      <w:rFonts w:hint="default" w:ascii="Times New Roman" w:hAnsi="Times New Roman" w:cs="Times New Roman"/>
                      <w:color w:val="000000" w:themeColor="text1"/>
                      <w:spacing w:val="-4"/>
                      <w:sz w:val="21"/>
                      <w:szCs w:val="21"/>
                      <w14:textFill>
                        <w14:solidFill>
                          <w14:schemeClr w14:val="tx1"/>
                        </w14:solidFill>
                      </w14:textFill>
                    </w:rPr>
                    <w:t>m</w:t>
                  </w:r>
                  <w:r>
                    <w:rPr>
                      <w:rFonts w:hint="default" w:ascii="Times New Roman" w:hAnsi="Times New Roman" w:cs="Times New Roman"/>
                      <w:color w:val="000000" w:themeColor="text1"/>
                      <w:spacing w:val="-4"/>
                      <w:sz w:val="21"/>
                      <w:szCs w:val="21"/>
                      <w:vertAlign w:val="superscript"/>
                      <w14:textFill>
                        <w14:solidFill>
                          <w14:schemeClr w14:val="tx1"/>
                        </w14:solidFill>
                      </w14:textFill>
                    </w:rPr>
                    <w:t>3</w:t>
                  </w:r>
                  <w:r>
                    <w:rPr>
                      <w:rFonts w:hint="default" w:ascii="Times New Roman" w:hAnsi="Times New Roman" w:cs="Times New Roman"/>
                      <w:color w:val="000000" w:themeColor="text1"/>
                      <w:spacing w:val="-4"/>
                      <w:sz w:val="21"/>
                      <w:szCs w:val="21"/>
                      <w14:textFill>
                        <w14:solidFill>
                          <w14:schemeClr w14:val="tx1"/>
                        </w14:solidFill>
                      </w14:textFill>
                    </w:rPr>
                    <w:t>/a）</w:t>
                  </w:r>
                </w:p>
              </w:tc>
              <w:tc>
                <w:tcPr>
                  <w:tcW w:w="24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产生浓度（mg/L）</w:t>
                  </w:r>
                </w:p>
              </w:tc>
              <w:tc>
                <w:tcPr>
                  <w:tcW w:w="13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300</w:t>
                  </w:r>
                </w:p>
              </w:tc>
              <w:tc>
                <w:tcPr>
                  <w:tcW w:w="13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200</w:t>
                  </w:r>
                </w:p>
              </w:tc>
              <w:tc>
                <w:tcPr>
                  <w:tcW w:w="14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94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24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产生量（t/a）</w:t>
                  </w:r>
                </w:p>
              </w:tc>
              <w:tc>
                <w:tcPr>
                  <w:tcW w:w="13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 xml:space="preserve">0.0137 </w:t>
                  </w:r>
                </w:p>
              </w:tc>
              <w:tc>
                <w:tcPr>
                  <w:tcW w:w="13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 xml:space="preserve">0.0091 </w:t>
                  </w:r>
                </w:p>
              </w:tc>
              <w:tc>
                <w:tcPr>
                  <w:tcW w:w="14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 xml:space="preserve">0.0014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435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处理工艺</w:t>
                  </w:r>
                </w:p>
              </w:tc>
              <w:tc>
                <w:tcPr>
                  <w:tcW w:w="4120" w:type="dxa"/>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化粪池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4350"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化粪池去除效率（%）</w:t>
                  </w:r>
                </w:p>
              </w:tc>
              <w:tc>
                <w:tcPr>
                  <w:tcW w:w="13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50</w:t>
                  </w:r>
                </w:p>
              </w:tc>
              <w:tc>
                <w:tcPr>
                  <w:tcW w:w="13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40</w:t>
                  </w:r>
                </w:p>
              </w:tc>
              <w:tc>
                <w:tcPr>
                  <w:tcW w:w="14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17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94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排放量</w:t>
                  </w:r>
                  <w:r>
                    <w:rPr>
                      <w:rFonts w:hint="default" w:ascii="Times New Roman" w:hAnsi="Times New Roman" w:cs="Times New Roman"/>
                      <w:color w:val="000000" w:themeColor="text1"/>
                      <w:spacing w:val="-4"/>
                      <w:sz w:val="21"/>
                      <w:szCs w:val="21"/>
                      <w14:textFill>
                        <w14:solidFill>
                          <w14:schemeClr w14:val="tx1"/>
                        </w14:solidFill>
                      </w14:textFill>
                    </w:rPr>
                    <w:t>（</w:t>
                  </w:r>
                  <w:r>
                    <w:rPr>
                      <w:rFonts w:hint="default" w:ascii="Times New Roman" w:hAnsi="Times New Roman" w:cs="Times New Roman"/>
                      <w:color w:val="000000" w:themeColor="text1"/>
                      <w:spacing w:val="-4"/>
                      <w:sz w:val="21"/>
                      <w:szCs w:val="21"/>
                      <w:lang w:val="en-US" w:eastAsia="zh-CN"/>
                      <w14:textFill>
                        <w14:solidFill>
                          <w14:schemeClr w14:val="tx1"/>
                        </w14:solidFill>
                      </w14:textFill>
                    </w:rPr>
                    <w:t>45.552</w:t>
                  </w:r>
                  <w:r>
                    <w:rPr>
                      <w:rFonts w:hint="default" w:ascii="Times New Roman" w:hAnsi="Times New Roman" w:cs="Times New Roman"/>
                      <w:color w:val="000000" w:themeColor="text1"/>
                      <w:spacing w:val="-4"/>
                      <w:sz w:val="21"/>
                      <w:szCs w:val="21"/>
                      <w14:textFill>
                        <w14:solidFill>
                          <w14:schemeClr w14:val="tx1"/>
                        </w14:solidFill>
                      </w14:textFill>
                    </w:rPr>
                    <w:t>m</w:t>
                  </w:r>
                  <w:r>
                    <w:rPr>
                      <w:rFonts w:hint="default" w:ascii="Times New Roman" w:hAnsi="Times New Roman" w:cs="Times New Roman"/>
                      <w:color w:val="000000" w:themeColor="text1"/>
                      <w:spacing w:val="-4"/>
                      <w:sz w:val="21"/>
                      <w:szCs w:val="21"/>
                      <w:vertAlign w:val="superscript"/>
                      <w14:textFill>
                        <w14:solidFill>
                          <w14:schemeClr w14:val="tx1"/>
                        </w14:solidFill>
                      </w14:textFill>
                    </w:rPr>
                    <w:t>3</w:t>
                  </w:r>
                  <w:r>
                    <w:rPr>
                      <w:rFonts w:hint="default" w:ascii="Times New Roman" w:hAnsi="Times New Roman" w:cs="Times New Roman"/>
                      <w:color w:val="000000" w:themeColor="text1"/>
                      <w:spacing w:val="-4"/>
                      <w:sz w:val="21"/>
                      <w:szCs w:val="21"/>
                      <w14:textFill>
                        <w14:solidFill>
                          <w14:schemeClr w14:val="tx1"/>
                        </w14:solidFill>
                      </w14:textFill>
                    </w:rPr>
                    <w:t>/a）</w:t>
                  </w:r>
                </w:p>
              </w:tc>
              <w:tc>
                <w:tcPr>
                  <w:tcW w:w="24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排放浓度（mg/L）</w:t>
                  </w:r>
                </w:p>
              </w:tc>
              <w:tc>
                <w:tcPr>
                  <w:tcW w:w="13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150</w:t>
                  </w:r>
                </w:p>
              </w:tc>
              <w:tc>
                <w:tcPr>
                  <w:tcW w:w="13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120</w:t>
                  </w:r>
                </w:p>
              </w:tc>
              <w:tc>
                <w:tcPr>
                  <w:tcW w:w="14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24.9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94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24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排放量（t/a）</w:t>
                  </w:r>
                </w:p>
              </w:tc>
              <w:tc>
                <w:tcPr>
                  <w:tcW w:w="13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 xml:space="preserve">0.0068 </w:t>
                  </w:r>
                </w:p>
              </w:tc>
              <w:tc>
                <w:tcPr>
                  <w:tcW w:w="13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 xml:space="preserve">0.0055 </w:t>
                  </w:r>
                </w:p>
              </w:tc>
              <w:tc>
                <w:tcPr>
                  <w:tcW w:w="14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 xml:space="preserve">0.0011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94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污水处理厂处理后</w:t>
                  </w:r>
                </w:p>
              </w:tc>
              <w:tc>
                <w:tcPr>
                  <w:tcW w:w="24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排放浓度（mg/L）</w:t>
                  </w:r>
                </w:p>
              </w:tc>
              <w:tc>
                <w:tcPr>
                  <w:tcW w:w="13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20</w:t>
                  </w:r>
                </w:p>
              </w:tc>
              <w:tc>
                <w:tcPr>
                  <w:tcW w:w="13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10</w:t>
                  </w:r>
                </w:p>
              </w:tc>
              <w:tc>
                <w:tcPr>
                  <w:tcW w:w="14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69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194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p>
              </w:tc>
              <w:tc>
                <w:tcPr>
                  <w:tcW w:w="240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排放量（t/a）</w:t>
                  </w:r>
                </w:p>
              </w:tc>
              <w:tc>
                <w:tcPr>
                  <w:tcW w:w="13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 xml:space="preserve">0.0009 </w:t>
                  </w:r>
                </w:p>
              </w:tc>
              <w:tc>
                <w:tcPr>
                  <w:tcW w:w="13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 xml:space="preserve">0.0005 </w:t>
                  </w:r>
                </w:p>
              </w:tc>
              <w:tc>
                <w:tcPr>
                  <w:tcW w:w="14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 xml:space="preserve">0.00005 </w:t>
                  </w:r>
                </w:p>
              </w:tc>
            </w:tr>
          </w:tbl>
          <w:p>
            <w:pPr>
              <w:pStyle w:val="36"/>
              <w:keepNext w:val="0"/>
              <w:keepLines w:val="0"/>
              <w:pageBreakBefore w:val="0"/>
              <w:widowControl w:val="0"/>
              <w:kinsoku/>
              <w:wordWrap/>
              <w:overflowPunct/>
              <w:topLinePunct w:val="0"/>
              <w:autoSpaceDE/>
              <w:autoSpaceDN/>
              <w:bidi w:val="0"/>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2.2化粪池</w:t>
            </w:r>
            <w:r>
              <w:rPr>
                <w:rFonts w:hint="default" w:ascii="Times New Roman" w:hAnsi="Times New Roman" w:cs="Times New Roman"/>
                <w:b/>
                <w:bCs/>
                <w:color w:val="000000" w:themeColor="text1"/>
                <w:sz w:val="24"/>
                <w:szCs w:val="24"/>
                <w:lang w:val="en-US" w:eastAsia="zh-CN"/>
                <w14:textFill>
                  <w14:solidFill>
                    <w14:schemeClr w14:val="tx1"/>
                  </w14:solidFill>
                </w14:textFill>
              </w:rPr>
              <w:t>建设</w:t>
            </w:r>
            <w:r>
              <w:rPr>
                <w:rFonts w:hint="default" w:ascii="Times New Roman" w:hAnsi="Times New Roman" w:cs="Times New Roman"/>
                <w:b/>
                <w:bCs/>
                <w:color w:val="000000" w:themeColor="text1"/>
                <w:sz w:val="24"/>
                <w:szCs w:val="24"/>
                <w14:textFill>
                  <w14:solidFill>
                    <w14:schemeClr w14:val="tx1"/>
                  </w14:solidFill>
                </w14:textFill>
              </w:rPr>
              <w:t>可行性分析</w:t>
            </w:r>
          </w:p>
          <w:p>
            <w:pPr>
              <w:pStyle w:val="36"/>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改扩建项目</w:t>
            </w:r>
            <w:r>
              <w:rPr>
                <w:rFonts w:hint="default" w:ascii="Times New Roman" w:hAnsi="Times New Roman" w:cs="Times New Roman"/>
                <w:color w:val="000000" w:themeColor="text1"/>
                <w:sz w:val="24"/>
                <w:szCs w:val="24"/>
                <w14:textFill>
                  <w14:solidFill>
                    <w14:schemeClr w14:val="tx1"/>
                  </w14:solidFill>
                </w14:textFill>
              </w:rPr>
              <w:t>生活污水排放量为</w:t>
            </w:r>
            <w:r>
              <w:rPr>
                <w:rFonts w:hint="default" w:ascii="Times New Roman" w:hAnsi="Times New Roman" w:cs="Times New Roman"/>
                <w:color w:val="000000" w:themeColor="text1"/>
                <w:sz w:val="24"/>
                <w:szCs w:val="24"/>
                <w:lang w:val="en-US" w:eastAsia="zh-CN"/>
                <w14:textFill>
                  <w14:solidFill>
                    <w14:schemeClr w14:val="tx1"/>
                  </w14:solidFill>
                </w14:textFill>
              </w:rPr>
              <w:t>0.1248</w:t>
            </w:r>
            <w:r>
              <w:rPr>
                <w:rFonts w:hint="default" w:ascii="Times New Roman" w:hAnsi="Times New Roman" w:cs="Times New Roman"/>
                <w:color w:val="000000" w:themeColor="text1"/>
                <w:sz w:val="24"/>
                <w:szCs w:val="24"/>
                <w14:textFill>
                  <w14:solidFill>
                    <w14:schemeClr w14:val="tx1"/>
                  </w14:solidFill>
                </w14:textFill>
              </w:rPr>
              <w:t>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/d，现有工程生活污水排放量为</w:t>
            </w:r>
            <w:r>
              <w:rPr>
                <w:rFonts w:hint="default" w:ascii="Times New Roman" w:hAnsi="Times New Roman" w:cs="Times New Roman"/>
                <w:color w:val="000000" w:themeColor="text1"/>
                <w:sz w:val="24"/>
                <w:szCs w:val="24"/>
                <w:lang w:val="en-US" w:eastAsia="zh-CN"/>
                <w14:textFill>
                  <w14:solidFill>
                    <w14:schemeClr w14:val="tx1"/>
                  </w14:solidFill>
                </w14:textFill>
              </w:rPr>
              <w:t>0.44</w:t>
            </w:r>
            <w:r>
              <w:rPr>
                <w:rFonts w:hint="default" w:ascii="Times New Roman" w:hAnsi="Times New Roman" w:cs="Times New Roman"/>
                <w:color w:val="000000" w:themeColor="text1"/>
                <w:sz w:val="24"/>
                <w:szCs w:val="24"/>
                <w14:textFill>
                  <w14:solidFill>
                    <w14:schemeClr w14:val="tx1"/>
                  </w14:solidFill>
                </w14:textFill>
              </w:rPr>
              <w:t>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/d。生活污水总量</w:t>
            </w:r>
            <w:r>
              <w:rPr>
                <w:rFonts w:hint="default" w:ascii="Times New Roman" w:hAnsi="Times New Roman" w:cs="Times New Roman"/>
                <w:color w:val="000000" w:themeColor="text1"/>
                <w:sz w:val="24"/>
                <w:szCs w:val="24"/>
                <w:lang w:val="en-US" w:eastAsia="zh-CN"/>
                <w14:textFill>
                  <w14:solidFill>
                    <w14:schemeClr w14:val="tx1"/>
                  </w14:solidFill>
                </w14:textFill>
              </w:rPr>
              <w:t>0.5648</w:t>
            </w:r>
            <w:r>
              <w:rPr>
                <w:rFonts w:hint="default" w:ascii="Times New Roman" w:hAnsi="Times New Roman" w:cs="Times New Roman"/>
                <w:color w:val="000000" w:themeColor="text1"/>
                <w:sz w:val="24"/>
                <w:szCs w:val="24"/>
                <w14:textFill>
                  <w14:solidFill>
                    <w14:schemeClr w14:val="tx1"/>
                  </w14:solidFill>
                </w14:textFill>
              </w:rPr>
              <w:t>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/d，</w:t>
            </w:r>
            <w:r>
              <w:rPr>
                <w:rFonts w:hint="default" w:ascii="Times New Roman" w:hAnsi="Times New Roman" w:cs="Times New Roman"/>
                <w:color w:val="000000" w:themeColor="text1"/>
                <w:sz w:val="24"/>
                <w:szCs w:val="24"/>
                <w:lang w:val="en-US" w:eastAsia="zh-CN"/>
                <w14:textFill>
                  <w14:solidFill>
                    <w14:schemeClr w14:val="tx1"/>
                  </w14:solidFill>
                </w14:textFill>
              </w:rPr>
              <w:t>加油站新建</w:t>
            </w:r>
            <w:r>
              <w:rPr>
                <w:rFonts w:hint="default" w:ascii="Times New Roman" w:hAnsi="Times New Roman" w:cs="Times New Roman"/>
                <w:color w:val="000000" w:themeColor="text1"/>
                <w:sz w:val="24"/>
                <w:szCs w:val="24"/>
                <w14:textFill>
                  <w14:solidFill>
                    <w14:schemeClr w14:val="tx1"/>
                  </w14:solidFill>
                </w14:textFill>
              </w:rPr>
              <w:t>化粪池</w:t>
            </w:r>
            <w:r>
              <w:rPr>
                <w:rFonts w:hint="default" w:ascii="Times New Roman" w:hAnsi="Times New Roman" w:cs="Times New Roman"/>
                <w:color w:val="000000" w:themeColor="text1"/>
                <w:sz w:val="24"/>
                <w:szCs w:val="24"/>
                <w:lang w:val="en-US" w:eastAsia="zh-CN"/>
                <w14:textFill>
                  <w14:solidFill>
                    <w14:schemeClr w14:val="tx1"/>
                  </w14:solidFill>
                </w14:textFill>
              </w:rPr>
              <w:t>1座，</w:t>
            </w:r>
            <w:r>
              <w:rPr>
                <w:rFonts w:hint="default" w:ascii="Times New Roman" w:hAnsi="Times New Roman" w:cs="Times New Roman"/>
                <w:color w:val="000000" w:themeColor="text1"/>
                <w:sz w:val="24"/>
                <w:szCs w:val="24"/>
                <w14:textFill>
                  <w14:solidFill>
                    <w14:schemeClr w14:val="tx1"/>
                  </w14:solidFill>
                </w14:textFill>
              </w:rPr>
              <w:t>容积为5m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u w:val="none"/>
                <w:lang w:val="en-US" w:eastAsia="zh-CN"/>
                <w14:textFill>
                  <w14:solidFill>
                    <w14:schemeClr w14:val="tx1"/>
                  </w14:solidFill>
                </w14:textFill>
              </w:rPr>
              <w:t>根据《建筑给水排水设计规范》（GBJ15-88）要求：化粪池有效停留时间取12～24h。污水的排放量变化大会影响化粪池的污水处理效果，预留污水有效停留时间有利于保证化粪池污水处理效果，因此本项目化粪池污水有效停留时间取24h，污水产生量远小于化粪池容量，因此化粪池满足生活污水处理需求</w:t>
            </w:r>
            <w:r>
              <w:rPr>
                <w:rFonts w:hint="default" w:ascii="Times New Roman" w:hAnsi="Times New Roman" w:cs="Times New Roman"/>
                <w:color w:val="000000" w:themeColor="text1"/>
                <w:sz w:val="24"/>
                <w:szCs w:val="24"/>
                <w14:textFill>
                  <w14:solidFill>
                    <w14:schemeClr w14:val="tx1"/>
                  </w14:solidFill>
                </w14:textFill>
              </w:rPr>
              <w:t>。因此，项目依托化粪池处理可行。</w:t>
            </w:r>
          </w:p>
          <w:p>
            <w:pPr>
              <w:pStyle w:val="36"/>
              <w:keepNext w:val="0"/>
              <w:keepLines w:val="0"/>
              <w:pageBreakBefore w:val="0"/>
              <w:widowControl w:val="0"/>
              <w:kinsoku/>
              <w:wordWrap/>
              <w:overflowPunct/>
              <w:topLinePunct w:val="0"/>
              <w:autoSpaceDE/>
              <w:autoSpaceDN/>
              <w:bidi w:val="0"/>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2.3依托污水处理厂可行性分析</w:t>
            </w:r>
          </w:p>
          <w:p>
            <w:pPr>
              <w:keepNext w:val="0"/>
              <w:keepLines w:val="0"/>
              <w:pageBreakBefore w:val="0"/>
              <w:widowControl w:val="0"/>
              <w:tabs>
                <w:tab w:val="left" w:pos="0"/>
              </w:tabs>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漯河经济技术开发区污水处理厂基本情况</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根据现场调查及参考《漯河经济技术产业集聚区污水处理厂工程项目报告表》</w:t>
            </w:r>
            <w:r>
              <w:rPr>
                <w:rFonts w:hint="default" w:ascii="Times New Roman" w:hAnsi="Times New Roman" w:cs="Times New Roman"/>
                <w:bCs/>
                <w:color w:val="000000" w:themeColor="text1"/>
                <w:sz w:val="24"/>
                <w:szCs w:val="24"/>
                <w:highlight w:val="none"/>
                <w14:textFill>
                  <w14:solidFill>
                    <w14:schemeClr w14:val="tx1"/>
                  </w14:solidFill>
                </w14:textFill>
              </w:rPr>
              <w:t>（漯环监表〔2012〕11号）</w:t>
            </w:r>
            <w:r>
              <w:rPr>
                <w:rFonts w:hint="default" w:ascii="Times New Roman" w:hAnsi="Times New Roman" w:cs="Times New Roman"/>
                <w:color w:val="000000" w:themeColor="text1"/>
                <w:sz w:val="24"/>
                <w:szCs w:val="24"/>
                <w:highlight w:val="none"/>
                <w14:textFill>
                  <w14:solidFill>
                    <w14:schemeClr w14:val="tx1"/>
                  </w14:solidFill>
                </w14:textFill>
              </w:rPr>
              <w:t>和《漯河经济技术开发区污水处理厂二期及污水管网工程报告表》，</w:t>
            </w:r>
            <w:r>
              <w:rPr>
                <w:rFonts w:hint="default" w:ascii="Times New Roman" w:hAnsi="Times New Roman" w:cs="Times New Roman"/>
                <w:bCs/>
                <w:color w:val="000000" w:themeColor="text1"/>
                <w:sz w:val="24"/>
                <w:szCs w:val="24"/>
                <w:highlight w:val="none"/>
                <w14:textFill>
                  <w14:solidFill>
                    <w14:schemeClr w14:val="tx1"/>
                  </w14:solidFill>
                </w14:textFill>
              </w:rPr>
              <w:t>（漯开环监表〔2017〕4号），</w:t>
            </w:r>
            <w:r>
              <w:rPr>
                <w:rFonts w:hint="default" w:ascii="Times New Roman" w:hAnsi="Times New Roman" w:cs="Times New Roman"/>
                <w:color w:val="000000" w:themeColor="text1"/>
                <w:sz w:val="24"/>
                <w:szCs w:val="24"/>
                <w:highlight w:val="none"/>
                <w14:textFill>
                  <w14:solidFill>
                    <w14:schemeClr w14:val="tx1"/>
                  </w14:solidFill>
                </w14:textFill>
              </w:rPr>
              <w:t>漯河经济技术开发区污水处理厂位于漯河市经济技术开发区内，漯河市沙南污水处理厂以南，华电漯河发电有限公司北侧，黑河西岸。一期工程收水范围：北至漯阜铁路，南至规划南路、西至金山路，东至规划东环路，二期工程新增收水范围为一是漯阜铁路以北、中山路以东、人民路以南、东山南路以西的区域，二是漯阜铁路以南、黑河以东、东山路以西区域。一期设计处理规模为3万m³/d（已运行），二期设计规模3万m</w:t>
            </w:r>
            <w:r>
              <w:rPr>
                <w:rFonts w:hint="default" w:ascii="Times New Roman" w:hAnsi="Times New Roman"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/d，目前正处于调试运行阶段，二期工程建成后总规模达到6万m</w:t>
            </w:r>
            <w:r>
              <w:rPr>
                <w:rFonts w:hint="default" w:ascii="Times New Roman" w:hAnsi="Times New Roman"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/d。一期占地38326m</w:t>
            </w:r>
            <w:r>
              <w:rPr>
                <w:rFonts w:hint="default" w:ascii="Times New Roman" w:hAnsi="Times New Roman" w:cs="Times New Roman"/>
                <w:color w:val="000000" w:themeColor="text1"/>
                <w:sz w:val="24"/>
                <w:szCs w:val="24"/>
                <w:highlight w:val="none"/>
                <w:vertAlign w:val="superscript"/>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，折合57.5亩，采用污水处理工艺为“预处理（曝气沉砂）+A</w:t>
            </w:r>
            <w:r>
              <w:rPr>
                <w:rFonts w:hint="default" w:ascii="Times New Roman" w:hAnsi="Times New Roman" w:cs="Times New Roman"/>
                <w:color w:val="000000" w:themeColor="text1"/>
                <w:sz w:val="24"/>
                <w:szCs w:val="24"/>
                <w:highlight w:val="none"/>
                <w:vertAlign w:val="superscript"/>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/O”二级处理，深度处理采用“微絮凝+砂滤过滤+二氧化氯消毒”工艺。二期占地40000m</w:t>
            </w:r>
            <w:r>
              <w:rPr>
                <w:rFonts w:hint="default" w:ascii="Times New Roman" w:hAnsi="Times New Roman" w:cs="Times New Roman"/>
                <w:color w:val="000000" w:themeColor="text1"/>
                <w:sz w:val="24"/>
                <w:szCs w:val="24"/>
                <w:highlight w:val="none"/>
                <w:vertAlign w:val="superscript"/>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，折合60亩，采用的污水</w:t>
            </w:r>
            <w:r>
              <w:rPr>
                <w:rFonts w:hint="default" w:ascii="Times New Roman" w:hAnsi="Times New Roman" w:cs="Times New Roman"/>
                <w:color w:val="000000" w:themeColor="text1"/>
                <w:sz w:val="24"/>
                <w:szCs w:val="24"/>
                <w:highlight w:val="none"/>
                <w:lang w:eastAsia="zh-CN"/>
                <w14:textFill>
                  <w14:solidFill>
                    <w14:schemeClr w14:val="tx1"/>
                  </w14:solidFill>
                </w14:textFill>
              </w:rPr>
              <w:t>处理</w:t>
            </w:r>
            <w:r>
              <w:rPr>
                <w:rFonts w:hint="default" w:ascii="Times New Roman" w:hAnsi="Times New Roman" w:cs="Times New Roman"/>
                <w:color w:val="000000" w:themeColor="text1"/>
                <w:sz w:val="24"/>
                <w:szCs w:val="24"/>
                <w:highlight w:val="none"/>
                <w14:textFill>
                  <w14:solidFill>
                    <w14:schemeClr w14:val="tx1"/>
                  </w14:solidFill>
                </w14:textFill>
              </w:rPr>
              <w:t>工艺为“粗格栅+细格栅+曝气沉砂池+水解酸化+A</w:t>
            </w:r>
            <w:r>
              <w:rPr>
                <w:rFonts w:hint="default" w:ascii="Times New Roman" w:hAnsi="Times New Roman" w:cs="Times New Roman"/>
                <w:color w:val="000000" w:themeColor="text1"/>
                <w:sz w:val="24"/>
                <w:szCs w:val="24"/>
                <w:highlight w:val="none"/>
                <w:vertAlign w:val="superscript"/>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O+三级处理+消毒”处理工艺</w:t>
            </w:r>
            <w:r>
              <w:rPr>
                <w:rFonts w:hint="default" w:ascii="Times New Roman" w:hAnsi="Times New Roman" w:cs="Times New Roman"/>
                <w:bCs/>
                <w:color w:val="000000" w:themeColor="text1"/>
                <w:sz w:val="24"/>
                <w:szCs w:val="24"/>
                <w:highlight w:val="non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left"/>
              <w:textAlignment w:val="auto"/>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lang w:eastAsia="zh-CN"/>
                <w14:textFill>
                  <w14:solidFill>
                    <w14:schemeClr w14:val="tx1"/>
                  </w14:solidFill>
                </w14:textFill>
              </w:rPr>
              <w:t>（</w:t>
            </w:r>
            <w:r>
              <w:rPr>
                <w:rFonts w:hint="default" w:ascii="Times New Roman" w:hAnsi="Times New Roman" w:cs="Times New Roman"/>
                <w:color w:val="000000" w:themeColor="text1"/>
                <w:kern w:val="0"/>
                <w:sz w:val="24"/>
                <w:highlight w:val="none"/>
                <w:lang w:val="en-US" w:eastAsia="zh-CN"/>
                <w14:textFill>
                  <w14:solidFill>
                    <w14:schemeClr w14:val="tx1"/>
                  </w14:solidFill>
                </w14:textFill>
              </w:rPr>
              <w:t>2</w:t>
            </w:r>
            <w:r>
              <w:rPr>
                <w:rFonts w:hint="default" w:ascii="Times New Roman" w:hAnsi="Times New Roman" w:cs="Times New Roman"/>
                <w:color w:val="000000" w:themeColor="text1"/>
                <w:kern w:val="0"/>
                <w:sz w:val="24"/>
                <w:highlight w:val="none"/>
                <w:lang w:eastAsia="zh-CN"/>
                <w14:textFill>
                  <w14:solidFill>
                    <w14:schemeClr w14:val="tx1"/>
                  </w14:solidFill>
                </w14:textFill>
              </w:rPr>
              <w:t>）</w:t>
            </w:r>
            <w:r>
              <w:rPr>
                <w:rFonts w:hint="default" w:ascii="Times New Roman" w:hAnsi="Times New Roman" w:cs="Times New Roman"/>
                <w:color w:val="000000" w:themeColor="text1"/>
                <w:kern w:val="0"/>
                <w:sz w:val="24"/>
                <w:highlight w:val="none"/>
                <w14:textFill>
                  <w14:solidFill>
                    <w14:schemeClr w14:val="tx1"/>
                  </w14:solidFill>
                </w14:textFill>
              </w:rPr>
              <w:t>本项目废水进入漯河市经济开发区污水处理厂的可行性</w:t>
            </w:r>
          </w:p>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根据上述，</w:t>
            </w:r>
            <w:r>
              <w:rPr>
                <w:rFonts w:hint="default" w:ascii="Times New Roman" w:hAnsi="Times New Roman" w:cs="Times New Roman"/>
                <w:color w:val="000000" w:themeColor="text1"/>
                <w:sz w:val="24"/>
                <w:highlight w:val="none"/>
                <w14:textFill>
                  <w14:solidFill>
                    <w14:schemeClr w14:val="tx1"/>
                  </w14:solidFill>
                </w14:textFill>
              </w:rPr>
              <w:t>从收水范围上分析</w:t>
            </w:r>
            <w:r>
              <w:rPr>
                <w:rFonts w:hint="default"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kern w:val="0"/>
                <w:sz w:val="24"/>
                <w:highlight w:val="none"/>
                <w14:textFill>
                  <w14:solidFill>
                    <w14:schemeClr w14:val="tx1"/>
                  </w14:solidFill>
                </w14:textFill>
              </w:rPr>
              <w:t>本项目位于</w:t>
            </w:r>
            <w:r>
              <w:rPr>
                <w:rFonts w:hint="default" w:ascii="Times New Roman" w:hAnsi="Times New Roman" w:cs="Times New Roman"/>
                <w:color w:val="000000" w:themeColor="text1"/>
                <w:kern w:val="0"/>
                <w:sz w:val="24"/>
                <w:highlight w:val="none"/>
                <w:lang w:val="en-US" w:eastAsia="zh-CN"/>
                <w14:textFill>
                  <w14:solidFill>
                    <w14:schemeClr w14:val="tx1"/>
                  </w14:solidFill>
                </w14:textFill>
              </w:rPr>
              <w:t>漯</w:t>
            </w:r>
            <w:r>
              <w:rPr>
                <w:rFonts w:hint="default" w:ascii="Times New Roman" w:hAnsi="Times New Roman" w:cs="Times New Roman"/>
                <w:bCs/>
                <w:color w:val="000000" w:themeColor="text1"/>
                <w:kern w:val="21"/>
                <w:sz w:val="24"/>
                <w:highlight w:val="none"/>
                <w14:textFill>
                  <w14:solidFill>
                    <w14:schemeClr w14:val="tx1"/>
                  </w14:solidFill>
                </w14:textFill>
              </w:rPr>
              <w:t>河市经济技术开发区污水处理厂收水范围之内，且污水管网已铺设到位</w:t>
            </w:r>
            <w:r>
              <w:rPr>
                <w:rFonts w:hint="default" w:ascii="Times New Roman" w:hAnsi="Times New Roman" w:cs="Times New Roman"/>
                <w:bCs/>
                <w:color w:val="000000" w:themeColor="text1"/>
                <w:kern w:val="2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从接管水质上分析，</w:t>
            </w:r>
            <w:r>
              <w:rPr>
                <w:rFonts w:hint="default" w:ascii="Times New Roman" w:hAnsi="Times New Roman" w:cs="Times New Roman"/>
                <w:bCs/>
                <w:color w:val="000000" w:themeColor="text1"/>
                <w:kern w:val="21"/>
                <w:sz w:val="24"/>
                <w:highlight w:val="none"/>
                <w14:textFill>
                  <w14:solidFill>
                    <w14:schemeClr w14:val="tx1"/>
                  </w14:solidFill>
                </w14:textFill>
              </w:rPr>
              <w:t>排水水质满足</w:t>
            </w:r>
            <w:r>
              <w:rPr>
                <w:rFonts w:hint="default" w:ascii="Times New Roman" w:hAnsi="Times New Roman" w:cs="Times New Roman"/>
                <w:color w:val="000000" w:themeColor="text1"/>
                <w:sz w:val="24"/>
                <w:highlight w:val="none"/>
                <w14:textFill>
                  <w14:solidFill>
                    <w14:schemeClr w14:val="tx1"/>
                  </w14:solidFill>
                </w14:textFill>
              </w:rPr>
              <w:t>《污水综合排放标准》（GB8978-1996）中表4二级标准要求及漯河市经济技术开发区污水处理厂</w:t>
            </w:r>
            <w:r>
              <w:rPr>
                <w:rFonts w:hint="default" w:ascii="Times New Roman" w:hAnsi="Times New Roman" w:cs="Times New Roman"/>
                <w:bCs/>
                <w:color w:val="000000" w:themeColor="text1"/>
                <w:kern w:val="21"/>
                <w:sz w:val="24"/>
                <w:highlight w:val="none"/>
                <w14:textFill>
                  <w14:solidFill>
                    <w14:schemeClr w14:val="tx1"/>
                  </w14:solidFill>
                </w14:textFill>
              </w:rPr>
              <w:t>收水指标，且不含有漯河市经济技术开发区污水处理厂不能处理的污染因子</w:t>
            </w:r>
            <w:r>
              <w:rPr>
                <w:rFonts w:hint="default" w:ascii="Times New Roman" w:hAnsi="Times New Roman" w:cs="Times New Roman"/>
                <w:bCs/>
                <w:color w:val="000000" w:themeColor="text1"/>
                <w:kern w:val="2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从水量上分析，经济技术开发区污水处理厂两期工程处理规模共为6万m</w:t>
            </w:r>
            <w:r>
              <w:rPr>
                <w:rFonts w:hint="default" w:ascii="Times New Roman" w:hAnsi="Times New Roman" w:cs="Times New Roman"/>
                <w:color w:val="000000" w:themeColor="text1"/>
                <w:sz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/d，处理余量为4.3万m</w:t>
            </w:r>
            <w:r>
              <w:rPr>
                <w:rFonts w:hint="default" w:ascii="Times New Roman" w:hAnsi="Times New Roman" w:cs="Times New Roman"/>
                <w:color w:val="000000" w:themeColor="text1"/>
                <w:sz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highlight w:val="none"/>
                <w14:textFill>
                  <w14:solidFill>
                    <w14:schemeClr w14:val="tx1"/>
                  </w14:solidFill>
                </w14:textFill>
              </w:rPr>
              <w:t>/d</w:t>
            </w:r>
            <w:r>
              <w:rPr>
                <w:rFonts w:hint="default"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本项目生活污水产生量为</w:t>
            </w:r>
            <w:r>
              <w:rPr>
                <w:rFonts w:hint="default" w:ascii="Times New Roman" w:hAnsi="Times New Roman" w:cs="Times New Roman"/>
                <w:color w:val="000000" w:themeColor="text1"/>
                <w:sz w:val="24"/>
                <w:szCs w:val="24"/>
                <w:lang w:val="en-US" w:eastAsia="zh-CN"/>
                <w14:textFill>
                  <w14:solidFill>
                    <w14:schemeClr w14:val="tx1"/>
                  </w14:solidFill>
                </w14:textFill>
              </w:rPr>
              <w:t>0.1248</w:t>
            </w:r>
            <w:r>
              <w:rPr>
                <w:rFonts w:hint="default" w:ascii="Times New Roman" w:hAnsi="Times New Roman" w:cs="Times New Roman"/>
                <w:color w:val="000000" w:themeColor="text1"/>
                <w:sz w:val="24"/>
                <w:szCs w:val="24"/>
                <w14:textFill>
                  <w14:solidFill>
                    <w14:schemeClr w14:val="tx1"/>
                  </w14:solidFill>
                </w14:textFill>
              </w:rPr>
              <w:t>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/d</w:t>
            </w:r>
            <w:r>
              <w:rPr>
                <w:rFonts w:hint="default" w:ascii="Times New Roman" w:hAnsi="Times New Roman" w:cs="Times New Roman"/>
                <w:bCs/>
                <w:color w:val="000000" w:themeColor="text1"/>
                <w:kern w:val="21"/>
                <w:sz w:val="24"/>
                <w:highlight w:val="none"/>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有余量接纳本项目废水，且不会造成污水处理厂负荷的增加</w:t>
            </w:r>
            <w:r>
              <w:rPr>
                <w:rFonts w:hint="default"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综上所述，从管网铺设、水量、接管水质方面分析，本项目废水进入漯河市经济技术开发区污水处理厂是可行的</w:t>
            </w:r>
            <w:r>
              <w:rPr>
                <w:rFonts w:hint="default" w:ascii="Times New Roman" w:hAnsi="Times New Roman" w:cs="Times New Roman"/>
                <w:color w:val="000000" w:themeColor="text1"/>
                <w:sz w:val="24"/>
                <w:szCs w:val="24"/>
                <w14:textFill>
                  <w14:solidFill>
                    <w14:schemeClr w14:val="tx1"/>
                  </w14:solidFill>
                </w14:textFill>
              </w:rPr>
              <w:t>。</w:t>
            </w:r>
          </w:p>
          <w:p>
            <w:pPr>
              <w:pStyle w:val="36"/>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2.</w:t>
            </w:r>
            <w:r>
              <w:rPr>
                <w:rFonts w:hint="default" w:ascii="Times New Roman" w:hAnsi="Times New Roman" w:cs="Times New Roman"/>
                <w:b/>
                <w:bCs/>
                <w:color w:val="000000" w:themeColor="text1"/>
                <w:sz w:val="24"/>
                <w:szCs w:val="24"/>
                <w:lang w:val="en-US" w:eastAsia="zh-CN"/>
                <w14:textFill>
                  <w14:solidFill>
                    <w14:schemeClr w14:val="tx1"/>
                  </w14:solidFill>
                </w14:textFill>
              </w:rPr>
              <w:t>4废水排放口基本情况</w:t>
            </w:r>
          </w:p>
          <w:p>
            <w:pPr>
              <w:keepNext w:val="0"/>
              <w:keepLines w:val="0"/>
              <w:pageBreakBefore w:val="0"/>
              <w:widowControl w:val="0"/>
              <w:kinsoku/>
              <w:wordWrap/>
              <w:overflowPunct/>
              <w:topLinePunct w:val="0"/>
              <w:autoSpaceDE/>
              <w:autoSpaceDN/>
              <w:bidi w:val="0"/>
              <w:adjustRightInd/>
              <w:snapToGrid/>
              <w:spacing w:line="480" w:lineRule="exact"/>
              <w:ind w:firstLine="48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根据《排污许可申请与核发技术规范 储油库、加油站》（HJ1118-2020），“单独排入城镇污水集中处理设施的生活污水仅说明去向”，因此本项目废水经站区化粪池处理后符合漯河经济技术产业集聚区污水处理厂进水水质要求前提下，排入漯河经济技术产业集聚区污水处理厂进行深度处理的废水处理方案可行。</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表37           废水类别、污染物及污染治理设施信息表</w:t>
            </w:r>
          </w:p>
          <w:tbl>
            <w:tblPr>
              <w:tblStyle w:val="37"/>
              <w:tblW w:w="921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63"/>
              <w:gridCol w:w="441"/>
              <w:gridCol w:w="986"/>
              <w:gridCol w:w="942"/>
              <w:gridCol w:w="883"/>
              <w:gridCol w:w="800"/>
              <w:gridCol w:w="750"/>
              <w:gridCol w:w="700"/>
              <w:gridCol w:w="583"/>
              <w:gridCol w:w="851"/>
              <w:gridCol w:w="191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23" w:hRule="atLeast"/>
                <w:jc w:val="center"/>
              </w:trPr>
              <w:tc>
                <w:tcPr>
                  <w:tcW w:w="363" w:type="dxa"/>
                  <w:vMerge w:val="restart"/>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序号</w:t>
                  </w:r>
                </w:p>
              </w:tc>
              <w:tc>
                <w:tcPr>
                  <w:tcW w:w="441" w:type="dxa"/>
                  <w:vMerge w:val="restart"/>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废水类别</w:t>
                  </w:r>
                </w:p>
              </w:tc>
              <w:tc>
                <w:tcPr>
                  <w:tcW w:w="986" w:type="dxa"/>
                  <w:vMerge w:val="restart"/>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污染物种类</w:t>
                  </w:r>
                </w:p>
              </w:tc>
              <w:tc>
                <w:tcPr>
                  <w:tcW w:w="942" w:type="dxa"/>
                  <w:vMerge w:val="restart"/>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排放去向</w:t>
                  </w:r>
                </w:p>
              </w:tc>
              <w:tc>
                <w:tcPr>
                  <w:tcW w:w="883" w:type="dxa"/>
                  <w:vMerge w:val="restart"/>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排放规律</w:t>
                  </w:r>
                </w:p>
              </w:tc>
              <w:tc>
                <w:tcPr>
                  <w:tcW w:w="2250" w:type="dxa"/>
                  <w:gridSpan w:val="3"/>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污染治理设施</w:t>
                  </w:r>
                </w:p>
              </w:tc>
              <w:tc>
                <w:tcPr>
                  <w:tcW w:w="583" w:type="dxa"/>
                  <w:vMerge w:val="restart"/>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排放口编号</w:t>
                  </w:r>
                </w:p>
              </w:tc>
              <w:tc>
                <w:tcPr>
                  <w:tcW w:w="851" w:type="dxa"/>
                  <w:vMerge w:val="restart"/>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排放口设置是否符合要求</w:t>
                  </w:r>
                </w:p>
              </w:tc>
              <w:tc>
                <w:tcPr>
                  <w:tcW w:w="1916" w:type="dxa"/>
                  <w:vMerge w:val="restart"/>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排放口类型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81" w:hRule="atLeast"/>
                <w:jc w:val="center"/>
              </w:trPr>
              <w:tc>
                <w:tcPr>
                  <w:tcW w:w="363" w:type="dxa"/>
                  <w:vMerge w:val="continue"/>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p>
              </w:tc>
              <w:tc>
                <w:tcPr>
                  <w:tcW w:w="441" w:type="dxa"/>
                  <w:vMerge w:val="continue"/>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p>
              </w:tc>
              <w:tc>
                <w:tcPr>
                  <w:tcW w:w="986" w:type="dxa"/>
                  <w:vMerge w:val="continue"/>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p>
              </w:tc>
              <w:tc>
                <w:tcPr>
                  <w:tcW w:w="942" w:type="dxa"/>
                  <w:vMerge w:val="continue"/>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p>
              </w:tc>
              <w:tc>
                <w:tcPr>
                  <w:tcW w:w="883" w:type="dxa"/>
                  <w:vMerge w:val="continue"/>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p>
              </w:tc>
              <w:tc>
                <w:tcPr>
                  <w:tcW w:w="800" w:type="dxa"/>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污染治理设施编号</w:t>
                  </w:r>
                </w:p>
              </w:tc>
              <w:tc>
                <w:tcPr>
                  <w:tcW w:w="750" w:type="dxa"/>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污染治理设施名称</w:t>
                  </w:r>
                </w:p>
              </w:tc>
              <w:tc>
                <w:tcPr>
                  <w:tcW w:w="700" w:type="dxa"/>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cs="Times New Roman"/>
                      <w:b/>
                      <w:bCs/>
                      <w:color w:val="000000" w:themeColor="text1"/>
                      <w:sz w:val="21"/>
                      <w:szCs w:val="21"/>
                      <w:highlight w:val="none"/>
                      <w14:textFill>
                        <w14:solidFill>
                          <w14:schemeClr w14:val="tx1"/>
                        </w14:solidFill>
                      </w14:textFill>
                    </w:rPr>
                  </w:pPr>
                  <w:r>
                    <w:rPr>
                      <w:rFonts w:hint="default" w:ascii="Times New Roman" w:hAnsi="Times New Roman" w:cs="Times New Roman"/>
                      <w:b/>
                      <w:bCs/>
                      <w:color w:val="000000" w:themeColor="text1"/>
                      <w:sz w:val="21"/>
                      <w:szCs w:val="21"/>
                      <w:highlight w:val="none"/>
                      <w14:textFill>
                        <w14:solidFill>
                          <w14:schemeClr w14:val="tx1"/>
                        </w14:solidFill>
                      </w14:textFill>
                    </w:rPr>
                    <w:t>污染治理设施工艺</w:t>
                  </w:r>
                </w:p>
              </w:tc>
              <w:tc>
                <w:tcPr>
                  <w:tcW w:w="583" w:type="dxa"/>
                  <w:vMerge w:val="continue"/>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851" w:type="dxa"/>
                  <w:vMerge w:val="continue"/>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1916" w:type="dxa"/>
                  <w:vMerge w:val="continue"/>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1261" w:hRule="atLeast"/>
                <w:jc w:val="center"/>
              </w:trPr>
              <w:tc>
                <w:tcPr>
                  <w:tcW w:w="363" w:type="dxa"/>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1</w:t>
                  </w:r>
                </w:p>
              </w:tc>
              <w:tc>
                <w:tcPr>
                  <w:tcW w:w="44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生活污水</w:t>
                  </w:r>
                </w:p>
              </w:tc>
              <w:tc>
                <w:tcPr>
                  <w:tcW w:w="98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SS、</w:t>
                  </w:r>
                  <w:r>
                    <w:rPr>
                      <w:rFonts w:hint="default" w:ascii="Times New Roman" w:hAnsi="Times New Roman" w:eastAsia="宋体" w:cs="Times New Roman"/>
                      <w:b w:val="0"/>
                      <w:bCs w:val="0"/>
                      <w:color w:val="000000" w:themeColor="text1"/>
                      <w:sz w:val="21"/>
                      <w:szCs w:val="21"/>
                      <w14:textFill>
                        <w14:solidFill>
                          <w14:schemeClr w14:val="tx1"/>
                        </w14:solidFill>
                      </w14:textFill>
                    </w:rPr>
                    <w:t>NH</w:t>
                  </w:r>
                  <w:r>
                    <w:rPr>
                      <w:rFonts w:hint="default" w:ascii="Times New Roman" w:hAnsi="Times New Roman" w:eastAsia="宋体" w:cs="Times New Roman"/>
                      <w:b w:val="0"/>
                      <w:bCs w:val="0"/>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14:textFill>
                        <w14:solidFill>
                          <w14:schemeClr w14:val="tx1"/>
                        </w14:solidFill>
                      </w14:textFill>
                    </w:rPr>
                    <w:t>N</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、COD</w:t>
                  </w:r>
                </w:p>
              </w:tc>
              <w:tc>
                <w:tcPr>
                  <w:tcW w:w="942" w:type="dxa"/>
                  <w:tcBorders>
                    <w:tl2br w:val="nil"/>
                    <w:tr2bl w:val="nil"/>
                  </w:tcBorders>
                  <w:noWrap w:val="0"/>
                  <w:vAlign w:val="center"/>
                </w:tcPr>
                <w:p>
                  <w:pPr>
                    <w:keepNext w:val="0"/>
                    <w:keepLines w:val="0"/>
                    <w:pageBreakBefore w:val="0"/>
                    <w:widowControl w:val="0"/>
                    <w:kinsoku/>
                    <w:wordWrap/>
                    <w:overflowPunct/>
                    <w:topLinePunct w:val="0"/>
                    <w:autoSpaceDE w:val="0"/>
                    <w:autoSpaceDN w:val="0"/>
                    <w:bidi w:val="0"/>
                    <w:adjustRightInd/>
                    <w:snapToGrid/>
                    <w:spacing w:line="360" w:lineRule="exact"/>
                    <w:ind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河经济技术产业集聚区污水处理厂</w:t>
                  </w:r>
                </w:p>
              </w:tc>
              <w:tc>
                <w:tcPr>
                  <w:tcW w:w="883" w:type="dxa"/>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t>间断排放，流量不稳定</w:t>
                  </w:r>
                </w:p>
              </w:tc>
              <w:tc>
                <w:tcPr>
                  <w:tcW w:w="8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TW001</w:t>
                  </w:r>
                </w:p>
              </w:tc>
              <w:tc>
                <w:tcPr>
                  <w:tcW w:w="7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化粪池</w:t>
                  </w:r>
                </w:p>
              </w:tc>
              <w:tc>
                <w:tcPr>
                  <w:tcW w:w="7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化粪池</w:t>
                  </w:r>
                </w:p>
              </w:tc>
              <w:tc>
                <w:tcPr>
                  <w:tcW w:w="583" w:type="dxa"/>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t>DW001</w:t>
                  </w:r>
                </w:p>
              </w:tc>
              <w:tc>
                <w:tcPr>
                  <w:tcW w:w="851" w:type="dxa"/>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sym w:font="Wingdings 2" w:char="0052"/>
                  </w:r>
                  <w:r>
                    <w:rPr>
                      <w:rFonts w:hint="default" w:ascii="Times New Roman" w:hAnsi="Times New Roman" w:cs="Times New Roman"/>
                      <w:color w:val="000000" w:themeColor="text1"/>
                      <w:sz w:val="21"/>
                      <w:szCs w:val="21"/>
                      <w:highlight w:val="none"/>
                      <w14:textFill>
                        <w14:solidFill>
                          <w14:schemeClr w14:val="tx1"/>
                        </w14:solidFill>
                      </w14:textFill>
                    </w:rPr>
                    <w:t>是</w:t>
                  </w:r>
                </w:p>
                <w:p>
                  <w:pPr>
                    <w:keepNext w:val="0"/>
                    <w:keepLines w:val="0"/>
                    <w:pageBreakBefore w:val="0"/>
                    <w:widowControl w:val="0"/>
                    <w:kinsoku/>
                    <w:wordWrap/>
                    <w:overflowPunct/>
                    <w:topLinePunct w:val="0"/>
                    <w:bidi w:val="0"/>
                    <w:spacing w:line="360" w:lineRule="exact"/>
                    <w:ind w:firstLine="0" w:firstLineChars="0"/>
                    <w:jc w:val="center"/>
                    <w:textAlignment w:val="auto"/>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sym w:font="Wingdings 2" w:char="00A3"/>
                  </w:r>
                  <w:r>
                    <w:rPr>
                      <w:rFonts w:hint="default" w:ascii="Times New Roman" w:hAnsi="Times New Roman" w:cs="Times New Roman"/>
                      <w:color w:val="000000" w:themeColor="text1"/>
                      <w:sz w:val="21"/>
                      <w:szCs w:val="21"/>
                      <w:highlight w:val="none"/>
                      <w14:textFill>
                        <w14:solidFill>
                          <w14:schemeClr w14:val="tx1"/>
                        </w14:solidFill>
                      </w14:textFill>
                    </w:rPr>
                    <w:t>否</w:t>
                  </w:r>
                </w:p>
              </w:tc>
              <w:tc>
                <w:tcPr>
                  <w:tcW w:w="1916" w:type="dxa"/>
                  <w:tcBorders>
                    <w:tl2br w:val="nil"/>
                    <w:tr2bl w:val="nil"/>
                  </w:tcBorders>
                  <w:noWrap w:val="0"/>
                  <w:vAlign w:val="center"/>
                </w:tcPr>
                <w:p>
                  <w:pPr>
                    <w:keepNext w:val="0"/>
                    <w:keepLines w:val="0"/>
                    <w:pageBreakBefore w:val="0"/>
                    <w:widowControl w:val="0"/>
                    <w:kinsoku/>
                    <w:wordWrap/>
                    <w:overflowPunct/>
                    <w:topLinePunct w:val="0"/>
                    <w:bidi w:val="0"/>
                    <w:spacing w:line="360" w:lineRule="exact"/>
                    <w:ind w:firstLine="0" w:firstLineChars="0"/>
                    <w:jc w:val="left"/>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sym w:font="Wingdings 2" w:char="0052"/>
                  </w:r>
                  <w:r>
                    <w:rPr>
                      <w:rFonts w:hint="default" w:ascii="Times New Roman" w:hAnsi="Times New Roman" w:cs="Times New Roman"/>
                      <w:b w:val="0"/>
                      <w:bCs w:val="0"/>
                      <w:color w:val="000000" w:themeColor="text1"/>
                      <w:sz w:val="21"/>
                      <w:szCs w:val="21"/>
                      <w:highlight w:val="none"/>
                      <w14:textFill>
                        <w14:solidFill>
                          <w14:schemeClr w14:val="tx1"/>
                        </w14:solidFill>
                      </w14:textFill>
                    </w:rPr>
                    <w:t>企业总排</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口</w:t>
                  </w:r>
                </w:p>
                <w:p>
                  <w:pPr>
                    <w:keepNext w:val="0"/>
                    <w:keepLines w:val="0"/>
                    <w:pageBreakBefore w:val="0"/>
                    <w:widowControl w:val="0"/>
                    <w:kinsoku/>
                    <w:wordWrap/>
                    <w:overflowPunct/>
                    <w:topLinePunct w:val="0"/>
                    <w:bidi w:val="0"/>
                    <w:spacing w:line="360" w:lineRule="exact"/>
                    <w:ind w:firstLine="0" w:firstLineChars="0"/>
                    <w:jc w:val="left"/>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sym w:font="Wingdings 2" w:char="00A3"/>
                  </w:r>
                  <w:r>
                    <w:rPr>
                      <w:rFonts w:hint="default" w:ascii="Times New Roman" w:hAnsi="Times New Roman" w:cs="Times New Roman"/>
                      <w:b w:val="0"/>
                      <w:bCs w:val="0"/>
                      <w:color w:val="000000" w:themeColor="text1"/>
                      <w:sz w:val="21"/>
                      <w:szCs w:val="21"/>
                      <w:highlight w:val="none"/>
                      <w14:textFill>
                        <w14:solidFill>
                          <w14:schemeClr w14:val="tx1"/>
                        </w14:solidFill>
                      </w14:textFill>
                    </w:rPr>
                    <w:t>雨水排放</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口</w:t>
                  </w:r>
                </w:p>
                <w:p>
                  <w:pPr>
                    <w:keepNext w:val="0"/>
                    <w:keepLines w:val="0"/>
                    <w:pageBreakBefore w:val="0"/>
                    <w:widowControl w:val="0"/>
                    <w:kinsoku/>
                    <w:wordWrap/>
                    <w:overflowPunct/>
                    <w:topLinePunct w:val="0"/>
                    <w:bidi w:val="0"/>
                    <w:spacing w:line="360" w:lineRule="exact"/>
                    <w:ind w:firstLine="0" w:firstLineChars="0"/>
                    <w:jc w:val="left"/>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sym w:font="Wingdings 2" w:char="00A3"/>
                  </w:r>
                  <w:r>
                    <w:rPr>
                      <w:rFonts w:hint="default" w:ascii="Times New Roman" w:hAnsi="Times New Roman" w:cs="Times New Roman"/>
                      <w:b w:val="0"/>
                      <w:bCs w:val="0"/>
                      <w:color w:val="000000" w:themeColor="text1"/>
                      <w:sz w:val="21"/>
                      <w:szCs w:val="21"/>
                      <w:highlight w:val="none"/>
                      <w14:textFill>
                        <w14:solidFill>
                          <w14:schemeClr w14:val="tx1"/>
                        </w14:solidFill>
                      </w14:textFill>
                    </w:rPr>
                    <w:t>清净下水排放</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口</w:t>
                  </w:r>
                </w:p>
                <w:p>
                  <w:pPr>
                    <w:keepNext w:val="0"/>
                    <w:keepLines w:val="0"/>
                    <w:pageBreakBefore w:val="0"/>
                    <w:widowControl w:val="0"/>
                    <w:kinsoku/>
                    <w:wordWrap/>
                    <w:overflowPunct/>
                    <w:topLinePunct w:val="0"/>
                    <w:bidi w:val="0"/>
                    <w:spacing w:line="360" w:lineRule="exact"/>
                    <w:ind w:firstLine="0" w:firstLineChars="0"/>
                    <w:jc w:val="left"/>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sym w:font="Wingdings 2" w:char="00A3"/>
                  </w:r>
                  <w:r>
                    <w:rPr>
                      <w:rFonts w:hint="default" w:ascii="Times New Roman" w:hAnsi="Times New Roman" w:cs="Times New Roman"/>
                      <w:b w:val="0"/>
                      <w:bCs w:val="0"/>
                      <w:color w:val="000000" w:themeColor="text1"/>
                      <w:sz w:val="21"/>
                      <w:szCs w:val="21"/>
                      <w:highlight w:val="none"/>
                      <w14:textFill>
                        <w14:solidFill>
                          <w14:schemeClr w14:val="tx1"/>
                        </w14:solidFill>
                      </w14:textFill>
                    </w:rPr>
                    <w:t>温排水排放</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口</w:t>
                  </w:r>
                </w:p>
                <w:p>
                  <w:pPr>
                    <w:keepNext w:val="0"/>
                    <w:keepLines w:val="0"/>
                    <w:pageBreakBefore w:val="0"/>
                    <w:widowControl w:val="0"/>
                    <w:kinsoku/>
                    <w:wordWrap/>
                    <w:overflowPunct/>
                    <w:topLinePunct w:val="0"/>
                    <w:bidi w:val="0"/>
                    <w:spacing w:line="360" w:lineRule="exact"/>
                    <w:ind w:firstLine="0" w:firstLineChars="0"/>
                    <w:jc w:val="left"/>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u w:val="none"/>
                      <w14:textFill>
                        <w14:solidFill>
                          <w14:schemeClr w14:val="tx1"/>
                        </w14:solidFill>
                      </w14:textFill>
                    </w:rPr>
                    <w:sym w:font="Wingdings 2" w:char="00A3"/>
                  </w:r>
                  <w:r>
                    <w:rPr>
                      <w:rFonts w:hint="default" w:ascii="Times New Roman" w:hAnsi="Times New Roman" w:cs="Times New Roman"/>
                      <w:b w:val="0"/>
                      <w:bCs w:val="0"/>
                      <w:color w:val="000000" w:themeColor="text1"/>
                      <w:sz w:val="21"/>
                      <w:szCs w:val="21"/>
                      <w:highlight w:val="none"/>
                      <w14:textFill>
                        <w14:solidFill>
                          <w14:schemeClr w14:val="tx1"/>
                        </w14:solidFill>
                      </w14:textFill>
                    </w:rPr>
                    <w:t>车间或车间处理设施排放口</w:t>
                  </w:r>
                </w:p>
              </w:tc>
            </w:tr>
          </w:tbl>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表38              废水间接排放口基本情况表</w:t>
            </w:r>
          </w:p>
          <w:tbl>
            <w:tblPr>
              <w:tblStyle w:val="38"/>
              <w:tblW w:w="508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58"/>
              <w:gridCol w:w="719"/>
              <w:gridCol w:w="782"/>
              <w:gridCol w:w="765"/>
              <w:gridCol w:w="1058"/>
              <w:gridCol w:w="1055"/>
              <w:gridCol w:w="742"/>
              <w:gridCol w:w="679"/>
              <w:gridCol w:w="1043"/>
              <w:gridCol w:w="811"/>
              <w:gridCol w:w="129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序号</w:t>
                  </w:r>
                </w:p>
              </w:tc>
              <w:tc>
                <w:tcPr>
                  <w:tcW w:w="38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排放口编号</w:t>
                  </w:r>
                </w:p>
              </w:tc>
              <w:tc>
                <w:tcPr>
                  <w:tcW w:w="830" w:type="pct"/>
                  <w:gridSpan w:val="2"/>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排放口地理坐标</w:t>
                  </w:r>
                </w:p>
              </w:tc>
              <w:tc>
                <w:tcPr>
                  <w:tcW w:w="56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废水排放量</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（万t/a）</w:t>
                  </w:r>
                </w:p>
              </w:tc>
              <w:tc>
                <w:tcPr>
                  <w:tcW w:w="56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排放去向</w:t>
                  </w:r>
                </w:p>
              </w:tc>
              <w:tc>
                <w:tcPr>
                  <w:tcW w:w="39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排放规律</w:t>
                  </w:r>
                </w:p>
              </w:tc>
              <w:tc>
                <w:tcPr>
                  <w:tcW w:w="36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间歇排放时段</w:t>
                  </w:r>
                </w:p>
              </w:tc>
              <w:tc>
                <w:tcPr>
                  <w:tcW w:w="1692"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受纳污水处理厂信息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5" w:hRule="atLeast"/>
                <w:jc w:val="center"/>
              </w:trPr>
              <w:tc>
                <w:tcPr>
                  <w:tcW w:w="19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p>
              </w:tc>
              <w:tc>
                <w:tcPr>
                  <w:tcW w:w="38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p>
              </w:tc>
              <w:tc>
                <w:tcPr>
                  <w:tcW w:w="830" w:type="pct"/>
                  <w:gridSpan w:val="2"/>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p>
              </w:tc>
              <w:tc>
                <w:tcPr>
                  <w:tcW w:w="56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p>
              </w:tc>
              <w:tc>
                <w:tcPr>
                  <w:tcW w:w="5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p>
              </w:tc>
              <w:tc>
                <w:tcPr>
                  <w:tcW w:w="3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p>
              </w:tc>
              <w:tc>
                <w:tcPr>
                  <w:tcW w:w="36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p>
              </w:tc>
              <w:tc>
                <w:tcPr>
                  <w:tcW w:w="56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名称</w:t>
                  </w:r>
                </w:p>
              </w:tc>
              <w:tc>
                <w:tcPr>
                  <w:tcW w:w="435"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污染物种类</w:t>
                  </w:r>
                </w:p>
              </w:tc>
              <w:tc>
                <w:tcPr>
                  <w:tcW w:w="69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国家或地方污染物排放标准浓度限值（mg/L）</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5" w:hRule="atLeast"/>
                <w:jc w:val="center"/>
              </w:trPr>
              <w:tc>
                <w:tcPr>
                  <w:tcW w:w="19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cs="Times New Roman"/>
                      <w:color w:val="000000" w:themeColor="text1"/>
                      <w14:textFill>
                        <w14:solidFill>
                          <w14:schemeClr w14:val="tx1"/>
                        </w14:solidFill>
                      </w14:textFill>
                    </w:rPr>
                  </w:pPr>
                </w:p>
              </w:tc>
              <w:tc>
                <w:tcPr>
                  <w:tcW w:w="38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cs="Times New Roman"/>
                      <w:color w:val="000000" w:themeColor="text1"/>
                      <w14:textFill>
                        <w14:solidFill>
                          <w14:schemeClr w14:val="tx1"/>
                        </w14:solidFill>
                      </w14:textFill>
                    </w:rPr>
                  </w:pPr>
                </w:p>
              </w:tc>
              <w:tc>
                <w:tcPr>
                  <w:tcW w:w="4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经度</w:t>
                  </w:r>
                </w:p>
              </w:tc>
              <w:tc>
                <w:tcPr>
                  <w:tcW w:w="41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纬度</w:t>
                  </w:r>
                </w:p>
              </w:tc>
              <w:tc>
                <w:tcPr>
                  <w:tcW w:w="56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p>
              </w:tc>
              <w:tc>
                <w:tcPr>
                  <w:tcW w:w="5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p>
              </w:tc>
              <w:tc>
                <w:tcPr>
                  <w:tcW w:w="3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p>
              </w:tc>
              <w:tc>
                <w:tcPr>
                  <w:tcW w:w="36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p>
              </w:tc>
              <w:tc>
                <w:tcPr>
                  <w:tcW w:w="56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p>
              </w:tc>
              <w:tc>
                <w:tcPr>
                  <w:tcW w:w="435"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p>
              </w:tc>
              <w:tc>
                <w:tcPr>
                  <w:tcW w:w="69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9" w:hRule="atLeast"/>
                <w:jc w:val="center"/>
              </w:trPr>
              <w:tc>
                <w:tcPr>
                  <w:tcW w:w="19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w:t>
                  </w:r>
                </w:p>
              </w:tc>
              <w:tc>
                <w:tcPr>
                  <w:tcW w:w="38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DW001</w:t>
                  </w:r>
                </w:p>
              </w:tc>
              <w:tc>
                <w:tcPr>
                  <w:tcW w:w="42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114.071940</w:t>
                  </w:r>
                </w:p>
              </w:tc>
              <w:tc>
                <w:tcPr>
                  <w:tcW w:w="41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33.550403</w:t>
                  </w:r>
                </w:p>
              </w:tc>
              <w:tc>
                <w:tcPr>
                  <w:tcW w:w="56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0.0046</w:t>
                  </w:r>
                </w:p>
              </w:tc>
              <w:tc>
                <w:tcPr>
                  <w:tcW w:w="56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漯河经济技术产业集聚区污水处理厂</w:t>
                  </w:r>
                </w:p>
              </w:tc>
              <w:tc>
                <w:tcPr>
                  <w:tcW w:w="39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vertAlign w:val="baseline"/>
                      <w:lang w:val="en-US" w:eastAsia="zh-CN"/>
                      <w14:textFill>
                        <w14:solidFill>
                          <w14:schemeClr w14:val="tx1"/>
                        </w14:solidFill>
                      </w14:textFill>
                    </w:rPr>
                    <w:t>间断排放，流量不稳定</w:t>
                  </w:r>
                </w:p>
              </w:tc>
              <w:tc>
                <w:tcPr>
                  <w:tcW w:w="36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昼夜</w:t>
                  </w:r>
                </w:p>
              </w:tc>
              <w:tc>
                <w:tcPr>
                  <w:tcW w:w="56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漯河经济技术产业集聚区污水处理厂</w:t>
                  </w:r>
                </w:p>
              </w:tc>
              <w:tc>
                <w:tcPr>
                  <w:tcW w:w="4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COD</w:t>
                  </w:r>
                </w:p>
              </w:tc>
              <w:tc>
                <w:tcPr>
                  <w:tcW w:w="6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91" w:hRule="atLeast"/>
                <w:jc w:val="center"/>
              </w:trPr>
              <w:tc>
                <w:tcPr>
                  <w:tcW w:w="19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38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42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41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6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3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36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6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4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NH</w:t>
                  </w:r>
                  <w:r>
                    <w:rPr>
                      <w:rFonts w:hint="default" w:ascii="Times New Roman" w:hAnsi="Times New Roman" w:eastAsia="宋体" w:cs="Times New Roman"/>
                      <w:b w:val="0"/>
                      <w:bCs w:val="0"/>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14:textFill>
                        <w14:solidFill>
                          <w14:schemeClr w14:val="tx1"/>
                        </w14:solidFill>
                      </w14:textFill>
                    </w:rPr>
                    <w:t>N</w:t>
                  </w:r>
                </w:p>
              </w:tc>
              <w:tc>
                <w:tcPr>
                  <w:tcW w:w="6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9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38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42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41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6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39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36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6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4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SS</w:t>
                  </w:r>
                </w:p>
              </w:tc>
              <w:tc>
                <w:tcPr>
                  <w:tcW w:w="69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w:t>
                  </w:r>
                </w:p>
              </w:tc>
            </w:tr>
          </w:tbl>
          <w:p>
            <w:pPr>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bCs/>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sz w:val="24"/>
                <w:szCs w:val="24"/>
                <w14:textFill>
                  <w14:solidFill>
                    <w14:schemeClr w14:val="tx1"/>
                  </w14:solidFill>
                </w14:textFill>
              </w:rPr>
              <w:t>2.</w:t>
            </w: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5</w:t>
            </w:r>
            <w:r>
              <w:rPr>
                <w:rFonts w:hint="default" w:ascii="Times New Roman" w:hAnsi="Times New Roman" w:eastAsia="宋体" w:cs="Times New Roman"/>
                <w:b/>
                <w:bCs/>
                <w:color w:val="000000" w:themeColor="text1"/>
                <w:sz w:val="24"/>
                <w:szCs w:val="24"/>
                <w14:textFill>
                  <w14:solidFill>
                    <w14:schemeClr w14:val="tx1"/>
                  </w14:solidFill>
                </w14:textFill>
              </w:rPr>
              <w:t>自行监测</w:t>
            </w:r>
          </w:p>
          <w:p>
            <w:pPr>
              <w:keepNext w:val="0"/>
              <w:keepLines w:val="0"/>
              <w:pageBreakBefore w:val="0"/>
              <w:widowControl/>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cs="Times New Roman"/>
                <w:bCs/>
                <w:color w:val="000000" w:themeColor="text1"/>
                <w:sz w:val="24"/>
                <w14:textFill>
                  <w14:solidFill>
                    <w14:schemeClr w14:val="tx1"/>
                  </w14:solidFill>
                </w14:textFill>
              </w:rPr>
              <w:t>依据</w:t>
            </w:r>
            <w:r>
              <w:rPr>
                <w:rFonts w:hint="default" w:ascii="Times New Roman" w:hAnsi="Times New Roman" w:eastAsia="宋体" w:cs="Times New Roman"/>
                <w:color w:val="000000" w:themeColor="text1"/>
                <w:sz w:val="24"/>
                <w:lang w:val="en-US" w:eastAsia="zh-CN"/>
                <w14:textFill>
                  <w14:solidFill>
                    <w14:schemeClr w14:val="tx1"/>
                  </w14:solidFill>
                </w14:textFill>
              </w:rPr>
              <w:t>《排污单位自行监测技术指南 总则》（HJ819-2017）</w:t>
            </w:r>
            <w:r>
              <w:rPr>
                <w:rFonts w:hint="default" w:ascii="Times New Roman" w:hAnsi="Times New Roman" w:cs="Times New Roman"/>
                <w:bCs/>
                <w:color w:val="000000" w:themeColor="text1"/>
                <w:sz w:val="24"/>
                <w14:textFill>
                  <w14:solidFill>
                    <w14:schemeClr w14:val="tx1"/>
                  </w14:solidFill>
                </w14:textFill>
              </w:rPr>
              <w:t>确定</w:t>
            </w:r>
            <w:r>
              <w:rPr>
                <w:rFonts w:hint="default" w:ascii="Times New Roman" w:hAnsi="Times New Roman" w:cs="Times New Roman"/>
                <w:bCs/>
                <w:color w:val="000000" w:themeColor="text1"/>
                <w:sz w:val="24"/>
                <w:lang w:val="en-US" w:eastAsia="zh-CN"/>
                <w14:textFill>
                  <w14:solidFill>
                    <w14:schemeClr w14:val="tx1"/>
                  </w14:solidFill>
                </w14:textFill>
              </w:rPr>
              <w:t>本项目废水</w:t>
            </w:r>
            <w:r>
              <w:rPr>
                <w:rFonts w:hint="default" w:ascii="Times New Roman" w:hAnsi="Times New Roman" w:cs="Times New Roman"/>
                <w:bCs/>
                <w:color w:val="000000" w:themeColor="text1"/>
                <w:sz w:val="24"/>
                <w14:textFill>
                  <w14:solidFill>
                    <w14:schemeClr w14:val="tx1"/>
                  </w14:solidFill>
                </w14:textFill>
              </w:rPr>
              <w:t>监测计划见下表</w:t>
            </w:r>
            <w:r>
              <w:rPr>
                <w:rFonts w:hint="default" w:ascii="Times New Roman" w:hAnsi="Times New Roman" w:cs="Times New Roman"/>
                <w:bCs/>
                <w:color w:val="000000" w:themeColor="text1"/>
                <w:sz w:val="24"/>
                <w:lang w:eastAsia="zh-CN"/>
                <w14:textFill>
                  <w14:solidFill>
                    <w14:schemeClr w14:val="tx1"/>
                  </w14:solidFill>
                </w14:textFill>
              </w:rPr>
              <w:t>。</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表39            废水自行监测计划表</w:t>
            </w:r>
          </w:p>
          <w:tbl>
            <w:tblPr>
              <w:tblStyle w:val="37"/>
              <w:tblW w:w="932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12"/>
              <w:gridCol w:w="5290"/>
              <w:gridCol w:w="20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noWrap w:val="0"/>
                  <w:vAlign w:val="center"/>
                </w:tcPr>
                <w:p>
                  <w:pPr>
                    <w:spacing w:line="240" w:lineRule="auto"/>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监测点</w:t>
                  </w:r>
                </w:p>
              </w:tc>
              <w:tc>
                <w:tcPr>
                  <w:tcW w:w="2836" w:type="pct"/>
                  <w:tcBorders>
                    <w:tl2br w:val="nil"/>
                    <w:tr2bl w:val="nil"/>
                  </w:tcBorders>
                  <w:noWrap w:val="0"/>
                  <w:vAlign w:val="center"/>
                </w:tcPr>
                <w:p>
                  <w:pPr>
                    <w:spacing w:line="240" w:lineRule="auto"/>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监测指标</w:t>
                  </w:r>
                </w:p>
              </w:tc>
              <w:tc>
                <w:tcPr>
                  <w:tcW w:w="1084" w:type="pct"/>
                  <w:tcBorders>
                    <w:tl2br w:val="nil"/>
                    <w:tr2bl w:val="nil"/>
                  </w:tcBorders>
                  <w:noWrap w:val="0"/>
                  <w:vAlign w:val="center"/>
                </w:tcPr>
                <w:p>
                  <w:pPr>
                    <w:spacing w:line="240" w:lineRule="auto"/>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监测频次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8" w:type="pct"/>
                  <w:tcBorders>
                    <w:tl2br w:val="nil"/>
                    <w:tr2bl w:val="nil"/>
                  </w:tcBorders>
                  <w:noWrap w:val="0"/>
                  <w:vAlign w:val="center"/>
                </w:tcPr>
                <w:p>
                  <w:pPr>
                    <w:spacing w:line="240" w:lineRule="auto"/>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污水总排口</w:t>
                  </w:r>
                </w:p>
              </w:tc>
              <w:tc>
                <w:tcPr>
                  <w:tcW w:w="2836" w:type="pct"/>
                  <w:tcBorders>
                    <w:tl2br w:val="nil"/>
                    <w:tr2bl w:val="nil"/>
                  </w:tcBorders>
                  <w:noWrap w:val="0"/>
                  <w:vAlign w:val="center"/>
                </w:tcPr>
                <w:p>
                  <w:pPr>
                    <w:spacing w:line="240" w:lineRule="auto"/>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COD</w:t>
                  </w:r>
                  <w:r>
                    <w:rPr>
                      <w:rFonts w:hint="default" w:ascii="Times New Roman" w:hAnsi="Times New Roman" w:cs="Times New Roman"/>
                      <w:b w:val="0"/>
                      <w:bCs w:val="0"/>
                      <w:color w:val="000000" w:themeColor="text1"/>
                      <w:sz w:val="21"/>
                      <w:szCs w:val="21"/>
                      <w14:textFill>
                        <w14:solidFill>
                          <w14:schemeClr w14:val="tx1"/>
                        </w14:solidFill>
                      </w14:textFill>
                    </w:rPr>
                    <w:t>、</w:t>
                  </w:r>
                  <w:r>
                    <w:rPr>
                      <w:rFonts w:hint="default" w:ascii="Times New Roman" w:hAnsi="Times New Roman" w:eastAsia="宋体" w:cs="Times New Roman"/>
                      <w:b w:val="0"/>
                      <w:bCs w:val="0"/>
                      <w:color w:val="000000" w:themeColor="text1"/>
                      <w:sz w:val="21"/>
                      <w:szCs w:val="21"/>
                      <w14:textFill>
                        <w14:solidFill>
                          <w14:schemeClr w14:val="tx1"/>
                        </w14:solidFill>
                      </w14:textFill>
                    </w:rPr>
                    <w:t>NH</w:t>
                  </w:r>
                  <w:r>
                    <w:rPr>
                      <w:rFonts w:hint="default" w:ascii="Times New Roman" w:hAnsi="Times New Roman" w:eastAsia="宋体" w:cs="Times New Roman"/>
                      <w:b w:val="0"/>
                      <w:bCs w:val="0"/>
                      <w:color w:val="000000" w:themeColor="text1"/>
                      <w:sz w:val="21"/>
                      <w:szCs w:val="21"/>
                      <w:vertAlign w:val="subscript"/>
                      <w14:textFill>
                        <w14:solidFill>
                          <w14:schemeClr w14:val="tx1"/>
                        </w14:solidFill>
                      </w14:textFill>
                    </w:rPr>
                    <w:t>3</w:t>
                  </w: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14:textFill>
                        <w14:solidFill>
                          <w14:schemeClr w14:val="tx1"/>
                        </w14:solidFill>
                      </w14:textFill>
                    </w:rPr>
                    <w:t>N</w:t>
                  </w:r>
                  <w:r>
                    <w:rPr>
                      <w:rFonts w:hint="default" w:ascii="Times New Roman" w:hAnsi="Times New Roman" w:cs="Times New Roman"/>
                      <w:b w:val="0"/>
                      <w:bCs w:val="0"/>
                      <w:color w:val="000000" w:themeColor="text1"/>
                      <w:sz w:val="21"/>
                      <w:szCs w:val="21"/>
                      <w14:textFill>
                        <w14:solidFill>
                          <w14:schemeClr w14:val="tx1"/>
                        </w14:solidFill>
                      </w14:textFill>
                    </w:rPr>
                    <w:t>、</w:t>
                  </w:r>
                  <w:r>
                    <w:rPr>
                      <w:rFonts w:hint="default" w:ascii="Times New Roman" w:hAnsi="Times New Roman" w:cs="Times New Roman"/>
                      <w:b w:val="0"/>
                      <w:bCs w:val="0"/>
                      <w:color w:val="000000" w:themeColor="text1"/>
                      <w:sz w:val="21"/>
                      <w:szCs w:val="21"/>
                      <w:lang w:val="en-US" w:eastAsia="zh-CN"/>
                      <w14:textFill>
                        <w14:solidFill>
                          <w14:schemeClr w14:val="tx1"/>
                        </w14:solidFill>
                      </w14:textFill>
                    </w:rPr>
                    <w:t>SS</w:t>
                  </w:r>
                </w:p>
              </w:tc>
              <w:tc>
                <w:tcPr>
                  <w:tcW w:w="1084" w:type="pct"/>
                  <w:tcBorders>
                    <w:tl2br w:val="nil"/>
                    <w:tr2bl w:val="nil"/>
                  </w:tcBorders>
                  <w:noWrap w:val="0"/>
                  <w:vAlign w:val="center"/>
                </w:tcPr>
                <w:p>
                  <w:pPr>
                    <w:spacing w:line="240" w:lineRule="auto"/>
                    <w:jc w:val="center"/>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u w:val="none"/>
                      <w:lang w:val="en-US" w:eastAsia="zh-CN"/>
                      <w14:textFill>
                        <w14:solidFill>
                          <w14:schemeClr w14:val="tx1"/>
                        </w14:solidFill>
                      </w14:textFill>
                    </w:rPr>
                    <w:t>每年一次</w:t>
                  </w:r>
                </w:p>
              </w:tc>
            </w:tr>
          </w:tbl>
          <w:p>
            <w:pPr>
              <w:pStyle w:val="36"/>
              <w:keepNext w:val="0"/>
              <w:keepLines w:val="0"/>
              <w:pageBreakBefore w:val="0"/>
              <w:widowControl w:val="0"/>
              <w:kinsoku/>
              <w:wordWrap/>
              <w:overflowPunct/>
              <w:topLinePunct w:val="0"/>
              <w:autoSpaceDE/>
              <w:autoSpaceDN/>
              <w:bidi w:val="0"/>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3</w:t>
            </w:r>
            <w:r>
              <w:rPr>
                <w:rFonts w:hint="default" w:ascii="Times New Roman" w:hAnsi="Times New Roman" w:cs="Times New Roman"/>
                <w:b/>
                <w:bCs/>
                <w:color w:val="000000" w:themeColor="text1"/>
                <w:sz w:val="24"/>
                <w:szCs w:val="24"/>
                <w:lang w:eastAsia="zh-CN"/>
                <w14:textFill>
                  <w14:solidFill>
                    <w14:schemeClr w14:val="tx1"/>
                  </w14:solidFill>
                </w14:textFill>
              </w:rPr>
              <w:t>、</w:t>
            </w:r>
            <w:r>
              <w:rPr>
                <w:rFonts w:hint="default" w:ascii="Times New Roman" w:hAnsi="Times New Roman" w:cs="Times New Roman"/>
                <w:b/>
                <w:bCs/>
                <w:color w:val="000000" w:themeColor="text1"/>
                <w:sz w:val="24"/>
                <w:szCs w:val="24"/>
                <w14:textFill>
                  <w14:solidFill>
                    <w14:schemeClr w14:val="tx1"/>
                  </w14:solidFill>
                </w14:textFill>
              </w:rPr>
              <w:t>噪声</w:t>
            </w:r>
          </w:p>
          <w:p>
            <w:pPr>
              <w:keepNext w:val="0"/>
              <w:keepLines w:val="0"/>
              <w:pageBreakBefore w:val="0"/>
              <w:widowControl w:val="0"/>
              <w:kinsoku/>
              <w:wordWrap/>
              <w:overflowPunct/>
              <w:topLinePunct w:val="0"/>
              <w:autoSpaceDE/>
              <w:autoSpaceDN/>
              <w:bidi w:val="0"/>
              <w:spacing w:line="480" w:lineRule="exact"/>
              <w:ind w:firstLine="480" w:firstLineChars="200"/>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项目营运期产生的噪声主要有加油机、油泵等运行噪声，以及车辆进、出加油站时的交通噪声，噪声值为65dB(A)~75dB(A)。噪声源强见下表</w:t>
            </w:r>
            <w:r>
              <w:rPr>
                <w:rFonts w:hint="default" w:ascii="Times New Roman" w:hAnsi="Times New Roman" w:cs="Times New Roman"/>
                <w:color w:val="000000" w:themeColor="text1"/>
                <w:sz w:val="24"/>
                <w:szCs w:val="24"/>
                <w:lang w:eastAsia="zh-CN"/>
                <w14:textFill>
                  <w14:solidFill>
                    <w14:schemeClr w14:val="tx1"/>
                  </w14:solidFill>
                </w14:textFill>
              </w:rPr>
              <w:t>：</w:t>
            </w:r>
          </w:p>
          <w:p>
            <w:pPr>
              <w:pStyle w:val="15"/>
              <w:keepNext w:val="0"/>
              <w:keepLines w:val="0"/>
              <w:pageBreakBefore w:val="0"/>
              <w:kinsoku/>
              <w:wordWrap/>
              <w:overflowPunct/>
              <w:topLinePunct w:val="0"/>
              <w:bidi w:val="0"/>
              <w:spacing w:line="480" w:lineRule="exact"/>
              <w:ind w:left="0" w:firstLine="482"/>
              <w:rPr>
                <w:rFonts w:hint="default" w:ascii="Times New Roman" w:hAnsi="Times New Roman" w:eastAsia="宋体" w:cs="Times New Roman"/>
                <w:b/>
                <w:color w:val="000000" w:themeColor="text1"/>
                <w:sz w:val="24"/>
                <w:szCs w:val="24"/>
                <w:u w:val="none"/>
                <w:lang w:val="en-US" w:eastAsia="zh-CN"/>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 xml:space="preserve"> 表40          工业企业噪声源强调查清单（室外声源）  </w:t>
            </w:r>
            <w:r>
              <w:rPr>
                <w:rFonts w:hint="default" w:ascii="Times New Roman" w:hAnsi="Times New Roman" w:eastAsia="宋体" w:cs="Times New Roman"/>
                <w:b/>
                <w:color w:val="000000" w:themeColor="text1"/>
                <w:sz w:val="24"/>
                <w:szCs w:val="24"/>
                <w:u w:val="none"/>
                <w:lang w:val="en-US" w:eastAsia="zh-CN"/>
                <w14:textFill>
                  <w14:solidFill>
                    <w14:schemeClr w14:val="tx1"/>
                  </w14:solidFill>
                </w14:textFill>
              </w:rPr>
              <w:t xml:space="preserve">   </w:t>
            </w:r>
          </w:p>
          <w:tbl>
            <w:tblPr>
              <w:tblStyle w:val="37"/>
              <w:tblW w:w="9254"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536"/>
              <w:gridCol w:w="1181"/>
              <w:gridCol w:w="987"/>
              <w:gridCol w:w="979"/>
              <w:gridCol w:w="836"/>
              <w:gridCol w:w="1753"/>
              <w:gridCol w:w="1895"/>
              <w:gridCol w:w="108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289" w:type="pct"/>
                  <w:vMerge w:val="restar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序号</w:t>
                  </w:r>
                </w:p>
              </w:tc>
              <w:tc>
                <w:tcPr>
                  <w:tcW w:w="638" w:type="pct"/>
                  <w:vMerge w:val="restar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声源名称</w:t>
                  </w:r>
                </w:p>
              </w:tc>
              <w:tc>
                <w:tcPr>
                  <w:tcW w:w="1513" w:type="pct"/>
                  <w:gridSpan w:val="3"/>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空间相对位置/m</w:t>
                  </w:r>
                </w:p>
              </w:tc>
              <w:tc>
                <w:tcPr>
                  <w:tcW w:w="947"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声源源强</w:t>
                  </w:r>
                </w:p>
              </w:tc>
              <w:tc>
                <w:tcPr>
                  <w:tcW w:w="1023" w:type="pct"/>
                  <w:vMerge w:val="restar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声源控制措施</w:t>
                  </w:r>
                </w:p>
              </w:tc>
              <w:tc>
                <w:tcPr>
                  <w:tcW w:w="587" w:type="pct"/>
                  <w:vMerge w:val="restar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运行时段</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89" w:type="pct"/>
                  <w:vMerge w:val="continue"/>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638" w:type="pct"/>
                  <w:vMerge w:val="continue"/>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533"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i/>
                      <w:color w:val="000000" w:themeColor="text1"/>
                      <w:sz w:val="21"/>
                      <w:szCs w:val="21"/>
                      <w14:textFill>
                        <w14:solidFill>
                          <w14:schemeClr w14:val="tx1"/>
                        </w14:solidFill>
                      </w14:textFill>
                    </w:rPr>
                  </w:pPr>
                  <w:r>
                    <w:rPr>
                      <w:rFonts w:hint="default" w:ascii="Times New Roman" w:hAnsi="Times New Roman" w:cs="Times New Roman"/>
                      <w:i/>
                      <w:color w:val="000000" w:themeColor="text1"/>
                      <w:sz w:val="21"/>
                      <w:szCs w:val="21"/>
                      <w14:textFill>
                        <w14:solidFill>
                          <w14:schemeClr w14:val="tx1"/>
                        </w14:solidFill>
                      </w14:textFill>
                    </w:rPr>
                    <w:t>X</w:t>
                  </w:r>
                </w:p>
              </w:tc>
              <w:tc>
                <w:tcPr>
                  <w:tcW w:w="528"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i/>
                      <w:color w:val="000000" w:themeColor="text1"/>
                      <w:sz w:val="21"/>
                      <w:szCs w:val="21"/>
                      <w14:textFill>
                        <w14:solidFill>
                          <w14:schemeClr w14:val="tx1"/>
                        </w14:solidFill>
                      </w14:textFill>
                    </w:rPr>
                  </w:pPr>
                  <w:r>
                    <w:rPr>
                      <w:rFonts w:hint="default" w:ascii="Times New Roman" w:hAnsi="Times New Roman" w:cs="Times New Roman"/>
                      <w:i/>
                      <w:color w:val="000000" w:themeColor="text1"/>
                      <w:sz w:val="21"/>
                      <w:szCs w:val="21"/>
                      <w14:textFill>
                        <w14:solidFill>
                          <w14:schemeClr w14:val="tx1"/>
                        </w14:solidFill>
                      </w14:textFill>
                    </w:rPr>
                    <w:t>Y</w:t>
                  </w:r>
                </w:p>
              </w:tc>
              <w:tc>
                <w:tcPr>
                  <w:tcW w:w="451"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i/>
                      <w:color w:val="000000" w:themeColor="text1"/>
                      <w:sz w:val="21"/>
                      <w:szCs w:val="21"/>
                      <w14:textFill>
                        <w14:solidFill>
                          <w14:schemeClr w14:val="tx1"/>
                        </w14:solidFill>
                      </w14:textFill>
                    </w:rPr>
                  </w:pPr>
                  <w:r>
                    <w:rPr>
                      <w:rFonts w:hint="default" w:ascii="Times New Roman" w:hAnsi="Times New Roman" w:cs="Times New Roman"/>
                      <w:i/>
                      <w:color w:val="000000" w:themeColor="text1"/>
                      <w:sz w:val="21"/>
                      <w:szCs w:val="21"/>
                      <w14:textFill>
                        <w14:solidFill>
                          <w14:schemeClr w14:val="tx1"/>
                        </w14:solidFill>
                      </w14:textFill>
                    </w:rPr>
                    <w:t>Z</w:t>
                  </w:r>
                </w:p>
              </w:tc>
              <w:tc>
                <w:tcPr>
                  <w:tcW w:w="947"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声功率级/dB(A)</w:t>
                  </w:r>
                </w:p>
              </w:tc>
              <w:tc>
                <w:tcPr>
                  <w:tcW w:w="1023" w:type="pct"/>
                  <w:vMerge w:val="continue"/>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color w:val="000000" w:themeColor="text1"/>
                      <w:sz w:val="21"/>
                      <w:szCs w:val="21"/>
                      <w14:textFill>
                        <w14:solidFill>
                          <w14:schemeClr w14:val="tx1"/>
                        </w14:solidFill>
                      </w14:textFill>
                    </w:rPr>
                  </w:pPr>
                </w:p>
              </w:tc>
              <w:tc>
                <w:tcPr>
                  <w:tcW w:w="587" w:type="pct"/>
                  <w:vMerge w:val="continue"/>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color w:val="000000" w:themeColor="text1"/>
                      <w:sz w:val="21"/>
                      <w:szCs w:val="21"/>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289"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638"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加油机</w:t>
                  </w:r>
                </w:p>
              </w:tc>
              <w:tc>
                <w:tcPr>
                  <w:tcW w:w="533"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26.6</w:t>
                  </w:r>
                </w:p>
              </w:tc>
              <w:tc>
                <w:tcPr>
                  <w:tcW w:w="528"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-15.0</w:t>
                  </w:r>
                </w:p>
              </w:tc>
              <w:tc>
                <w:tcPr>
                  <w:tcW w:w="451"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1.0</w:t>
                  </w:r>
                </w:p>
              </w:tc>
              <w:tc>
                <w:tcPr>
                  <w:tcW w:w="947"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70</w:t>
                  </w:r>
                </w:p>
              </w:tc>
              <w:tc>
                <w:tcPr>
                  <w:tcW w:w="1023"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建筑隔声、减振</w:t>
                  </w:r>
                </w:p>
              </w:tc>
              <w:tc>
                <w:tcPr>
                  <w:tcW w:w="587" w:type="pct"/>
                  <w:vMerge w:val="restar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昼夜</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289"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w:t>
                  </w:r>
                </w:p>
              </w:tc>
              <w:tc>
                <w:tcPr>
                  <w:tcW w:w="638"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油泵</w:t>
                  </w:r>
                </w:p>
              </w:tc>
              <w:tc>
                <w:tcPr>
                  <w:tcW w:w="533"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53.6</w:t>
                  </w:r>
                </w:p>
              </w:tc>
              <w:tc>
                <w:tcPr>
                  <w:tcW w:w="528"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-9.6</w:t>
                  </w:r>
                </w:p>
              </w:tc>
              <w:tc>
                <w:tcPr>
                  <w:tcW w:w="451"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1.0</w:t>
                  </w:r>
                </w:p>
              </w:tc>
              <w:tc>
                <w:tcPr>
                  <w:tcW w:w="947"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75</w:t>
                  </w:r>
                </w:p>
              </w:tc>
              <w:tc>
                <w:tcPr>
                  <w:tcW w:w="1023"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建筑隔声、减振</w:t>
                  </w:r>
                </w:p>
              </w:tc>
              <w:tc>
                <w:tcPr>
                  <w:tcW w:w="587" w:type="pct"/>
                  <w:vMerge w:val="continue"/>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289"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3</w:t>
                  </w:r>
                </w:p>
              </w:tc>
              <w:tc>
                <w:tcPr>
                  <w:tcW w:w="638"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进出车辆</w:t>
                  </w:r>
                </w:p>
              </w:tc>
              <w:tc>
                <w:tcPr>
                  <w:tcW w:w="533"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26.6</w:t>
                  </w:r>
                </w:p>
              </w:tc>
              <w:tc>
                <w:tcPr>
                  <w:tcW w:w="528"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-19.4</w:t>
                  </w:r>
                </w:p>
              </w:tc>
              <w:tc>
                <w:tcPr>
                  <w:tcW w:w="451"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1.0</w:t>
                  </w:r>
                </w:p>
              </w:tc>
              <w:tc>
                <w:tcPr>
                  <w:tcW w:w="947"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65</w:t>
                  </w:r>
                </w:p>
              </w:tc>
              <w:tc>
                <w:tcPr>
                  <w:tcW w:w="1023" w:type="pct"/>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建筑隔声</w:t>
                  </w:r>
                </w:p>
              </w:tc>
              <w:tc>
                <w:tcPr>
                  <w:tcW w:w="587" w:type="pct"/>
                  <w:vMerge w:val="continue"/>
                  <w:tcBorders>
                    <w:tl2br w:val="nil"/>
                    <w:tr2bl w:val="nil"/>
                  </w:tcBorders>
                  <w:vAlign w:val="center"/>
                </w:tcPr>
                <w:p>
                  <w:pPr>
                    <w:pStyle w:val="12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0" w:type="dxa"/>
                  <w:bottom w:w="0" w:type="dxa"/>
                  <w:right w:w="0" w:type="dxa"/>
                </w:tblCellMar>
              </w:tblPrEx>
              <w:trPr>
                <w:trHeight w:val="20" w:hRule="atLeast"/>
                <w:jc w:val="center"/>
              </w:trPr>
              <w:tc>
                <w:tcPr>
                  <w:tcW w:w="5000" w:type="pct"/>
                  <w:gridSpan w:val="8"/>
                  <w:tcBorders>
                    <w:tl2br w:val="nil"/>
                    <w:tr2bl w:val="nil"/>
                  </w:tcBorders>
                  <w:vAlign w:val="center"/>
                </w:tcPr>
                <w:p>
                  <w:pPr>
                    <w:pStyle w:val="33"/>
                    <w:keepNext w:val="0"/>
                    <w:keepLines w:val="0"/>
                    <w:widowControl/>
                    <w:suppressLineNumbers w:val="0"/>
                    <w:spacing w:before="0" w:beforeAutospacing="0" w:after="0" w:afterAutospacing="0"/>
                    <w:ind w:left="0" w:right="0" w:firstLine="0"/>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注：以</w:t>
                  </w:r>
                  <w:r>
                    <w:rPr>
                      <w:rFonts w:hint="default" w:ascii="Times New Roman" w:hAnsi="Times New Roman" w:cs="Times New Roman"/>
                      <w:color w:val="000000" w:themeColor="text1"/>
                      <w:sz w:val="21"/>
                      <w:szCs w:val="21"/>
                      <w:lang w:val="en-US" w:eastAsia="zh-CN"/>
                      <w14:textFill>
                        <w14:solidFill>
                          <w14:schemeClr w14:val="tx1"/>
                        </w14:solidFill>
                      </w14:textFill>
                    </w:rPr>
                    <w:t>加油站西北</w:t>
                  </w:r>
                  <w:r>
                    <w:rPr>
                      <w:rFonts w:hint="default" w:ascii="Times New Roman" w:hAnsi="Times New Roman" w:cs="Times New Roman"/>
                      <w:color w:val="000000" w:themeColor="text1"/>
                      <w:sz w:val="21"/>
                      <w:szCs w:val="21"/>
                      <w14:textFill>
                        <w14:solidFill>
                          <w14:schemeClr w14:val="tx1"/>
                        </w14:solidFill>
                      </w14:textFill>
                    </w:rPr>
                    <w:t>角为</w:t>
                  </w:r>
                  <w:r>
                    <w:rPr>
                      <w:rFonts w:hint="default" w:ascii="Times New Roman" w:hAnsi="Times New Roman" w:eastAsia="宋体" w:cs="Times New Roman"/>
                      <w:color w:val="000000" w:themeColor="text1"/>
                      <w:sz w:val="21"/>
                      <w:szCs w:val="21"/>
                      <w14:textFill>
                        <w14:solidFill>
                          <w14:schemeClr w14:val="tx1"/>
                        </w14:solidFill>
                      </w14:textFill>
                    </w:rPr>
                    <w:t>坐标原点（经度：114.071195°；纬度：33.550640°）</w:t>
                  </w:r>
                </w:p>
              </w:tc>
            </w:tr>
          </w:tbl>
          <w:p>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eastAsia="宋体" w:cs="Times New Roman"/>
                <w:b w:val="0"/>
                <w:bCs w:val="0"/>
                <w:color w:val="000000" w:themeColor="text1"/>
                <w:sz w:val="24"/>
                <w:szCs w:val="24"/>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u w:val="none"/>
                <w:lang w:val="en-US" w:eastAsia="zh-CN"/>
                <w14:textFill>
                  <w14:solidFill>
                    <w14:schemeClr w14:val="tx1"/>
                  </w14:solidFill>
                </w14:textFill>
              </w:rPr>
              <w:t>（2）预测模式</w:t>
            </w:r>
          </w:p>
          <w:p>
            <w:pPr>
              <w:pStyle w:val="120"/>
              <w:keepNext w:val="0"/>
              <w:keepLines w:val="0"/>
              <w:pageBreakBefore w:val="0"/>
              <w:widowControl w:val="0"/>
              <w:kinsoku/>
              <w:wordWrap/>
              <w:overflowPunct/>
              <w:topLinePunct w:val="0"/>
              <w:autoSpaceDE/>
              <w:autoSpaceDN/>
              <w:bidi w:val="0"/>
              <w:adjustRightInd/>
              <w:snapToGrid/>
              <w:spacing w:line="480" w:lineRule="exact"/>
              <w:ind w:firstLine="48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为说明项目营运过程中噪声对周围环境的影响程度，根据《环境影响评价技术导则声环境》（HJ2.4-2021），噪声预测模式采用（HJ2.4-2021）附录B规定的预测方法进行预测。</w:t>
            </w:r>
          </w:p>
          <w:p>
            <w:pPr>
              <w:pStyle w:val="120"/>
              <w:keepNext w:val="0"/>
              <w:keepLines w:val="0"/>
              <w:pageBreakBefore w:val="0"/>
              <w:widowControl w:val="0"/>
              <w:kinsoku/>
              <w:wordWrap/>
              <w:overflowPunct/>
              <w:topLinePunct w:val="0"/>
              <w:autoSpaceDE/>
              <w:autoSpaceDN/>
              <w:bidi w:val="0"/>
              <w:adjustRightInd/>
              <w:snapToGrid/>
              <w:spacing w:line="480" w:lineRule="exact"/>
              <w:ind w:firstLine="48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1）室内点声源的预测</w:t>
            </w:r>
          </w:p>
          <w:p>
            <w:pPr>
              <w:pStyle w:val="120"/>
              <w:keepNext w:val="0"/>
              <w:keepLines w:val="0"/>
              <w:pageBreakBefore w:val="0"/>
              <w:widowControl w:val="0"/>
              <w:kinsoku/>
              <w:wordWrap/>
              <w:overflowPunct/>
              <w:topLinePunct w:val="0"/>
              <w:autoSpaceDE/>
              <w:autoSpaceDN/>
              <w:bidi w:val="0"/>
              <w:adjustRightInd/>
              <w:snapToGrid/>
              <w:spacing w:line="480" w:lineRule="exact"/>
              <w:ind w:firstLine="48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①室内声源靠近围护结构处的倍频带声压级：</w:t>
            </w:r>
          </w:p>
          <w:p>
            <w:pPr>
              <w:pStyle w:val="12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themeColor="text1"/>
                <w:highlight w:val="none"/>
                <w:u w:val="none"/>
                <w:lang w:val="en-US" w:eastAsia="zh-CN"/>
                <w14:textFill>
                  <w14:solidFill>
                    <w14:schemeClr w14:val="tx1"/>
                  </w14:solidFill>
                </w14:textFill>
              </w:rPr>
            </w:pPr>
            <m:oMathPara>
              <m:oMath>
                <m:sSub>
                  <m:sSubPr>
                    <m:ctrlPr>
                      <w:rPr>
                        <w:rFonts w:hint="default" w:ascii="Cambria Math" w:hAnsi="Cambria Math" w:eastAsia="宋体" w:cs="Times New Roman"/>
                        <w:color w:val="000000" w:themeColor="text1"/>
                        <w:kern w:val="2"/>
                        <w:sz w:val="24"/>
                        <w:szCs w:val="24"/>
                        <w:highlight w:val="none"/>
                        <w:u w:val="none"/>
                        <w:lang w:val="en-US" w:eastAsia="zh-CN" w:bidi="ar-SA"/>
                        <w14:textFill>
                          <w14:solidFill>
                            <w14:schemeClr w14:val="tx1"/>
                          </w14:solidFill>
                        </w14:textFill>
                      </w:rPr>
                    </m:ctrlPr>
                  </m:sSubPr>
                  <m:e>
                    <m:r>
                      <m:rPr>
                        <m:sty m:val="p"/>
                      </m:rPr>
                      <w:rPr>
                        <w:rFonts w:hint="default" w:ascii="Cambria Math" w:hAnsi="Cambria Math" w:eastAsia="宋体" w:cs="Times New Roman"/>
                        <w:color w:val="000000" w:themeColor="text1"/>
                        <w:kern w:val="2"/>
                        <w:sz w:val="24"/>
                        <w:szCs w:val="24"/>
                        <w:highlight w:val="none"/>
                        <w:u w:val="none"/>
                        <w:lang w:val="en-US" w:eastAsia="zh-CN" w:bidi="ar-SA"/>
                        <w14:textFill>
                          <w14:solidFill>
                            <w14:schemeClr w14:val="tx1"/>
                          </w14:solidFill>
                        </w14:textFill>
                      </w:rPr>
                      <m:t>L</m:t>
                    </m:r>
                    <m:ctrlPr>
                      <w:rPr>
                        <w:rFonts w:hint="default" w:ascii="Cambria Math" w:hAnsi="Cambria Math" w:eastAsia="宋体" w:cs="Times New Roman"/>
                        <w:color w:val="000000" w:themeColor="text1"/>
                        <w:kern w:val="2"/>
                        <w:sz w:val="24"/>
                        <w:szCs w:val="24"/>
                        <w:highlight w:val="none"/>
                        <w:u w:val="none"/>
                        <w:lang w:val="en-US" w:eastAsia="zh-CN" w:bidi="ar-SA"/>
                        <w14:textFill>
                          <w14:solidFill>
                            <w14:schemeClr w14:val="tx1"/>
                          </w14:solidFill>
                        </w14:textFill>
                      </w:rPr>
                    </m:ctrlPr>
                  </m:e>
                  <m:sub>
                    <m:r>
                      <m:rPr>
                        <m:sty m:val="p"/>
                      </m:rPr>
                      <w:rPr>
                        <w:rFonts w:hint="default" w:ascii="Cambria Math" w:hAnsi="Cambria Math" w:eastAsia="宋体" w:cs="Times New Roman"/>
                        <w:color w:val="000000" w:themeColor="text1"/>
                        <w:kern w:val="2"/>
                        <w:sz w:val="24"/>
                        <w:szCs w:val="24"/>
                        <w:highlight w:val="none"/>
                        <w:u w:val="none"/>
                        <w:lang w:val="en-US" w:eastAsia="zh-CN" w:bidi="ar-SA"/>
                        <w14:textFill>
                          <w14:solidFill>
                            <w14:schemeClr w14:val="tx1"/>
                          </w14:solidFill>
                        </w14:textFill>
                      </w:rPr>
                      <m:t>p1</m:t>
                    </m:r>
                    <m:ctrlPr>
                      <w:rPr>
                        <w:rFonts w:hint="default" w:ascii="Cambria Math" w:hAnsi="Cambria Math" w:eastAsia="宋体" w:cs="Times New Roman"/>
                        <w:color w:val="000000" w:themeColor="text1"/>
                        <w:kern w:val="2"/>
                        <w:sz w:val="24"/>
                        <w:szCs w:val="24"/>
                        <w:highlight w:val="none"/>
                        <w:u w:val="none"/>
                        <w:lang w:val="en-US" w:eastAsia="zh-CN" w:bidi="ar-SA"/>
                        <w14:textFill>
                          <w14:solidFill>
                            <w14:schemeClr w14:val="tx1"/>
                          </w14:solidFill>
                        </w14:textFill>
                      </w:rPr>
                    </m:ctrlPr>
                  </m:sub>
                </m:sSub>
                <m:r>
                  <m:rPr>
                    <m:sty m:val="p"/>
                  </m:rPr>
                  <w:rPr>
                    <w:rFonts w:hint="default" w:ascii="Cambria Math" w:hAnsi="Cambria Math" w:cs="Times New Roman"/>
                    <w:color w:val="000000" w:themeColor="text1"/>
                    <w:kern w:val="2"/>
                    <w:sz w:val="24"/>
                    <w:szCs w:val="24"/>
                    <w:highlight w:val="none"/>
                    <w:u w:val="none"/>
                    <w:lang w:val="en-US" w:bidi="ar-SA"/>
                    <w14:textFill>
                      <w14:solidFill>
                        <w14:schemeClr w14:val="tx1"/>
                      </w14:solidFill>
                    </w14:textFill>
                  </w:rPr>
                  <m:t>=</m:t>
                </m:r>
                <m:sSub>
                  <m:sSubPr>
                    <m:ctrlPr>
                      <w:rPr>
                        <w:rFonts w:hint="default" w:ascii="Cambria Math" w:hAnsi="Cambria Math" w:cs="Times New Roman"/>
                        <w:color w:val="000000" w:themeColor="text1"/>
                        <w:kern w:val="2"/>
                        <w:sz w:val="24"/>
                        <w:szCs w:val="24"/>
                        <w:highlight w:val="none"/>
                        <w:u w:val="none"/>
                        <w:lang w:val="en-US" w:bidi="ar-SA"/>
                        <w14:textFill>
                          <w14:solidFill>
                            <w14:schemeClr w14:val="tx1"/>
                          </w14:solidFill>
                        </w14:textFill>
                      </w:rPr>
                    </m:ctrlPr>
                  </m:sSubPr>
                  <m:e>
                    <m:r>
                      <m:rPr>
                        <m:sty m:val="p"/>
                      </m:rPr>
                      <w:rPr>
                        <w:rFonts w:hint="default" w:ascii="Cambria Math" w:hAnsi="Cambria Math" w:cs="Times New Roman"/>
                        <w:color w:val="000000" w:themeColor="text1"/>
                        <w:kern w:val="2"/>
                        <w:sz w:val="24"/>
                        <w:szCs w:val="24"/>
                        <w:highlight w:val="none"/>
                        <w:u w:val="none"/>
                        <w:lang w:val="en-US" w:eastAsia="zh-CN" w:bidi="ar-SA"/>
                        <w14:textFill>
                          <w14:solidFill>
                            <w14:schemeClr w14:val="tx1"/>
                          </w14:solidFill>
                        </w14:textFill>
                      </w:rPr>
                      <m:t>L</m:t>
                    </m:r>
                    <m:ctrlPr>
                      <w:rPr>
                        <w:rFonts w:hint="default" w:ascii="Cambria Math" w:hAnsi="Cambria Math" w:cs="Times New Roman"/>
                        <w:color w:val="000000" w:themeColor="text1"/>
                        <w:kern w:val="2"/>
                        <w:sz w:val="24"/>
                        <w:szCs w:val="24"/>
                        <w:highlight w:val="none"/>
                        <w:u w:val="none"/>
                        <w:lang w:val="en-US" w:bidi="ar-SA"/>
                        <w14:textFill>
                          <w14:solidFill>
                            <w14:schemeClr w14:val="tx1"/>
                          </w14:solidFill>
                        </w14:textFill>
                      </w:rPr>
                    </m:ctrlPr>
                  </m:e>
                  <m:sub>
                    <m:r>
                      <m:rPr>
                        <m:sty m:val="p"/>
                      </m:rPr>
                      <w:rPr>
                        <w:rFonts w:hint="default" w:ascii="Cambria Math" w:hAnsi="Cambria Math" w:cs="Times New Roman"/>
                        <w:color w:val="000000" w:themeColor="text1"/>
                        <w:kern w:val="2"/>
                        <w:sz w:val="24"/>
                        <w:szCs w:val="24"/>
                        <w:highlight w:val="none"/>
                        <w:u w:val="none"/>
                        <w:lang w:val="en-US" w:eastAsia="zh-CN" w:bidi="ar-SA"/>
                        <w14:textFill>
                          <w14:solidFill>
                            <w14:schemeClr w14:val="tx1"/>
                          </w14:solidFill>
                        </w14:textFill>
                      </w:rPr>
                      <m:t>w</m:t>
                    </m:r>
                    <m:ctrlPr>
                      <w:rPr>
                        <w:rFonts w:hint="default" w:ascii="Cambria Math" w:hAnsi="Cambria Math" w:cs="Times New Roman"/>
                        <w:color w:val="000000" w:themeColor="text1"/>
                        <w:kern w:val="2"/>
                        <w:sz w:val="24"/>
                        <w:szCs w:val="24"/>
                        <w:highlight w:val="none"/>
                        <w:u w:val="none"/>
                        <w:lang w:val="en-US" w:bidi="ar-SA"/>
                        <w14:textFill>
                          <w14:solidFill>
                            <w14:schemeClr w14:val="tx1"/>
                          </w14:solidFill>
                        </w14:textFill>
                      </w:rPr>
                    </m:ctrlPr>
                  </m:sub>
                </m:sSub>
                <m:r>
                  <m:rPr>
                    <m:sty m:val="p"/>
                  </m:rPr>
                  <w:rPr>
                    <w:rFonts w:hint="default" w:ascii="Cambria Math" w:hAnsi="Cambria Math" w:cs="Times New Roman"/>
                    <w:color w:val="000000" w:themeColor="text1"/>
                    <w:kern w:val="2"/>
                    <w:sz w:val="24"/>
                    <w:szCs w:val="24"/>
                    <w:highlight w:val="none"/>
                    <w:u w:val="none"/>
                    <w:lang w:val="en-US" w:bidi="ar-SA"/>
                    <w14:textFill>
                      <w14:solidFill>
                        <w14:schemeClr w14:val="tx1"/>
                      </w14:solidFill>
                    </w14:textFill>
                  </w:rPr>
                  <m:t>+</m:t>
                </m:r>
                <m:r>
                  <m:rPr>
                    <m:sty m:val="p"/>
                  </m:rPr>
                  <w:rPr>
                    <w:rFonts w:hint="default" w:ascii="Cambria Math" w:hAnsi="Cambria Math" w:cs="Times New Roman"/>
                    <w:color w:val="000000" w:themeColor="text1"/>
                    <w:kern w:val="2"/>
                    <w:sz w:val="24"/>
                    <w:szCs w:val="24"/>
                    <w:highlight w:val="none"/>
                    <w:u w:val="none"/>
                    <w:lang w:val="en-US" w:eastAsia="zh-CN" w:bidi="ar-SA"/>
                    <w14:textFill>
                      <w14:solidFill>
                        <w14:schemeClr w14:val="tx1"/>
                      </w14:solidFill>
                    </w14:textFill>
                  </w:rPr>
                  <m:t>10lg</m:t>
                </m:r>
                <m:d>
                  <m:dPr>
                    <m:ctrlPr>
                      <w:rPr>
                        <w:rFonts w:hint="default" w:ascii="Cambria Math" w:hAnsi="Cambria Math" w:cs="Times New Roman"/>
                        <w:color w:val="000000" w:themeColor="text1"/>
                        <w:kern w:val="2"/>
                        <w:sz w:val="24"/>
                        <w:szCs w:val="24"/>
                        <w:highlight w:val="none"/>
                        <w:u w:val="none"/>
                        <w:lang w:val="en-US" w:eastAsia="zh-CN" w:bidi="ar-SA"/>
                        <w14:textFill>
                          <w14:solidFill>
                            <w14:schemeClr w14:val="tx1"/>
                          </w14:solidFill>
                        </w14:textFill>
                      </w:rPr>
                    </m:ctrlPr>
                  </m:dPr>
                  <m:e>
                    <m:f>
                      <m:fPr>
                        <m:ctrlPr>
                          <w:rPr>
                            <w:rFonts w:hint="default" w:ascii="Cambria Math" w:hAnsi="Cambria Math" w:cs="Times New Roman"/>
                            <w:color w:val="000000" w:themeColor="text1"/>
                            <w:kern w:val="2"/>
                            <w:sz w:val="24"/>
                            <w:szCs w:val="24"/>
                            <w:highlight w:val="none"/>
                            <w:u w:val="none"/>
                            <w:lang w:val="en-US" w:eastAsia="zh-CN" w:bidi="ar-SA"/>
                            <w14:textFill>
                              <w14:solidFill>
                                <w14:schemeClr w14:val="tx1"/>
                              </w14:solidFill>
                            </w14:textFill>
                          </w:rPr>
                        </m:ctrlPr>
                      </m:fPr>
                      <m:num>
                        <m:r>
                          <m:rPr>
                            <m:sty m:val="p"/>
                          </m:rPr>
                          <w:rPr>
                            <w:rFonts w:hint="default" w:ascii="Cambria Math" w:hAnsi="Cambria Math" w:cs="Times New Roman"/>
                            <w:color w:val="000000" w:themeColor="text1"/>
                            <w:kern w:val="2"/>
                            <w:sz w:val="24"/>
                            <w:szCs w:val="24"/>
                            <w:highlight w:val="none"/>
                            <w:u w:val="none"/>
                            <w:lang w:val="en-US" w:eastAsia="zh-CN" w:bidi="ar-SA"/>
                            <w14:textFill>
                              <w14:solidFill>
                                <w14:schemeClr w14:val="tx1"/>
                              </w14:solidFill>
                            </w14:textFill>
                          </w:rPr>
                          <m:t>Q</m:t>
                        </m:r>
                        <m:ctrlPr>
                          <w:rPr>
                            <w:rFonts w:hint="default" w:ascii="Cambria Math" w:hAnsi="Cambria Math" w:cs="Times New Roman"/>
                            <w:color w:val="000000" w:themeColor="text1"/>
                            <w:kern w:val="2"/>
                            <w:sz w:val="24"/>
                            <w:szCs w:val="24"/>
                            <w:highlight w:val="none"/>
                            <w:u w:val="none"/>
                            <w:lang w:val="en-US" w:eastAsia="zh-CN" w:bidi="ar-SA"/>
                            <w14:textFill>
                              <w14:solidFill>
                                <w14:schemeClr w14:val="tx1"/>
                              </w14:solidFill>
                            </w14:textFill>
                          </w:rPr>
                        </m:ctrlPr>
                      </m:num>
                      <m:den>
                        <m:sSup>
                          <m:sSupPr>
                            <m:ctrlPr>
                              <w:rPr>
                                <w:rFonts w:hint="default" w:ascii="Cambria Math" w:hAnsi="Cambria Math" w:cs="Times New Roman"/>
                                <w:color w:val="000000" w:themeColor="text1"/>
                                <w:kern w:val="2"/>
                                <w:sz w:val="24"/>
                                <w:szCs w:val="24"/>
                                <w:highlight w:val="none"/>
                                <w:u w:val="none"/>
                                <w:lang w:val="en-US" w:bidi="ar-SA"/>
                                <w14:textFill>
                                  <w14:solidFill>
                                    <w14:schemeClr w14:val="tx1"/>
                                  </w14:solidFill>
                                </w14:textFill>
                              </w:rPr>
                            </m:ctrlPr>
                          </m:sSupPr>
                          <m:e>
                            <m:r>
                              <m:rPr>
                                <m:sty m:val="p"/>
                              </m:rPr>
                              <w:rPr>
                                <w:rFonts w:hint="default" w:ascii="Cambria Math" w:hAnsi="Cambria Math" w:cs="Times New Roman"/>
                                <w:color w:val="000000" w:themeColor="text1"/>
                                <w:kern w:val="2"/>
                                <w:sz w:val="24"/>
                                <w:szCs w:val="24"/>
                                <w:highlight w:val="none"/>
                                <w:u w:val="none"/>
                                <w:lang w:val="en-US" w:eastAsia="zh-CN" w:bidi="ar-SA"/>
                                <w14:textFill>
                                  <w14:solidFill>
                                    <w14:schemeClr w14:val="tx1"/>
                                  </w14:solidFill>
                                </w14:textFill>
                              </w:rPr>
                              <m:t>4</m:t>
                            </m:r>
                            <m:r>
                              <m:rPr>
                                <m:sty m:val="p"/>
                              </m:rPr>
                              <w:rPr>
                                <w:rFonts w:hint="default" w:ascii="Cambria Math" w:hAnsi="Cambria Math" w:cs="Times New Roman"/>
                                <w:color w:val="000000" w:themeColor="text1"/>
                                <w:kern w:val="2"/>
                                <w:sz w:val="24"/>
                                <w:szCs w:val="24"/>
                                <w:highlight w:val="none"/>
                                <w:u w:val="none"/>
                                <w:lang w:val="en-US" w:bidi="ar-SA"/>
                                <w14:textFill>
                                  <w14:solidFill>
                                    <w14:schemeClr w14:val="tx1"/>
                                  </w14:solidFill>
                                </w14:textFill>
                              </w:rPr>
                              <m:t>π</m:t>
                            </m:r>
                            <m:r>
                              <m:rPr>
                                <m:sty m:val="p"/>
                              </m:rPr>
                              <w:rPr>
                                <w:rFonts w:hint="default" w:ascii="Cambria Math" w:hAnsi="Cambria Math" w:cs="Times New Roman"/>
                                <w:color w:val="000000" w:themeColor="text1"/>
                                <w:kern w:val="2"/>
                                <w:sz w:val="24"/>
                                <w:szCs w:val="24"/>
                                <w:highlight w:val="none"/>
                                <w:u w:val="none"/>
                                <w:lang w:val="en-US" w:eastAsia="zh-CN" w:bidi="ar-SA"/>
                                <w14:textFill>
                                  <w14:solidFill>
                                    <w14:schemeClr w14:val="tx1"/>
                                  </w14:solidFill>
                                </w14:textFill>
                              </w:rPr>
                              <m:t>r</m:t>
                            </m:r>
                            <m:ctrlPr>
                              <w:rPr>
                                <w:rFonts w:hint="default" w:ascii="Cambria Math" w:hAnsi="Cambria Math" w:cs="Times New Roman"/>
                                <w:color w:val="000000" w:themeColor="text1"/>
                                <w:kern w:val="2"/>
                                <w:sz w:val="24"/>
                                <w:szCs w:val="24"/>
                                <w:highlight w:val="none"/>
                                <w:u w:val="none"/>
                                <w:lang w:val="en-US" w:bidi="ar-SA"/>
                                <w14:textFill>
                                  <w14:solidFill>
                                    <w14:schemeClr w14:val="tx1"/>
                                  </w14:solidFill>
                                </w14:textFill>
                              </w:rPr>
                            </m:ctrlPr>
                          </m:e>
                          <m:sup>
                            <m:r>
                              <m:rPr>
                                <m:sty m:val="p"/>
                              </m:rPr>
                              <w:rPr>
                                <w:rFonts w:hint="default" w:ascii="Cambria Math" w:hAnsi="Cambria Math" w:cs="Times New Roman"/>
                                <w:color w:val="000000" w:themeColor="text1"/>
                                <w:kern w:val="2"/>
                                <w:sz w:val="24"/>
                                <w:szCs w:val="24"/>
                                <w:highlight w:val="none"/>
                                <w:u w:val="none"/>
                                <w:lang w:val="en-US" w:eastAsia="zh-CN" w:bidi="ar-SA"/>
                                <w14:textFill>
                                  <w14:solidFill>
                                    <w14:schemeClr w14:val="tx1"/>
                                  </w14:solidFill>
                                </w14:textFill>
                              </w:rPr>
                              <m:t>2</m:t>
                            </m:r>
                            <m:ctrlPr>
                              <w:rPr>
                                <w:rFonts w:hint="default" w:ascii="Cambria Math" w:hAnsi="Cambria Math" w:cs="Times New Roman"/>
                                <w:color w:val="000000" w:themeColor="text1"/>
                                <w:kern w:val="2"/>
                                <w:sz w:val="24"/>
                                <w:szCs w:val="24"/>
                                <w:highlight w:val="none"/>
                                <w:u w:val="none"/>
                                <w:lang w:val="en-US" w:bidi="ar-SA"/>
                                <w14:textFill>
                                  <w14:solidFill>
                                    <w14:schemeClr w14:val="tx1"/>
                                  </w14:solidFill>
                                </w14:textFill>
                              </w:rPr>
                            </m:ctrlPr>
                          </m:sup>
                        </m:sSup>
                        <m:ctrlPr>
                          <w:rPr>
                            <w:rFonts w:hint="default" w:ascii="Cambria Math" w:hAnsi="Cambria Math" w:cs="Times New Roman"/>
                            <w:color w:val="000000" w:themeColor="text1"/>
                            <w:kern w:val="2"/>
                            <w:sz w:val="24"/>
                            <w:szCs w:val="24"/>
                            <w:highlight w:val="none"/>
                            <w:u w:val="none"/>
                            <w:lang w:val="en-US" w:eastAsia="zh-CN" w:bidi="ar-SA"/>
                            <w14:textFill>
                              <w14:solidFill>
                                <w14:schemeClr w14:val="tx1"/>
                              </w14:solidFill>
                            </w14:textFill>
                          </w:rPr>
                        </m:ctrlPr>
                      </m:den>
                    </m:f>
                    <m:r>
                      <m:rPr>
                        <m:sty m:val="p"/>
                      </m:rPr>
                      <w:rPr>
                        <w:rFonts w:hint="default" w:ascii="Cambria Math" w:hAnsi="Cambria Math" w:cs="Times New Roman"/>
                        <w:color w:val="000000" w:themeColor="text1"/>
                        <w:kern w:val="2"/>
                        <w:sz w:val="24"/>
                        <w:szCs w:val="24"/>
                        <w:highlight w:val="none"/>
                        <w:u w:val="none"/>
                        <w:lang w:val="en-US" w:bidi="ar-SA"/>
                        <w14:textFill>
                          <w14:solidFill>
                            <w14:schemeClr w14:val="tx1"/>
                          </w14:solidFill>
                        </w14:textFill>
                      </w:rPr>
                      <m:t>+</m:t>
                    </m:r>
                    <m:f>
                      <m:fPr>
                        <m:ctrlPr>
                          <w:rPr>
                            <w:rFonts w:hint="default" w:ascii="Cambria Math" w:hAnsi="Cambria Math" w:cs="Times New Roman"/>
                            <w:color w:val="000000" w:themeColor="text1"/>
                            <w:kern w:val="2"/>
                            <w:sz w:val="24"/>
                            <w:szCs w:val="24"/>
                            <w:highlight w:val="none"/>
                            <w:u w:val="none"/>
                            <w:lang w:val="en-US" w:bidi="ar-SA"/>
                            <w14:textFill>
                              <w14:solidFill>
                                <w14:schemeClr w14:val="tx1"/>
                              </w14:solidFill>
                            </w14:textFill>
                          </w:rPr>
                        </m:ctrlPr>
                      </m:fPr>
                      <m:num>
                        <m:r>
                          <m:rPr>
                            <m:sty m:val="p"/>
                          </m:rPr>
                          <w:rPr>
                            <w:rFonts w:hint="default" w:ascii="Cambria Math" w:hAnsi="Cambria Math" w:cs="Times New Roman"/>
                            <w:color w:val="000000" w:themeColor="text1"/>
                            <w:kern w:val="2"/>
                            <w:sz w:val="24"/>
                            <w:szCs w:val="24"/>
                            <w:highlight w:val="none"/>
                            <w:u w:val="none"/>
                            <w:lang w:val="en-US" w:eastAsia="zh-CN" w:bidi="ar-SA"/>
                            <w14:textFill>
                              <w14:solidFill>
                                <w14:schemeClr w14:val="tx1"/>
                              </w14:solidFill>
                            </w14:textFill>
                          </w:rPr>
                          <m:t>4</m:t>
                        </m:r>
                        <m:ctrlPr>
                          <w:rPr>
                            <w:rFonts w:hint="default" w:ascii="Cambria Math" w:hAnsi="Cambria Math" w:cs="Times New Roman"/>
                            <w:color w:val="000000" w:themeColor="text1"/>
                            <w:kern w:val="2"/>
                            <w:sz w:val="24"/>
                            <w:szCs w:val="24"/>
                            <w:highlight w:val="none"/>
                            <w:u w:val="none"/>
                            <w:lang w:val="en-US" w:bidi="ar-SA"/>
                            <w14:textFill>
                              <w14:solidFill>
                                <w14:schemeClr w14:val="tx1"/>
                              </w14:solidFill>
                            </w14:textFill>
                          </w:rPr>
                        </m:ctrlPr>
                      </m:num>
                      <m:den>
                        <m:r>
                          <m:rPr>
                            <m:sty m:val="p"/>
                          </m:rPr>
                          <w:rPr>
                            <w:rFonts w:hint="default" w:ascii="Cambria Math" w:hAnsi="Cambria Math" w:cs="Times New Roman"/>
                            <w:color w:val="000000" w:themeColor="text1"/>
                            <w:kern w:val="2"/>
                            <w:sz w:val="24"/>
                            <w:szCs w:val="24"/>
                            <w:highlight w:val="none"/>
                            <w:u w:val="none"/>
                            <w:lang w:val="en-US" w:eastAsia="zh-CN" w:bidi="ar-SA"/>
                            <w14:textFill>
                              <w14:solidFill>
                                <w14:schemeClr w14:val="tx1"/>
                              </w14:solidFill>
                            </w14:textFill>
                          </w:rPr>
                          <m:t>R</m:t>
                        </m:r>
                        <m:ctrlPr>
                          <w:rPr>
                            <w:rFonts w:hint="default" w:ascii="Cambria Math" w:hAnsi="Cambria Math" w:cs="Times New Roman"/>
                            <w:color w:val="000000" w:themeColor="text1"/>
                            <w:kern w:val="2"/>
                            <w:sz w:val="24"/>
                            <w:szCs w:val="24"/>
                            <w:highlight w:val="none"/>
                            <w:u w:val="none"/>
                            <w:lang w:val="en-US" w:bidi="ar-SA"/>
                            <w14:textFill>
                              <w14:solidFill>
                                <w14:schemeClr w14:val="tx1"/>
                              </w14:solidFill>
                            </w14:textFill>
                          </w:rPr>
                        </m:ctrlPr>
                      </m:den>
                    </m:f>
                    <m:ctrlPr>
                      <w:rPr>
                        <w:rFonts w:hint="default" w:ascii="Cambria Math" w:hAnsi="Cambria Math" w:cs="Times New Roman"/>
                        <w:color w:val="000000" w:themeColor="text1"/>
                        <w:kern w:val="2"/>
                        <w:sz w:val="24"/>
                        <w:szCs w:val="24"/>
                        <w:highlight w:val="none"/>
                        <w:u w:val="none"/>
                        <w:lang w:val="en-US" w:eastAsia="zh-CN" w:bidi="ar-SA"/>
                        <w14:textFill>
                          <w14:solidFill>
                            <w14:schemeClr w14:val="tx1"/>
                          </w14:solidFill>
                        </w14:textFill>
                      </w:rPr>
                    </m:ctrlPr>
                  </m:e>
                </m:d>
              </m:oMath>
            </m:oMathPara>
          </w:p>
          <w:p>
            <w:pPr>
              <w:pStyle w:val="120"/>
              <w:keepNext w:val="0"/>
              <w:keepLines w:val="0"/>
              <w:pageBreakBefore w:val="0"/>
              <w:widowControl w:val="0"/>
              <w:kinsoku/>
              <w:wordWrap/>
              <w:overflowPunct/>
              <w:topLinePunct w:val="0"/>
              <w:autoSpaceDE/>
              <w:autoSpaceDN/>
              <w:bidi w:val="0"/>
              <w:adjustRightInd/>
              <w:snapToGrid/>
              <w:spacing w:line="480" w:lineRule="exact"/>
              <w:ind w:firstLine="48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式中：L</w:t>
            </w:r>
            <w:r>
              <w:rPr>
                <w:rFonts w:hint="default" w:ascii="Times New Roman" w:hAnsi="Times New Roman" w:eastAsia="宋体" w:cs="Times New Roman"/>
                <w:color w:val="000000" w:themeColor="text1"/>
                <w:sz w:val="24"/>
                <w:szCs w:val="24"/>
                <w:highlight w:val="none"/>
                <w:u w:val="none"/>
                <w:vertAlign w:val="subscript"/>
                <w:lang w:val="en-US" w:eastAsia="zh-CN"/>
                <w14:textFill>
                  <w14:solidFill>
                    <w14:schemeClr w14:val="tx1"/>
                  </w14:solidFill>
                </w14:textFill>
              </w:rPr>
              <w:t>p1</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—为室内某源距离围护结构的距离；</w:t>
            </w:r>
          </w:p>
          <w:p>
            <w:pPr>
              <w:pStyle w:val="120"/>
              <w:keepNext w:val="0"/>
              <w:keepLines w:val="0"/>
              <w:pageBreakBefore w:val="0"/>
              <w:widowControl w:val="0"/>
              <w:kinsoku/>
              <w:wordWrap/>
              <w:overflowPunct/>
              <w:topLinePunct w:val="0"/>
              <w:autoSpaceDE/>
              <w:autoSpaceDN/>
              <w:bidi w:val="0"/>
              <w:adjustRightInd/>
              <w:snapToGrid/>
              <w:spacing w:line="480" w:lineRule="exact"/>
              <w:ind w:firstLine="1200" w:firstLineChars="50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L</w:t>
            </w:r>
            <w:r>
              <w:rPr>
                <w:rFonts w:hint="default" w:ascii="Times New Roman" w:hAnsi="Times New Roman" w:eastAsia="宋体" w:cs="Times New Roman"/>
                <w:color w:val="000000" w:themeColor="text1"/>
                <w:sz w:val="24"/>
                <w:szCs w:val="24"/>
                <w:highlight w:val="none"/>
                <w:u w:val="none"/>
                <w:vertAlign w:val="subscript"/>
                <w:lang w:val="en-US" w:eastAsia="zh-CN"/>
                <w14:textFill>
                  <w14:solidFill>
                    <w14:schemeClr w14:val="tx1"/>
                  </w14:solidFill>
                </w14:textFill>
              </w:rPr>
              <w:t>w</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—点声源声功率级，dB；</w:t>
            </w:r>
          </w:p>
          <w:p>
            <w:pPr>
              <w:pStyle w:val="120"/>
              <w:keepNext w:val="0"/>
              <w:keepLines w:val="0"/>
              <w:pageBreakBefore w:val="0"/>
              <w:widowControl w:val="0"/>
              <w:kinsoku/>
              <w:wordWrap/>
              <w:overflowPunct/>
              <w:topLinePunct w:val="0"/>
              <w:autoSpaceDE/>
              <w:autoSpaceDN/>
              <w:bidi w:val="0"/>
              <w:adjustRightInd/>
              <w:snapToGrid/>
              <w:spacing w:line="480" w:lineRule="exact"/>
              <w:ind w:firstLine="1200" w:firstLineChars="50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Q—指向性因数，通常对无指向性声源，当声源放在房间中心时，Q=1；当声源放在一面墙中心时，Q=2；当放在两面墙夹角处时，Q=4；当放在三面墙夹角处时，Q=8；</w:t>
            </w:r>
          </w:p>
          <w:p>
            <w:pPr>
              <w:pStyle w:val="120"/>
              <w:keepNext w:val="0"/>
              <w:keepLines w:val="0"/>
              <w:pageBreakBefore w:val="0"/>
              <w:widowControl w:val="0"/>
              <w:kinsoku/>
              <w:wordWrap/>
              <w:overflowPunct/>
              <w:topLinePunct w:val="0"/>
              <w:autoSpaceDE/>
              <w:autoSpaceDN/>
              <w:bidi w:val="0"/>
              <w:adjustRightInd/>
              <w:snapToGrid/>
              <w:spacing w:line="480" w:lineRule="exact"/>
              <w:ind w:firstLine="1200" w:firstLineChars="50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R—为房间常数；R=Sa（1-α），S为房间内表面积，m</w:t>
            </w:r>
            <w:r>
              <w:rPr>
                <w:rFonts w:hint="default" w:ascii="Times New Roman" w:hAnsi="Times New Roman" w:eastAsia="宋体" w:cs="Times New Roman"/>
                <w:color w:val="000000" w:themeColor="text1"/>
                <w:sz w:val="24"/>
                <w:szCs w:val="24"/>
                <w:highlight w:val="none"/>
                <w:u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；α为平均吸声系数；</w:t>
            </w:r>
          </w:p>
          <w:p>
            <w:pPr>
              <w:pStyle w:val="120"/>
              <w:keepNext w:val="0"/>
              <w:keepLines w:val="0"/>
              <w:pageBreakBefore w:val="0"/>
              <w:widowControl w:val="0"/>
              <w:kinsoku/>
              <w:wordWrap/>
              <w:overflowPunct/>
              <w:topLinePunct w:val="0"/>
              <w:autoSpaceDE/>
              <w:autoSpaceDN/>
              <w:bidi w:val="0"/>
              <w:adjustRightInd/>
              <w:snapToGrid/>
              <w:spacing w:line="480" w:lineRule="exact"/>
              <w:ind w:firstLine="1200" w:firstLineChars="50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r—声源靠近围护结构某点处的距离，m。</w:t>
            </w:r>
          </w:p>
          <w:p>
            <w:pPr>
              <w:pStyle w:val="120"/>
              <w:keepNext w:val="0"/>
              <w:keepLines w:val="0"/>
              <w:pageBreakBefore w:val="0"/>
              <w:widowControl w:val="0"/>
              <w:kinsoku/>
              <w:wordWrap/>
              <w:overflowPunct/>
              <w:topLinePunct w:val="0"/>
              <w:autoSpaceDE/>
              <w:autoSpaceDN/>
              <w:bidi w:val="0"/>
              <w:adjustRightInd/>
              <w:snapToGrid/>
              <w:spacing w:line="480" w:lineRule="exact"/>
              <w:ind w:firstLine="48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②室内声源在围护结构处产生的总倍频带声压级：</w:t>
            </w:r>
          </w:p>
          <w:p>
            <w:pPr>
              <w:pStyle w:val="12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m:oMathPara>
              <m:oMath>
                <m:sSub>
                  <m:sSubPr>
                    <m:ctrlPr>
                      <w:rPr>
                        <w:rFonts w:hint="default" w:ascii="Cambria Math" w:hAnsi="Cambria Math" w:cs="Times New Roman"/>
                        <w:i w:val="0"/>
                        <w:iCs/>
                        <w:color w:val="000000" w:themeColor="text1"/>
                        <w:highlight w:val="none"/>
                        <w:u w:val="none"/>
                        <w:lang w:val="en-US"/>
                        <w14:textFill>
                          <w14:solidFill>
                            <w14:schemeClr w14:val="tx1"/>
                          </w14:solidFill>
                        </w14:textFill>
                      </w:rPr>
                    </m:ctrlPr>
                  </m:sSubPr>
                  <m:e>
                    <m:r>
                      <m:rPr>
                        <m:sty m:val="p"/>
                      </m:rPr>
                      <w:rPr>
                        <w:rFonts w:hint="default" w:ascii="Cambria Math" w:hAnsi="Cambria Math" w:cs="Times New Roman"/>
                        <w:color w:val="000000" w:themeColor="text1"/>
                        <w:highlight w:val="none"/>
                        <w:u w:val="none"/>
                        <w:lang w:val="en-US" w:eastAsia="zh-CN"/>
                        <w14:textFill>
                          <w14:solidFill>
                            <w14:schemeClr w14:val="tx1"/>
                          </w14:solidFill>
                        </w14:textFill>
                      </w:rPr>
                      <m:t>L</m:t>
                    </m:r>
                    <m:ctrlPr>
                      <w:rPr>
                        <w:rFonts w:hint="default" w:ascii="Cambria Math" w:hAnsi="Cambria Math" w:cs="Times New Roman"/>
                        <w:i w:val="0"/>
                        <w:iCs/>
                        <w:color w:val="000000" w:themeColor="text1"/>
                        <w:highlight w:val="none"/>
                        <w:u w:val="none"/>
                        <w:lang w:val="en-US"/>
                        <w14:textFill>
                          <w14:solidFill>
                            <w14:schemeClr w14:val="tx1"/>
                          </w14:solidFill>
                        </w14:textFill>
                      </w:rPr>
                    </m:ctrlPr>
                  </m:e>
                  <m:sub>
                    <m:r>
                      <m:rPr>
                        <m:sty m:val="p"/>
                      </m:rPr>
                      <w:rPr>
                        <w:rFonts w:hint="default" w:ascii="Cambria Math" w:hAnsi="Cambria Math" w:cs="Times New Roman"/>
                        <w:color w:val="000000" w:themeColor="text1"/>
                        <w:highlight w:val="none"/>
                        <w:u w:val="none"/>
                        <w:lang w:val="en-US" w:eastAsia="zh-CN"/>
                        <w14:textFill>
                          <w14:solidFill>
                            <w14:schemeClr w14:val="tx1"/>
                          </w14:solidFill>
                        </w14:textFill>
                      </w:rPr>
                      <m:t>p1i</m:t>
                    </m:r>
                    <m:ctrlPr>
                      <w:rPr>
                        <w:rFonts w:hint="default" w:ascii="Cambria Math" w:hAnsi="Cambria Math" w:cs="Times New Roman"/>
                        <w:i w:val="0"/>
                        <w:iCs/>
                        <w:color w:val="000000" w:themeColor="text1"/>
                        <w:highlight w:val="none"/>
                        <w:u w:val="none"/>
                        <w:lang w:val="en-US"/>
                        <w14:textFill>
                          <w14:solidFill>
                            <w14:schemeClr w14:val="tx1"/>
                          </w14:solidFill>
                        </w14:textFill>
                      </w:rPr>
                    </m:ctrlPr>
                  </m:sub>
                </m:sSub>
                <m:r>
                  <m:rPr>
                    <m:sty m:val="p"/>
                  </m:rPr>
                  <w:rPr>
                    <w:rFonts w:hint="default" w:ascii="Cambria Math" w:hAnsi="Cambria Math" w:cs="Times New Roman"/>
                    <w:color w:val="000000" w:themeColor="text1"/>
                    <w:highlight w:val="none"/>
                    <w:u w:val="none"/>
                    <w:lang w:val="en-US" w:eastAsia="zh-CN"/>
                    <w14:textFill>
                      <w14:solidFill>
                        <w14:schemeClr w14:val="tx1"/>
                      </w14:solidFill>
                    </w14:textFill>
                  </w:rPr>
                  <m:t>(T)</m:t>
                </m:r>
                <m:r>
                  <m:rPr>
                    <m:sty m:val="p"/>
                  </m:rPr>
                  <w:rPr>
                    <w:rFonts w:hint="default" w:ascii="Cambria Math" w:hAnsi="Cambria Math" w:cs="Times New Roman"/>
                    <w:color w:val="000000" w:themeColor="text1"/>
                    <w:highlight w:val="none"/>
                    <w:u w:val="none"/>
                    <w:lang w:val="en-US"/>
                    <w14:textFill>
                      <w14:solidFill>
                        <w14:schemeClr w14:val="tx1"/>
                      </w14:solidFill>
                    </w14:textFill>
                  </w:rPr>
                  <m:t>=</m:t>
                </m:r>
                <m:r>
                  <m:rPr>
                    <m:sty m:val="p"/>
                  </m:rPr>
                  <w:rPr>
                    <w:rFonts w:hint="default" w:ascii="Cambria Math" w:hAnsi="Cambria Math" w:cs="Times New Roman"/>
                    <w:color w:val="000000" w:themeColor="text1"/>
                    <w:highlight w:val="none"/>
                    <w:u w:val="none"/>
                    <w:lang w:val="en-US" w:eastAsia="zh-CN"/>
                    <w14:textFill>
                      <w14:solidFill>
                        <w14:schemeClr w14:val="tx1"/>
                      </w14:solidFill>
                    </w14:textFill>
                  </w:rPr>
                  <m:t>10</m:t>
                </m:r>
                <m:r>
                  <m:rPr>
                    <m:sty m:val="p"/>
                  </m:rPr>
                  <w:rPr>
                    <w:rFonts w:hint="default" w:ascii="Cambria Math" w:hAnsi="Cambria Math" w:cs="Times New Roman"/>
                    <w:color w:val="000000" w:themeColor="text1"/>
                    <w:kern w:val="2"/>
                    <w:sz w:val="24"/>
                    <w:szCs w:val="24"/>
                    <w:highlight w:val="none"/>
                    <w:u w:val="none"/>
                    <w:lang w:val="en-US" w:eastAsia="zh-CN" w:bidi="ar-SA"/>
                    <w14:textFill>
                      <w14:solidFill>
                        <w14:schemeClr w14:val="tx1"/>
                      </w14:solidFill>
                    </w14:textFill>
                  </w:rPr>
                  <m:t>lg</m:t>
                </m:r>
                <m:d>
                  <m:dPr>
                    <m:ctrlPr>
                      <w:rPr>
                        <w:rFonts w:hint="default" w:ascii="Cambria Math" w:hAnsi="Cambria Math" w:cs="Times New Roman"/>
                        <w:b w:val="0"/>
                        <w:i w:val="0"/>
                        <w:color w:val="000000" w:themeColor="text1"/>
                        <w:kern w:val="2"/>
                        <w:sz w:val="24"/>
                        <w:szCs w:val="24"/>
                        <w:highlight w:val="none"/>
                        <w:u w:val="none"/>
                        <w:lang w:val="en-US" w:eastAsia="zh-CN" w:bidi="ar-SA"/>
                        <w14:textFill>
                          <w14:solidFill>
                            <w14:schemeClr w14:val="tx1"/>
                          </w14:solidFill>
                        </w14:textFill>
                      </w:rPr>
                    </m:ctrlPr>
                  </m:dPr>
                  <m:e>
                    <m:nary>
                      <m:naryPr>
                        <m:chr m:val="∑"/>
                        <m:limLoc m:val="undOvr"/>
                        <m:ctrlPr>
                          <w:rPr>
                            <w:rFonts w:hint="default" w:ascii="Cambria Math" w:hAnsi="Cambria Math" w:cs="Times New Roman"/>
                            <w:b w:val="0"/>
                            <w:i w:val="0"/>
                            <w:color w:val="000000" w:themeColor="text1"/>
                            <w:kern w:val="2"/>
                            <w:sz w:val="24"/>
                            <w:szCs w:val="24"/>
                            <w:highlight w:val="none"/>
                            <w:u w:val="none"/>
                            <w:lang w:val="en-US" w:eastAsia="zh-CN" w:bidi="ar-SA"/>
                            <w14:textFill>
                              <w14:solidFill>
                                <w14:schemeClr w14:val="tx1"/>
                              </w14:solidFill>
                            </w14:textFill>
                          </w:rPr>
                        </m:ctrlPr>
                      </m:naryPr>
                      <m:sub>
                        <m:r>
                          <m:rPr>
                            <m:sty m:val="p"/>
                          </m:rPr>
                          <w:rPr>
                            <w:rFonts w:hint="default" w:ascii="Cambria Math" w:hAnsi="Cambria Math" w:cs="Times New Roman"/>
                            <w:color w:val="000000" w:themeColor="text1"/>
                            <w:kern w:val="2"/>
                            <w:sz w:val="24"/>
                            <w:szCs w:val="24"/>
                            <w:highlight w:val="none"/>
                            <w:u w:val="none"/>
                            <w:lang w:val="en-US" w:eastAsia="zh-CN" w:bidi="ar-SA"/>
                            <w14:textFill>
                              <w14:solidFill>
                                <w14:schemeClr w14:val="tx1"/>
                              </w14:solidFill>
                            </w14:textFill>
                          </w:rPr>
                          <m:t>j=1</m:t>
                        </m:r>
                        <m:ctrlPr>
                          <w:rPr>
                            <w:rFonts w:hint="default" w:ascii="Cambria Math" w:hAnsi="Cambria Math" w:cs="Times New Roman"/>
                            <w:b w:val="0"/>
                            <w:i w:val="0"/>
                            <w:color w:val="000000" w:themeColor="text1"/>
                            <w:kern w:val="2"/>
                            <w:sz w:val="24"/>
                            <w:szCs w:val="24"/>
                            <w:highlight w:val="none"/>
                            <w:u w:val="none"/>
                            <w:lang w:val="en-US" w:eastAsia="zh-CN" w:bidi="ar-SA"/>
                            <w14:textFill>
                              <w14:solidFill>
                                <w14:schemeClr w14:val="tx1"/>
                              </w14:solidFill>
                            </w14:textFill>
                          </w:rPr>
                        </m:ctrlPr>
                      </m:sub>
                      <m:sup>
                        <m:r>
                          <m:rPr>
                            <m:sty m:val="p"/>
                          </m:rPr>
                          <w:rPr>
                            <w:rFonts w:hint="default" w:ascii="Cambria Math" w:hAnsi="Cambria Math" w:cs="Times New Roman"/>
                            <w:color w:val="000000" w:themeColor="text1"/>
                            <w:kern w:val="2"/>
                            <w:sz w:val="24"/>
                            <w:szCs w:val="24"/>
                            <w:highlight w:val="none"/>
                            <w:u w:val="none"/>
                            <w:lang w:val="en-US" w:eastAsia="zh-CN" w:bidi="ar-SA"/>
                            <w14:textFill>
                              <w14:solidFill>
                                <w14:schemeClr w14:val="tx1"/>
                              </w14:solidFill>
                            </w14:textFill>
                          </w:rPr>
                          <m:t>N</m:t>
                        </m:r>
                        <m:ctrlPr>
                          <w:rPr>
                            <w:rFonts w:hint="default" w:ascii="Cambria Math" w:hAnsi="Cambria Math" w:cs="Times New Roman"/>
                            <w:b w:val="0"/>
                            <w:i w:val="0"/>
                            <w:color w:val="000000" w:themeColor="text1"/>
                            <w:kern w:val="2"/>
                            <w:sz w:val="24"/>
                            <w:szCs w:val="24"/>
                            <w:highlight w:val="none"/>
                            <w:u w:val="none"/>
                            <w:lang w:val="en-US" w:eastAsia="zh-CN" w:bidi="ar-SA"/>
                            <w14:textFill>
                              <w14:solidFill>
                                <w14:schemeClr w14:val="tx1"/>
                              </w14:solidFill>
                            </w14:textFill>
                          </w:rPr>
                        </m:ctrlPr>
                      </m:sup>
                      <m:e>
                        <m:sSup>
                          <m:sSupPr>
                            <m:ctrlPr>
                              <w:rPr>
                                <w:rFonts w:hint="default" w:ascii="Cambria Math" w:hAnsi="Cambria Math" w:cs="Times New Roman"/>
                                <w:b w:val="0"/>
                                <w:i w:val="0"/>
                                <w:color w:val="000000" w:themeColor="text1"/>
                                <w:kern w:val="2"/>
                                <w:sz w:val="24"/>
                                <w:szCs w:val="24"/>
                                <w:highlight w:val="none"/>
                                <w:u w:val="none"/>
                                <w:lang w:val="en-US" w:eastAsia="zh-CN" w:bidi="ar-SA"/>
                                <w14:textFill>
                                  <w14:solidFill>
                                    <w14:schemeClr w14:val="tx1"/>
                                  </w14:solidFill>
                                </w14:textFill>
                              </w:rPr>
                            </m:ctrlPr>
                          </m:sSupPr>
                          <m:e>
                            <m:r>
                              <m:rPr>
                                <m:sty m:val="p"/>
                              </m:rPr>
                              <w:rPr>
                                <w:rFonts w:hint="default" w:ascii="Cambria Math" w:hAnsi="Cambria Math" w:cs="Times New Roman"/>
                                <w:color w:val="000000" w:themeColor="text1"/>
                                <w:kern w:val="2"/>
                                <w:sz w:val="24"/>
                                <w:szCs w:val="24"/>
                                <w:highlight w:val="none"/>
                                <w:u w:val="none"/>
                                <w:lang w:val="en-US" w:eastAsia="zh-CN" w:bidi="ar-SA"/>
                                <w14:textFill>
                                  <w14:solidFill>
                                    <w14:schemeClr w14:val="tx1"/>
                                  </w14:solidFill>
                                </w14:textFill>
                              </w:rPr>
                              <m:t>10</m:t>
                            </m:r>
                            <m:ctrlPr>
                              <w:rPr>
                                <w:rFonts w:hint="default" w:ascii="Cambria Math" w:hAnsi="Cambria Math" w:cs="Times New Roman"/>
                                <w:b w:val="0"/>
                                <w:i w:val="0"/>
                                <w:color w:val="000000" w:themeColor="text1"/>
                                <w:kern w:val="2"/>
                                <w:sz w:val="24"/>
                                <w:szCs w:val="24"/>
                                <w:highlight w:val="none"/>
                                <w:u w:val="none"/>
                                <w:lang w:val="en-US" w:eastAsia="zh-CN" w:bidi="ar-SA"/>
                                <w14:textFill>
                                  <w14:solidFill>
                                    <w14:schemeClr w14:val="tx1"/>
                                  </w14:solidFill>
                                </w14:textFill>
                              </w:rPr>
                            </m:ctrlPr>
                          </m:e>
                          <m:sup>
                            <m:r>
                              <m:rPr>
                                <m:sty m:val="p"/>
                              </m:rPr>
                              <w:rPr>
                                <w:rFonts w:hint="default" w:ascii="Cambria Math" w:hAnsi="Cambria Math" w:cs="Times New Roman"/>
                                <w:color w:val="000000" w:themeColor="text1"/>
                                <w:kern w:val="2"/>
                                <w:sz w:val="24"/>
                                <w:szCs w:val="24"/>
                                <w:highlight w:val="none"/>
                                <w:u w:val="none"/>
                                <w:lang w:val="en-US" w:eastAsia="zh-CN" w:bidi="ar-SA"/>
                                <w14:textFill>
                                  <w14:solidFill>
                                    <w14:schemeClr w14:val="tx1"/>
                                  </w14:solidFill>
                                </w14:textFill>
                              </w:rPr>
                              <m:t>0.1</m:t>
                            </m:r>
                            <m:sSub>
                              <m:sSubPr>
                                <m:ctrlPr>
                                  <w:rPr>
                                    <w:rFonts w:hint="default" w:ascii="Cambria Math" w:hAnsi="Cambria Math" w:cs="Times New Roman"/>
                                    <w:i w:val="0"/>
                                    <w:iCs/>
                                    <w:color w:val="000000" w:themeColor="text1"/>
                                    <w:highlight w:val="none"/>
                                    <w:u w:val="none"/>
                                    <w:lang w:val="en-US"/>
                                    <w14:textFill>
                                      <w14:solidFill>
                                        <w14:schemeClr w14:val="tx1"/>
                                      </w14:solidFill>
                                    </w14:textFill>
                                  </w:rPr>
                                </m:ctrlPr>
                              </m:sSubPr>
                              <m:e>
                                <m:r>
                                  <m:rPr>
                                    <m:sty m:val="p"/>
                                  </m:rPr>
                                  <w:rPr>
                                    <w:rFonts w:hint="default" w:ascii="Cambria Math" w:hAnsi="Cambria Math" w:cs="Times New Roman"/>
                                    <w:color w:val="000000" w:themeColor="text1"/>
                                    <w:highlight w:val="none"/>
                                    <w:u w:val="none"/>
                                    <w:lang w:val="en-US" w:eastAsia="zh-CN"/>
                                    <w14:textFill>
                                      <w14:solidFill>
                                        <w14:schemeClr w14:val="tx1"/>
                                      </w14:solidFill>
                                    </w14:textFill>
                                  </w:rPr>
                                  <m:t>L</m:t>
                                </m:r>
                                <m:ctrlPr>
                                  <w:rPr>
                                    <w:rFonts w:hint="default" w:ascii="Cambria Math" w:hAnsi="Cambria Math" w:cs="Times New Roman"/>
                                    <w:i w:val="0"/>
                                    <w:iCs/>
                                    <w:color w:val="000000" w:themeColor="text1"/>
                                    <w:highlight w:val="none"/>
                                    <w:u w:val="none"/>
                                    <w:lang w:val="en-US"/>
                                    <w14:textFill>
                                      <w14:solidFill>
                                        <w14:schemeClr w14:val="tx1"/>
                                      </w14:solidFill>
                                    </w14:textFill>
                                  </w:rPr>
                                </m:ctrlPr>
                              </m:e>
                              <m:sub>
                                <m:r>
                                  <m:rPr>
                                    <m:sty m:val="p"/>
                                  </m:rPr>
                                  <w:rPr>
                                    <w:rFonts w:hint="default" w:ascii="Cambria Math" w:hAnsi="Cambria Math" w:cs="Times New Roman"/>
                                    <w:color w:val="000000" w:themeColor="text1"/>
                                    <w:highlight w:val="none"/>
                                    <w:u w:val="none"/>
                                    <w:lang w:val="en-US" w:eastAsia="zh-CN"/>
                                    <w14:textFill>
                                      <w14:solidFill>
                                        <w14:schemeClr w14:val="tx1"/>
                                      </w14:solidFill>
                                    </w14:textFill>
                                  </w:rPr>
                                  <m:t>p1ij</m:t>
                                </m:r>
                                <m:ctrlPr>
                                  <w:rPr>
                                    <w:rFonts w:hint="default" w:ascii="Cambria Math" w:hAnsi="Cambria Math" w:cs="Times New Roman"/>
                                    <w:i w:val="0"/>
                                    <w:iCs/>
                                    <w:color w:val="000000" w:themeColor="text1"/>
                                    <w:highlight w:val="none"/>
                                    <w:u w:val="none"/>
                                    <w:lang w:val="en-US"/>
                                    <w14:textFill>
                                      <w14:solidFill>
                                        <w14:schemeClr w14:val="tx1"/>
                                      </w14:solidFill>
                                    </w14:textFill>
                                  </w:rPr>
                                </m:ctrlPr>
                              </m:sub>
                            </m:sSub>
                            <m:ctrlPr>
                              <w:rPr>
                                <w:rFonts w:hint="default" w:ascii="Cambria Math" w:hAnsi="Cambria Math" w:cs="Times New Roman"/>
                                <w:b w:val="0"/>
                                <w:i w:val="0"/>
                                <w:color w:val="000000" w:themeColor="text1"/>
                                <w:kern w:val="2"/>
                                <w:sz w:val="24"/>
                                <w:szCs w:val="24"/>
                                <w:highlight w:val="none"/>
                                <w:u w:val="none"/>
                                <w:lang w:val="en-US" w:eastAsia="zh-CN" w:bidi="ar-SA"/>
                                <w14:textFill>
                                  <w14:solidFill>
                                    <w14:schemeClr w14:val="tx1"/>
                                  </w14:solidFill>
                                </w14:textFill>
                              </w:rPr>
                            </m:ctrlPr>
                          </m:sup>
                        </m:sSup>
                        <m:ctrlPr>
                          <w:rPr>
                            <w:rFonts w:hint="default" w:ascii="Cambria Math" w:hAnsi="Cambria Math" w:cs="Times New Roman"/>
                            <w:b w:val="0"/>
                            <w:i w:val="0"/>
                            <w:color w:val="000000" w:themeColor="text1"/>
                            <w:kern w:val="2"/>
                            <w:sz w:val="24"/>
                            <w:szCs w:val="24"/>
                            <w:highlight w:val="none"/>
                            <w:u w:val="none"/>
                            <w:lang w:val="en-US" w:eastAsia="zh-CN" w:bidi="ar-SA"/>
                            <w14:textFill>
                              <w14:solidFill>
                                <w14:schemeClr w14:val="tx1"/>
                              </w14:solidFill>
                            </w14:textFill>
                          </w:rPr>
                        </m:ctrlPr>
                      </m:e>
                    </m:nary>
                    <m:ctrlPr>
                      <w:rPr>
                        <w:rFonts w:hint="default" w:ascii="Cambria Math" w:hAnsi="Cambria Math" w:cs="Times New Roman"/>
                        <w:b w:val="0"/>
                        <w:i w:val="0"/>
                        <w:color w:val="000000" w:themeColor="text1"/>
                        <w:kern w:val="2"/>
                        <w:sz w:val="24"/>
                        <w:szCs w:val="24"/>
                        <w:highlight w:val="none"/>
                        <w:u w:val="none"/>
                        <w:lang w:val="en-US" w:eastAsia="zh-CN" w:bidi="ar-SA"/>
                        <w14:textFill>
                          <w14:solidFill>
                            <w14:schemeClr w14:val="tx1"/>
                          </w14:solidFill>
                        </w14:textFill>
                      </w:rPr>
                    </m:ctrlPr>
                  </m:e>
                </m:d>
              </m:oMath>
            </m:oMathPara>
          </w:p>
          <w:p>
            <w:pPr>
              <w:pStyle w:val="120"/>
              <w:keepNext w:val="0"/>
              <w:keepLines w:val="0"/>
              <w:pageBreakBefore w:val="0"/>
              <w:widowControl w:val="0"/>
              <w:kinsoku/>
              <w:wordWrap/>
              <w:overflowPunct/>
              <w:topLinePunct w:val="0"/>
              <w:autoSpaceDE/>
              <w:autoSpaceDN/>
              <w:bidi w:val="0"/>
              <w:adjustRightInd/>
              <w:snapToGrid/>
              <w:spacing w:line="480" w:lineRule="exact"/>
              <w:ind w:firstLine="48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式中：L</w:t>
            </w:r>
            <w:r>
              <w:rPr>
                <w:rFonts w:hint="default" w:ascii="Times New Roman" w:hAnsi="Times New Roman" w:eastAsia="宋体" w:cs="Times New Roman"/>
                <w:color w:val="000000" w:themeColor="text1"/>
                <w:sz w:val="24"/>
                <w:szCs w:val="24"/>
                <w:highlight w:val="none"/>
                <w:u w:val="none"/>
                <w:vertAlign w:val="subscript"/>
                <w:lang w:val="en-US" w:eastAsia="zh-CN"/>
                <w14:textFill>
                  <w14:solidFill>
                    <w14:schemeClr w14:val="tx1"/>
                  </w14:solidFill>
                </w14:textFill>
              </w:rPr>
              <w:t>pli</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 xml:space="preserve"> (T)—靠近围护结构处室内N个声源i倍频带的叠加声压级，dB；</w:t>
            </w:r>
          </w:p>
          <w:p>
            <w:pPr>
              <w:pStyle w:val="120"/>
              <w:keepNext w:val="0"/>
              <w:keepLines w:val="0"/>
              <w:pageBreakBefore w:val="0"/>
              <w:widowControl w:val="0"/>
              <w:kinsoku/>
              <w:wordWrap/>
              <w:overflowPunct/>
              <w:topLinePunct w:val="0"/>
              <w:autoSpaceDE/>
              <w:autoSpaceDN/>
              <w:bidi w:val="0"/>
              <w:adjustRightInd/>
              <w:snapToGrid/>
              <w:spacing w:line="480" w:lineRule="exact"/>
              <w:ind w:firstLine="1200" w:firstLineChars="50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Lplij—室内j声源i倍频带的声压级，dB；N—室内声源总数。</w:t>
            </w:r>
          </w:p>
          <w:p>
            <w:pPr>
              <w:pStyle w:val="120"/>
              <w:keepNext w:val="0"/>
              <w:keepLines w:val="0"/>
              <w:pageBreakBefore w:val="0"/>
              <w:widowControl w:val="0"/>
              <w:kinsoku/>
              <w:wordWrap/>
              <w:overflowPunct/>
              <w:topLinePunct w:val="0"/>
              <w:autoSpaceDE/>
              <w:autoSpaceDN/>
              <w:bidi w:val="0"/>
              <w:adjustRightInd/>
              <w:snapToGrid/>
              <w:spacing w:line="480" w:lineRule="exact"/>
              <w:ind w:firstLine="48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③靠近室外围护结构处的声压级：</w:t>
            </w:r>
          </w:p>
          <w:p>
            <w:pPr>
              <w:pStyle w:val="120"/>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jc w:val="center"/>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L</w:t>
            </w:r>
            <w:r>
              <w:rPr>
                <w:rFonts w:hint="default" w:ascii="Times New Roman" w:hAnsi="Times New Roman" w:eastAsia="宋体" w:cs="Times New Roman"/>
                <w:color w:val="000000" w:themeColor="text1"/>
                <w:sz w:val="24"/>
                <w:szCs w:val="24"/>
                <w:highlight w:val="none"/>
                <w:u w:val="none"/>
                <w:vertAlign w:val="subscript"/>
                <w:lang w:val="en-US" w:eastAsia="zh-CN"/>
                <w14:textFill>
                  <w14:solidFill>
                    <w14:schemeClr w14:val="tx1"/>
                  </w14:solidFill>
                </w14:textFill>
              </w:rPr>
              <w:t>p2i</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(T)=L</w:t>
            </w:r>
            <w:r>
              <w:rPr>
                <w:rFonts w:hint="default" w:ascii="Times New Roman" w:hAnsi="Times New Roman" w:eastAsia="宋体" w:cs="Times New Roman"/>
                <w:color w:val="000000" w:themeColor="text1"/>
                <w:sz w:val="24"/>
                <w:szCs w:val="24"/>
                <w:highlight w:val="none"/>
                <w:u w:val="none"/>
                <w:vertAlign w:val="subscript"/>
                <w:lang w:val="en-US" w:eastAsia="zh-CN"/>
                <w14:textFill>
                  <w14:solidFill>
                    <w14:schemeClr w14:val="tx1"/>
                  </w14:solidFill>
                </w14:textFill>
              </w:rPr>
              <w:t>p1i</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(T)-（TL</w:t>
            </w:r>
            <w:r>
              <w:rPr>
                <w:rFonts w:hint="default" w:ascii="Times New Roman" w:hAnsi="Times New Roman" w:eastAsia="宋体" w:cs="Times New Roman"/>
                <w:color w:val="000000" w:themeColor="text1"/>
                <w:sz w:val="24"/>
                <w:szCs w:val="24"/>
                <w:highlight w:val="none"/>
                <w:u w:val="none"/>
                <w:vertAlign w:val="subscript"/>
                <w:lang w:val="en-US" w:eastAsia="zh-CN"/>
                <w14:textFill>
                  <w14:solidFill>
                    <w14:schemeClr w14:val="tx1"/>
                  </w14:solidFill>
                </w14:textFill>
              </w:rPr>
              <w:t>i</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+6）</w:t>
            </w:r>
          </w:p>
          <w:p>
            <w:pPr>
              <w:pStyle w:val="120"/>
              <w:keepNext w:val="0"/>
              <w:keepLines w:val="0"/>
              <w:pageBreakBefore w:val="0"/>
              <w:widowControl w:val="0"/>
              <w:kinsoku/>
              <w:wordWrap/>
              <w:overflowPunct/>
              <w:topLinePunct w:val="0"/>
              <w:autoSpaceDE/>
              <w:autoSpaceDN/>
              <w:bidi w:val="0"/>
              <w:adjustRightInd/>
              <w:snapToGrid/>
              <w:spacing w:line="480" w:lineRule="exact"/>
              <w:ind w:firstLine="48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式中：L</w:t>
            </w:r>
            <w:r>
              <w:rPr>
                <w:rFonts w:hint="default" w:ascii="Times New Roman" w:hAnsi="Times New Roman" w:eastAsia="宋体" w:cs="Times New Roman"/>
                <w:color w:val="000000" w:themeColor="text1"/>
                <w:sz w:val="24"/>
                <w:szCs w:val="24"/>
                <w:highlight w:val="none"/>
                <w:u w:val="none"/>
                <w:vertAlign w:val="subscript"/>
                <w:lang w:val="en-US" w:eastAsia="zh-CN"/>
                <w14:textFill>
                  <w14:solidFill>
                    <w14:schemeClr w14:val="tx1"/>
                  </w14:solidFill>
                </w14:textFill>
              </w:rPr>
              <w:t>p2i</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 xml:space="preserve"> (T)—靠近围护结构处室外N个声源i倍频带的叠加声压级，dB；</w:t>
            </w:r>
          </w:p>
          <w:p>
            <w:pPr>
              <w:pStyle w:val="120"/>
              <w:keepNext w:val="0"/>
              <w:keepLines w:val="0"/>
              <w:pageBreakBefore w:val="0"/>
              <w:widowControl w:val="0"/>
              <w:kinsoku/>
              <w:wordWrap/>
              <w:overflowPunct/>
              <w:topLinePunct w:val="0"/>
              <w:autoSpaceDE/>
              <w:autoSpaceDN/>
              <w:bidi w:val="0"/>
              <w:adjustRightInd/>
              <w:snapToGrid/>
              <w:spacing w:line="480" w:lineRule="exact"/>
              <w:ind w:firstLine="1200" w:firstLineChars="50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L</w:t>
            </w:r>
            <w:r>
              <w:rPr>
                <w:rFonts w:hint="default" w:ascii="Times New Roman" w:hAnsi="Times New Roman" w:eastAsia="宋体" w:cs="Times New Roman"/>
                <w:color w:val="000000" w:themeColor="text1"/>
                <w:sz w:val="24"/>
                <w:szCs w:val="24"/>
                <w:highlight w:val="none"/>
                <w:u w:val="none"/>
                <w:vertAlign w:val="subscript"/>
                <w:lang w:val="en-US" w:eastAsia="zh-CN"/>
                <w14:textFill>
                  <w14:solidFill>
                    <w14:schemeClr w14:val="tx1"/>
                  </w14:solidFill>
                </w14:textFill>
              </w:rPr>
              <w:t>pli</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 xml:space="preserve"> (T)—靠近围护结构处室内N个声源i倍频带的叠加声压级，dB；</w:t>
            </w:r>
          </w:p>
          <w:p>
            <w:pPr>
              <w:pStyle w:val="120"/>
              <w:keepNext w:val="0"/>
              <w:keepLines w:val="0"/>
              <w:pageBreakBefore w:val="0"/>
              <w:widowControl w:val="0"/>
              <w:kinsoku/>
              <w:wordWrap/>
              <w:overflowPunct/>
              <w:topLinePunct w:val="0"/>
              <w:autoSpaceDE/>
              <w:autoSpaceDN/>
              <w:bidi w:val="0"/>
              <w:adjustRightInd/>
              <w:snapToGrid/>
              <w:spacing w:line="480" w:lineRule="exact"/>
              <w:ind w:firstLine="1200" w:firstLineChars="50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TL—围护结构i倍频带的隔声量，dB。</w:t>
            </w:r>
          </w:p>
          <w:p>
            <w:pPr>
              <w:pStyle w:val="120"/>
              <w:keepNext w:val="0"/>
              <w:keepLines w:val="0"/>
              <w:pageBreakBefore w:val="0"/>
              <w:widowControl w:val="0"/>
              <w:kinsoku/>
              <w:wordWrap/>
              <w:overflowPunct/>
              <w:topLinePunct w:val="0"/>
              <w:autoSpaceDE/>
              <w:autoSpaceDN/>
              <w:bidi w:val="0"/>
              <w:adjustRightInd/>
              <w:snapToGrid/>
              <w:spacing w:line="480" w:lineRule="exact"/>
              <w:ind w:firstLine="48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④室外声压级换算成等效的室外声源：</w:t>
            </w:r>
          </w:p>
          <w:p>
            <w:pPr>
              <w:pStyle w:val="120"/>
              <w:keepNext w:val="0"/>
              <w:keepLines w:val="0"/>
              <w:pageBreakBefore w:val="0"/>
              <w:widowControl w:val="0"/>
              <w:kinsoku/>
              <w:wordWrap/>
              <w:overflowPunct/>
              <w:topLinePunct w:val="0"/>
              <w:autoSpaceDE/>
              <w:autoSpaceDN/>
              <w:bidi w:val="0"/>
              <w:adjustRightInd/>
              <w:snapToGrid/>
              <w:spacing w:line="480" w:lineRule="exact"/>
              <w:ind w:left="0" w:leftChars="0" w:firstLine="0" w:firstLineChars="0"/>
              <w:jc w:val="center"/>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L</w:t>
            </w:r>
            <w:r>
              <w:rPr>
                <w:rFonts w:hint="default" w:ascii="Times New Roman" w:hAnsi="Times New Roman" w:eastAsia="宋体" w:cs="Times New Roman"/>
                <w:color w:val="000000" w:themeColor="text1"/>
                <w:sz w:val="24"/>
                <w:szCs w:val="24"/>
                <w:highlight w:val="none"/>
                <w:u w:val="none"/>
                <w:vertAlign w:val="subscript"/>
                <w:lang w:val="en-US" w:eastAsia="zh-CN"/>
                <w14:textFill>
                  <w14:solidFill>
                    <w14:schemeClr w14:val="tx1"/>
                  </w14:solidFill>
                </w14:textFill>
              </w:rPr>
              <w:t>w</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=L</w:t>
            </w:r>
            <w:r>
              <w:rPr>
                <w:rFonts w:hint="default" w:ascii="Times New Roman" w:hAnsi="Times New Roman" w:eastAsia="宋体" w:cs="Times New Roman"/>
                <w:color w:val="000000" w:themeColor="text1"/>
                <w:sz w:val="24"/>
                <w:szCs w:val="24"/>
                <w:highlight w:val="none"/>
                <w:u w:val="none"/>
                <w:vertAlign w:val="subscript"/>
                <w:lang w:val="en-US" w:eastAsia="zh-CN"/>
                <w14:textFill>
                  <w14:solidFill>
                    <w14:schemeClr w14:val="tx1"/>
                  </w14:solidFill>
                </w14:textFill>
              </w:rPr>
              <w:t>p2</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(T)+10lgS</w:t>
            </w:r>
          </w:p>
          <w:p>
            <w:pPr>
              <w:pStyle w:val="120"/>
              <w:keepNext w:val="0"/>
              <w:keepLines w:val="0"/>
              <w:pageBreakBefore w:val="0"/>
              <w:widowControl w:val="0"/>
              <w:kinsoku/>
              <w:wordWrap/>
              <w:overflowPunct/>
              <w:topLinePunct w:val="0"/>
              <w:autoSpaceDE/>
              <w:autoSpaceDN/>
              <w:bidi w:val="0"/>
              <w:adjustRightInd/>
              <w:snapToGrid/>
              <w:spacing w:line="480" w:lineRule="exact"/>
              <w:ind w:firstLine="48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其中：Lw—中心位置位于透声面积（S）处的等效声源的倍频带声功率级，dB；</w:t>
            </w:r>
          </w:p>
          <w:p>
            <w:pPr>
              <w:pStyle w:val="120"/>
              <w:keepNext w:val="0"/>
              <w:keepLines w:val="0"/>
              <w:pageBreakBefore w:val="0"/>
              <w:widowControl w:val="0"/>
              <w:kinsoku/>
              <w:wordWrap/>
              <w:overflowPunct/>
              <w:topLinePunct w:val="0"/>
              <w:autoSpaceDE/>
              <w:autoSpaceDN/>
              <w:bidi w:val="0"/>
              <w:adjustRightInd/>
              <w:snapToGrid/>
              <w:spacing w:line="480" w:lineRule="exact"/>
              <w:ind w:firstLine="1200" w:firstLineChars="50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L</w:t>
            </w:r>
            <w:r>
              <w:rPr>
                <w:rFonts w:hint="default" w:ascii="Times New Roman" w:hAnsi="Times New Roman" w:eastAsia="宋体" w:cs="Times New Roman"/>
                <w:color w:val="000000" w:themeColor="text1"/>
                <w:sz w:val="24"/>
                <w:szCs w:val="24"/>
                <w:highlight w:val="none"/>
                <w:u w:val="none"/>
                <w:vertAlign w:val="subscript"/>
                <w:lang w:val="en-US" w:eastAsia="zh-CN"/>
                <w14:textFill>
                  <w14:solidFill>
                    <w14:schemeClr w14:val="tx1"/>
                  </w14:solidFill>
                </w14:textFill>
              </w:rPr>
              <w:t>p2</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(T)—靠近围护结构处室外声源的声压级，dB；</w:t>
            </w:r>
          </w:p>
          <w:p>
            <w:pPr>
              <w:pStyle w:val="120"/>
              <w:keepNext w:val="0"/>
              <w:keepLines w:val="0"/>
              <w:pageBreakBefore w:val="0"/>
              <w:widowControl w:val="0"/>
              <w:kinsoku/>
              <w:wordWrap/>
              <w:overflowPunct/>
              <w:topLinePunct w:val="0"/>
              <w:autoSpaceDE/>
              <w:autoSpaceDN/>
              <w:bidi w:val="0"/>
              <w:adjustRightInd/>
              <w:snapToGrid/>
              <w:spacing w:line="480" w:lineRule="exact"/>
              <w:ind w:firstLine="1200" w:firstLineChars="50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s—透声面积，m</w:t>
            </w:r>
            <w:r>
              <w:rPr>
                <w:rFonts w:hint="default" w:ascii="Times New Roman" w:hAnsi="Times New Roman" w:eastAsia="宋体" w:cs="Times New Roman"/>
                <w:color w:val="000000" w:themeColor="text1"/>
                <w:sz w:val="24"/>
                <w:szCs w:val="24"/>
                <w:highlight w:val="none"/>
                <w:u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w:t>
            </w:r>
          </w:p>
          <w:p>
            <w:pPr>
              <w:pStyle w:val="120"/>
              <w:keepNext w:val="0"/>
              <w:keepLines w:val="0"/>
              <w:pageBreakBefore w:val="0"/>
              <w:widowControl w:val="0"/>
              <w:kinsoku/>
              <w:wordWrap/>
              <w:overflowPunct/>
              <w:topLinePunct w:val="0"/>
              <w:autoSpaceDE/>
              <w:autoSpaceDN/>
              <w:bidi w:val="0"/>
              <w:adjustRightInd/>
              <w:snapToGrid/>
              <w:spacing w:line="480" w:lineRule="exact"/>
              <w:ind w:firstLine="48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等效室外声源的位置为围护结构的位置，其倍频带声功率级为Lwoct，由此按室外声源方法计算等效室外声源在预测点产生的声级。</w:t>
            </w:r>
          </w:p>
          <w:p>
            <w:pPr>
              <w:pStyle w:val="120"/>
              <w:keepNext w:val="0"/>
              <w:keepLines w:val="0"/>
              <w:pageBreakBefore w:val="0"/>
              <w:widowControl w:val="0"/>
              <w:kinsoku/>
              <w:wordWrap/>
              <w:overflowPunct/>
              <w:topLinePunct w:val="0"/>
              <w:autoSpaceDE/>
              <w:autoSpaceDN/>
              <w:bidi w:val="0"/>
              <w:adjustRightInd/>
              <w:snapToGrid/>
              <w:spacing w:line="480" w:lineRule="exact"/>
              <w:ind w:firstLine="48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2）基准预测点噪声级叠加公式</w:t>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position w:val="-28"/>
                <w:sz w:val="24"/>
                <w:szCs w:val="24"/>
                <w:highlight w:val="none"/>
                <w:u w:val="none"/>
                <w14:textFill>
                  <w14:solidFill>
                    <w14:schemeClr w14:val="tx1"/>
                  </w14:solidFill>
                </w14:textFill>
              </w:rPr>
              <w:object>
                <v:shape id="_x0000_i1031" o:spt="75" type="#_x0000_t75" style="height:33.7pt;width:107.15pt;" o:ole="t" filled="f" o:preferrelative="t" stroked="f" coordsize="21600,21600">
                  <v:path/>
                  <v:fill on="f" focussize="0,0"/>
                  <v:stroke on="f"/>
                  <v:imagedata r:id="rId33" o:title=""/>
                  <o:lock v:ext="edit" aspectratio="t"/>
                  <w10:wrap type="none"/>
                  <w10:anchorlock/>
                </v:shape>
                <o:OLEObject Type="Embed" ProgID="Equation.3" ShapeID="_x0000_i1031" DrawAspect="Content" ObjectID="_1468075731" r:id="rId32">
                  <o:LockedField>false</o:LockedField>
                </o:OLEObject>
              </w:object>
            </w:r>
          </w:p>
          <w:p>
            <w:pPr>
              <w:pStyle w:val="120"/>
              <w:keepNext w:val="0"/>
              <w:keepLines w:val="0"/>
              <w:pageBreakBefore w:val="0"/>
              <w:widowControl w:val="0"/>
              <w:kinsoku/>
              <w:wordWrap/>
              <w:overflowPunct/>
              <w:topLinePunct w:val="0"/>
              <w:autoSpaceDE/>
              <w:autoSpaceDN/>
              <w:bidi w:val="0"/>
              <w:adjustRightInd/>
              <w:snapToGrid/>
              <w:spacing w:line="480" w:lineRule="exact"/>
              <w:ind w:firstLine="48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式中：L</w:t>
            </w:r>
            <w:r>
              <w:rPr>
                <w:rFonts w:hint="default" w:ascii="Times New Roman" w:hAnsi="Times New Roman" w:eastAsia="宋体" w:cs="Times New Roman"/>
                <w:color w:val="000000" w:themeColor="text1"/>
                <w:sz w:val="24"/>
                <w:szCs w:val="24"/>
                <w:highlight w:val="none"/>
                <w:u w:val="none"/>
                <w:vertAlign w:val="subscript"/>
                <w:lang w:val="en-US" w:eastAsia="zh-CN"/>
                <w14:textFill>
                  <w14:solidFill>
                    <w14:schemeClr w14:val="tx1"/>
                  </w14:solidFill>
                </w14:textFill>
              </w:rPr>
              <w:t>p总</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—叠加后总声级，dB(A)；</w:t>
            </w:r>
          </w:p>
          <w:p>
            <w:pPr>
              <w:pStyle w:val="120"/>
              <w:keepNext w:val="0"/>
              <w:keepLines w:val="0"/>
              <w:pageBreakBefore w:val="0"/>
              <w:widowControl w:val="0"/>
              <w:kinsoku/>
              <w:wordWrap/>
              <w:overflowPunct/>
              <w:topLinePunct w:val="0"/>
              <w:autoSpaceDE/>
              <w:autoSpaceDN/>
              <w:bidi w:val="0"/>
              <w:adjustRightInd/>
              <w:snapToGrid/>
              <w:spacing w:line="480" w:lineRule="exact"/>
              <w:ind w:firstLine="1200" w:firstLineChars="50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L</w:t>
            </w:r>
            <w:r>
              <w:rPr>
                <w:rFonts w:hint="default" w:ascii="Times New Roman" w:hAnsi="Times New Roman" w:eastAsia="宋体" w:cs="Times New Roman"/>
                <w:color w:val="000000" w:themeColor="text1"/>
                <w:sz w:val="24"/>
                <w:szCs w:val="24"/>
                <w:highlight w:val="none"/>
                <w:u w:val="none"/>
                <w:vertAlign w:val="subscript"/>
                <w:lang w:val="en-US" w:eastAsia="zh-CN"/>
                <w14:textFill>
                  <w14:solidFill>
                    <w14:schemeClr w14:val="tx1"/>
                  </w14:solidFill>
                </w14:textFill>
              </w:rPr>
              <w:t>pi</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—i声源点至基准预测点的声级，dB(A)；</w:t>
            </w:r>
          </w:p>
          <w:p>
            <w:pPr>
              <w:pStyle w:val="120"/>
              <w:keepNext w:val="0"/>
              <w:keepLines w:val="0"/>
              <w:pageBreakBefore w:val="0"/>
              <w:widowControl w:val="0"/>
              <w:kinsoku/>
              <w:wordWrap/>
              <w:overflowPunct/>
              <w:topLinePunct w:val="0"/>
              <w:autoSpaceDE/>
              <w:autoSpaceDN/>
              <w:bidi w:val="0"/>
              <w:adjustRightInd/>
              <w:snapToGrid/>
              <w:spacing w:line="480" w:lineRule="exact"/>
              <w:ind w:firstLine="1200" w:firstLineChars="50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n—噪声源数目。</w:t>
            </w:r>
          </w:p>
          <w:p>
            <w:pPr>
              <w:pStyle w:val="120"/>
              <w:keepNext w:val="0"/>
              <w:keepLines w:val="0"/>
              <w:pageBreakBefore w:val="0"/>
              <w:widowControl w:val="0"/>
              <w:kinsoku/>
              <w:wordWrap/>
              <w:overflowPunct/>
              <w:topLinePunct w:val="0"/>
              <w:autoSpaceDE/>
              <w:autoSpaceDN/>
              <w:bidi w:val="0"/>
              <w:adjustRightInd/>
              <w:snapToGrid/>
              <w:spacing w:line="480" w:lineRule="exact"/>
              <w:ind w:firstLine="48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3）参数选取</w:t>
            </w:r>
          </w:p>
          <w:p>
            <w:pPr>
              <w:pStyle w:val="120"/>
              <w:keepNext w:val="0"/>
              <w:keepLines w:val="0"/>
              <w:pageBreakBefore w:val="0"/>
              <w:widowControl w:val="0"/>
              <w:kinsoku/>
              <w:wordWrap/>
              <w:overflowPunct/>
              <w:topLinePunct w:val="0"/>
              <w:autoSpaceDE/>
              <w:autoSpaceDN/>
              <w:bidi w:val="0"/>
              <w:adjustRightInd/>
              <w:snapToGrid/>
              <w:spacing w:line="480" w:lineRule="exact"/>
              <w:ind w:firstLine="480"/>
              <w:textAlignment w:val="auto"/>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项目所在区域的年平均温度为14.8℃，湿度为</w:t>
            </w:r>
            <w:r>
              <w:rPr>
                <w:rFonts w:hint="default" w:ascii="Times New Roman" w:hAnsi="Times New Roman" w:eastAsia="仿宋" w:cs="Times New Roman"/>
                <w:color w:val="000000" w:themeColor="text1"/>
                <w:sz w:val="24"/>
                <w:szCs w:val="24"/>
                <w:u w:val="none"/>
                <w14:textFill>
                  <w14:solidFill>
                    <w14:schemeClr w14:val="tx1"/>
                  </w14:solidFill>
                </w14:textFill>
              </w:rPr>
              <w:t>73</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%。计算过程考虑了建筑物的屏障作用和室内源向室外的传播。</w:t>
            </w:r>
          </w:p>
          <w:p>
            <w:pPr>
              <w:pStyle w:val="120"/>
              <w:keepNext w:val="0"/>
              <w:keepLines w:val="0"/>
              <w:pageBreakBefore w:val="0"/>
              <w:widowControl w:val="0"/>
              <w:kinsoku/>
              <w:wordWrap/>
              <w:overflowPunct/>
              <w:topLinePunct w:val="0"/>
              <w:autoSpaceDE/>
              <w:autoSpaceDN/>
              <w:bidi w:val="0"/>
              <w:adjustRightInd/>
              <w:snapToGrid/>
              <w:spacing w:line="480" w:lineRule="exact"/>
              <w:ind w:firstLine="480"/>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根据《环境影响评价技术导则-声环境》（HJ2.4-2021）要求，按照点声源几何发散衰减模式预测各设备噪声衰减到预测点得到预测值，并对各设备噪声在预测点处进行叠加，预测各设备叠加和经过墙壁降噪后的噪声对预测点处噪声贡献值。预测结果见下表</w:t>
            </w:r>
            <w:r>
              <w:rPr>
                <w:rFonts w:hint="default" w:ascii="Times New Roman" w:hAnsi="Times New Roman" w:cs="Times New Roman"/>
                <w:color w:val="000000" w:themeColor="text1"/>
                <w14:textFill>
                  <w14:solidFill>
                    <w14:schemeClr w14:val="tx1"/>
                  </w14:solidFill>
                </w14:textFill>
              </w:rPr>
              <w:t>。</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表41         采取降噪措施后边界噪声预测结果一览表    单位：dB(A)</w:t>
            </w:r>
          </w:p>
          <w:tbl>
            <w:tblPr>
              <w:tblStyle w:val="37"/>
              <w:tblW w:w="928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13"/>
              <w:gridCol w:w="1192"/>
              <w:gridCol w:w="934"/>
              <w:gridCol w:w="929"/>
              <w:gridCol w:w="892"/>
              <w:gridCol w:w="900"/>
              <w:gridCol w:w="861"/>
              <w:gridCol w:w="915"/>
              <w:gridCol w:w="893"/>
              <w:gridCol w:w="8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3"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360" w:lineRule="exact"/>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预测点位</w:t>
                  </w:r>
                </w:p>
              </w:tc>
              <w:tc>
                <w:tcPr>
                  <w:tcW w:w="1192"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360" w:lineRule="exact"/>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距离边界距离（m）</w:t>
                  </w:r>
                </w:p>
              </w:tc>
              <w:tc>
                <w:tcPr>
                  <w:tcW w:w="3655" w:type="dxa"/>
                  <w:gridSpan w:val="4"/>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360" w:lineRule="exact"/>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昼间</w:t>
                  </w:r>
                </w:p>
              </w:tc>
              <w:tc>
                <w:tcPr>
                  <w:tcW w:w="3520" w:type="dxa"/>
                  <w:gridSpan w:val="4"/>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360" w:lineRule="exact"/>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3"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360" w:lineRule="exact"/>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192"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360" w:lineRule="exact"/>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934"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360" w:lineRule="exact"/>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背景值</w:t>
                  </w:r>
                </w:p>
              </w:tc>
              <w:tc>
                <w:tcPr>
                  <w:tcW w:w="929"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360" w:lineRule="exact"/>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贡献值</w:t>
                  </w:r>
                </w:p>
              </w:tc>
              <w:tc>
                <w:tcPr>
                  <w:tcW w:w="89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360" w:lineRule="exact"/>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预测值</w:t>
                  </w:r>
                </w:p>
              </w:tc>
              <w:tc>
                <w:tcPr>
                  <w:tcW w:w="900"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360" w:lineRule="exact"/>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标准值</w:t>
                  </w:r>
                </w:p>
              </w:tc>
              <w:tc>
                <w:tcPr>
                  <w:tcW w:w="861"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360" w:lineRule="exact"/>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背景值</w:t>
                  </w:r>
                </w:p>
              </w:tc>
              <w:tc>
                <w:tcPr>
                  <w:tcW w:w="91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360" w:lineRule="exact"/>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贡献值</w:t>
                  </w:r>
                </w:p>
              </w:tc>
              <w:tc>
                <w:tcPr>
                  <w:tcW w:w="893"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360" w:lineRule="exact"/>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预测值</w:t>
                  </w:r>
                </w:p>
              </w:tc>
              <w:tc>
                <w:tcPr>
                  <w:tcW w:w="851"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360" w:lineRule="exact"/>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标准值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3"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东边界</w:t>
                  </w:r>
                </w:p>
              </w:tc>
              <w:tc>
                <w:tcPr>
                  <w:tcW w:w="119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5.22</w:t>
                  </w:r>
                </w:p>
              </w:tc>
              <w:tc>
                <w:tcPr>
                  <w:tcW w:w="934"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w:t>
                  </w:r>
                </w:p>
              </w:tc>
              <w:tc>
                <w:tcPr>
                  <w:tcW w:w="929"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47.8</w:t>
                  </w:r>
                </w:p>
              </w:tc>
              <w:tc>
                <w:tcPr>
                  <w:tcW w:w="89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w:t>
                  </w:r>
                </w:p>
              </w:tc>
              <w:tc>
                <w:tcPr>
                  <w:tcW w:w="900"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60</w:t>
                  </w:r>
                </w:p>
              </w:tc>
              <w:tc>
                <w:tcPr>
                  <w:tcW w:w="861"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w:t>
                  </w:r>
                </w:p>
              </w:tc>
              <w:tc>
                <w:tcPr>
                  <w:tcW w:w="91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47.8</w:t>
                  </w:r>
                </w:p>
              </w:tc>
              <w:tc>
                <w:tcPr>
                  <w:tcW w:w="893"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360" w:lineRule="exact"/>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w:t>
                  </w:r>
                </w:p>
              </w:tc>
              <w:tc>
                <w:tcPr>
                  <w:tcW w:w="851"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360" w:lineRule="exact"/>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3"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西边界</w:t>
                  </w:r>
                </w:p>
              </w:tc>
              <w:tc>
                <w:tcPr>
                  <w:tcW w:w="119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26.6</w:t>
                  </w:r>
                </w:p>
              </w:tc>
              <w:tc>
                <w:tcPr>
                  <w:tcW w:w="934"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w:t>
                  </w:r>
                </w:p>
              </w:tc>
              <w:tc>
                <w:tcPr>
                  <w:tcW w:w="929"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33.7</w:t>
                  </w:r>
                </w:p>
              </w:tc>
              <w:tc>
                <w:tcPr>
                  <w:tcW w:w="89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w:t>
                  </w:r>
                </w:p>
              </w:tc>
              <w:tc>
                <w:tcPr>
                  <w:tcW w:w="900"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60</w:t>
                  </w:r>
                </w:p>
              </w:tc>
              <w:tc>
                <w:tcPr>
                  <w:tcW w:w="861"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w:t>
                  </w:r>
                </w:p>
              </w:tc>
              <w:tc>
                <w:tcPr>
                  <w:tcW w:w="91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33.7</w:t>
                  </w:r>
                </w:p>
              </w:tc>
              <w:tc>
                <w:tcPr>
                  <w:tcW w:w="893"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360" w:lineRule="exact"/>
                    <w:jc w:val="center"/>
                    <w:textAlignment w:val="baseline"/>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w:t>
                  </w:r>
                </w:p>
              </w:tc>
              <w:tc>
                <w:tcPr>
                  <w:tcW w:w="851"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360" w:lineRule="exact"/>
                    <w:jc w:val="center"/>
                    <w:textAlignment w:val="baseline"/>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3"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北边界</w:t>
                  </w:r>
                </w:p>
              </w:tc>
              <w:tc>
                <w:tcPr>
                  <w:tcW w:w="119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9.6</w:t>
                  </w:r>
                </w:p>
              </w:tc>
              <w:tc>
                <w:tcPr>
                  <w:tcW w:w="934"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w:t>
                  </w:r>
                </w:p>
              </w:tc>
              <w:tc>
                <w:tcPr>
                  <w:tcW w:w="929"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42.5</w:t>
                  </w:r>
                </w:p>
              </w:tc>
              <w:tc>
                <w:tcPr>
                  <w:tcW w:w="89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w:t>
                  </w:r>
                </w:p>
              </w:tc>
              <w:tc>
                <w:tcPr>
                  <w:tcW w:w="900"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60</w:t>
                  </w:r>
                </w:p>
              </w:tc>
              <w:tc>
                <w:tcPr>
                  <w:tcW w:w="861"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w:t>
                  </w:r>
                </w:p>
              </w:tc>
              <w:tc>
                <w:tcPr>
                  <w:tcW w:w="91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42.5</w:t>
                  </w:r>
                </w:p>
              </w:tc>
              <w:tc>
                <w:tcPr>
                  <w:tcW w:w="893"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360" w:lineRule="exact"/>
                    <w:jc w:val="center"/>
                    <w:textAlignment w:val="baseline"/>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w:t>
                  </w:r>
                </w:p>
              </w:tc>
              <w:tc>
                <w:tcPr>
                  <w:tcW w:w="851"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360" w:lineRule="exact"/>
                    <w:jc w:val="center"/>
                    <w:textAlignment w:val="baseline"/>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13"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南边界</w:t>
                  </w:r>
                </w:p>
              </w:tc>
              <w:tc>
                <w:tcPr>
                  <w:tcW w:w="119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10.2</w:t>
                  </w:r>
                </w:p>
              </w:tc>
              <w:tc>
                <w:tcPr>
                  <w:tcW w:w="934"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w:t>
                  </w:r>
                </w:p>
              </w:tc>
              <w:tc>
                <w:tcPr>
                  <w:tcW w:w="929"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42.0</w:t>
                  </w:r>
                </w:p>
              </w:tc>
              <w:tc>
                <w:tcPr>
                  <w:tcW w:w="892"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w:t>
                  </w:r>
                </w:p>
              </w:tc>
              <w:tc>
                <w:tcPr>
                  <w:tcW w:w="900"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70</w:t>
                  </w:r>
                </w:p>
              </w:tc>
              <w:tc>
                <w:tcPr>
                  <w:tcW w:w="861"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w:t>
                  </w:r>
                </w:p>
              </w:tc>
              <w:tc>
                <w:tcPr>
                  <w:tcW w:w="91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42.0</w:t>
                  </w:r>
                </w:p>
              </w:tc>
              <w:tc>
                <w:tcPr>
                  <w:tcW w:w="893"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360" w:lineRule="exact"/>
                    <w:jc w:val="center"/>
                    <w:textAlignment w:val="baseline"/>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Cs/>
                      <w:color w:val="000000" w:themeColor="text1"/>
                      <w:kern w:val="2"/>
                      <w:sz w:val="21"/>
                      <w:szCs w:val="21"/>
                      <w:u w:val="none"/>
                      <w:lang w:val="en-US" w:eastAsia="zh-CN" w:bidi="ar-SA"/>
                      <w14:textFill>
                        <w14:solidFill>
                          <w14:schemeClr w14:val="tx1"/>
                        </w14:solidFill>
                      </w14:textFill>
                    </w:rPr>
                    <w:t>/</w:t>
                  </w:r>
                </w:p>
              </w:tc>
              <w:tc>
                <w:tcPr>
                  <w:tcW w:w="851"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spacing w:line="360" w:lineRule="exact"/>
                    <w:jc w:val="center"/>
                    <w:textAlignment w:val="baseline"/>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55</w:t>
                  </w:r>
                </w:p>
              </w:tc>
            </w:tr>
          </w:tbl>
          <w:p>
            <w:pPr>
              <w:pStyle w:val="36"/>
              <w:keepNext w:val="0"/>
              <w:keepLines w:val="0"/>
              <w:pageBreakBefore w:val="0"/>
              <w:widowControl w:val="0"/>
              <w:kinsoku/>
              <w:wordWrap/>
              <w:overflowPunct/>
              <w:topLinePunct w:val="0"/>
              <w:autoSpaceDE/>
              <w:autoSpaceDN/>
              <w:bidi w:val="0"/>
              <w:spacing w:line="480" w:lineRule="exact"/>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为降低其噪声对周围环境的影响，加油站对出入区域内来往的机动车严格管理，采取车辆进站时减速、禁止鸣笛、加油时车辆熄火和平稳启动等措施，使区域内的交通噪声降到最低值。加油机油泵置于加油机内部，且噪声污染均为间歇排放，经过隔声、距离衰减后，项目东、西、</w:t>
            </w:r>
            <w:r>
              <w:rPr>
                <w:rFonts w:hint="default" w:ascii="Times New Roman" w:hAnsi="Times New Roman" w:cs="Times New Roman"/>
                <w:color w:val="000000" w:themeColor="text1"/>
                <w:sz w:val="24"/>
                <w:szCs w:val="24"/>
                <w:lang w:val="en-US" w:eastAsia="zh-CN"/>
                <w14:textFill>
                  <w14:solidFill>
                    <w14:schemeClr w14:val="tx1"/>
                  </w14:solidFill>
                </w14:textFill>
              </w:rPr>
              <w:t>北</w:t>
            </w:r>
            <w:r>
              <w:rPr>
                <w:rFonts w:hint="default" w:ascii="Times New Roman" w:hAnsi="Times New Roman" w:cs="Times New Roman"/>
                <w:color w:val="000000" w:themeColor="text1"/>
                <w:sz w:val="24"/>
                <w:szCs w:val="24"/>
                <w14:textFill>
                  <w14:solidFill>
                    <w14:schemeClr w14:val="tx1"/>
                  </w14:solidFill>
                </w14:textFill>
              </w:rPr>
              <w:t>边界噪声值可以满足《工业企业厂界环境噪声排放标准》（GB12348-2008）2类标准限值，</w:t>
            </w:r>
            <w:r>
              <w:rPr>
                <w:rFonts w:hint="default" w:ascii="Times New Roman" w:hAnsi="Times New Roman" w:cs="Times New Roman"/>
                <w:color w:val="000000" w:themeColor="text1"/>
                <w:sz w:val="24"/>
                <w:szCs w:val="24"/>
                <w:lang w:val="en-US" w:eastAsia="zh-CN"/>
                <w14:textFill>
                  <w14:solidFill>
                    <w14:schemeClr w14:val="tx1"/>
                  </w14:solidFill>
                </w14:textFill>
              </w:rPr>
              <w:t>南</w:t>
            </w:r>
            <w:r>
              <w:rPr>
                <w:rFonts w:hint="default" w:ascii="Times New Roman" w:hAnsi="Times New Roman" w:cs="Times New Roman"/>
                <w:color w:val="000000" w:themeColor="text1"/>
                <w:sz w:val="24"/>
                <w:szCs w:val="24"/>
                <w14:textFill>
                  <w14:solidFill>
                    <w14:schemeClr w14:val="tx1"/>
                  </w14:solidFill>
                </w14:textFill>
              </w:rPr>
              <w:t>侧边界可以满足《工业企业厂界环境噪声排放标准》（</w:t>
            </w:r>
            <w:r>
              <w:rPr>
                <w:rFonts w:hint="default" w:ascii="Times New Roman" w:hAnsi="Times New Roman" w:eastAsia="宋体" w:cs="Times New Roman"/>
                <w:color w:val="000000" w:themeColor="text1"/>
                <w:sz w:val="24"/>
                <w:szCs w:val="24"/>
                <w14:textFill>
                  <w14:solidFill>
                    <w14:schemeClr w14:val="tx1"/>
                  </w14:solidFill>
                </w14:textFill>
              </w:rPr>
              <w:t>GB12348-2008）4类标准限值。项目噪声对周围环境影响可以接受。</w:t>
            </w:r>
          </w:p>
          <w:p>
            <w:pPr>
              <w:pStyle w:val="36"/>
              <w:keepNext w:val="0"/>
              <w:keepLines w:val="0"/>
              <w:pageBreakBefore w:val="0"/>
              <w:widowControl w:val="0"/>
              <w:kinsoku/>
              <w:wordWrap/>
              <w:overflowPunct/>
              <w:topLinePunct w:val="0"/>
              <w:autoSpaceDE/>
              <w:autoSpaceDN/>
              <w:bidi w:val="0"/>
              <w:spacing w:line="480" w:lineRule="exact"/>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14:textFill>
                  <w14:solidFill>
                    <w14:schemeClr w14:val="tx1"/>
                  </w14:solidFill>
                </w14:textFill>
              </w:rPr>
              <w:t>监测计划</w:t>
            </w:r>
          </w:p>
          <w:p>
            <w:pPr>
              <w:pStyle w:val="36"/>
              <w:keepNext w:val="0"/>
              <w:keepLines w:val="0"/>
              <w:pageBreakBefore w:val="0"/>
              <w:widowControl w:val="0"/>
              <w:kinsoku/>
              <w:wordWrap/>
              <w:overflowPunct/>
              <w:topLinePunct w:val="0"/>
              <w:autoSpaceDE/>
              <w:autoSpaceDN/>
              <w:bidi w:val="0"/>
              <w:spacing w:line="480" w:lineRule="exact"/>
              <w:ind w:firstLine="480" w:firstLineChars="200"/>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根据</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排污单位自行监测技术指南 总则</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HJ819-2017</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，本</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项目</w:t>
            </w:r>
            <w:r>
              <w:rPr>
                <w:rFonts w:hint="default" w:ascii="Times New Roman" w:hAnsi="Times New Roman" w:eastAsia="宋体" w:cs="Times New Roman"/>
                <w:color w:val="000000" w:themeColor="text1"/>
                <w:sz w:val="24"/>
                <w:szCs w:val="24"/>
                <w14:textFill>
                  <w14:solidFill>
                    <w14:schemeClr w14:val="tx1"/>
                  </w14:solidFill>
                </w14:textFill>
              </w:rPr>
              <w:t>运行期噪声监测计划见</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下表</w:t>
            </w:r>
            <w:r>
              <w:rPr>
                <w:rFonts w:hint="default" w:ascii="Times New Roman" w:hAnsi="Times New Roman" w:eastAsia="宋体" w:cs="Times New Roman"/>
                <w:color w:val="000000" w:themeColor="text1"/>
                <w:sz w:val="24"/>
                <w:szCs w:val="24"/>
                <w14:textFill>
                  <w14:solidFill>
                    <w14:schemeClr w14:val="tx1"/>
                  </w14:solidFill>
                </w14:textFill>
              </w:rPr>
              <w:t>。</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表42                   项目噪声监测计划</w:t>
            </w:r>
          </w:p>
          <w:tbl>
            <w:tblPr>
              <w:tblStyle w:val="37"/>
              <w:tblW w:w="919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334"/>
              <w:gridCol w:w="2211"/>
              <w:gridCol w:w="3284"/>
              <w:gridCol w:w="236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34" w:type="dxa"/>
                  <w:tcBorders>
                    <w:tl2br w:val="nil"/>
                    <w:tr2bl w:val="nil"/>
                  </w:tcBorders>
                  <w:noWrap w:val="0"/>
                  <w:vAlign w:val="center"/>
                </w:tcPr>
                <w:p>
                  <w:pPr>
                    <w:pStyle w:val="69"/>
                    <w:keepNext w:val="0"/>
                    <w:keepLines w:val="0"/>
                    <w:pageBreakBefore w:val="0"/>
                    <w:widowControl w:val="0"/>
                    <w:kinsoku/>
                    <w:wordWrap/>
                    <w:overflowPunct/>
                    <w:topLinePunct w:val="0"/>
                    <w:autoSpaceDE/>
                    <w:autoSpaceDN/>
                    <w:bidi w:val="0"/>
                    <w:adjustRightInd w:val="0"/>
                    <w:snapToGrid w:val="0"/>
                    <w:spacing w:beforeLines="0" w:afterLines="0" w:line="400" w:lineRule="exact"/>
                    <w:ind w:left="0"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要素</w:t>
                  </w:r>
                </w:p>
              </w:tc>
              <w:tc>
                <w:tcPr>
                  <w:tcW w:w="2211" w:type="dxa"/>
                  <w:tcBorders>
                    <w:tl2br w:val="nil"/>
                    <w:tr2bl w:val="nil"/>
                  </w:tcBorders>
                  <w:noWrap w:val="0"/>
                  <w:vAlign w:val="center"/>
                </w:tcPr>
                <w:p>
                  <w:pPr>
                    <w:pStyle w:val="69"/>
                    <w:keepNext w:val="0"/>
                    <w:keepLines w:val="0"/>
                    <w:pageBreakBefore w:val="0"/>
                    <w:widowControl w:val="0"/>
                    <w:kinsoku/>
                    <w:wordWrap/>
                    <w:overflowPunct/>
                    <w:topLinePunct w:val="0"/>
                    <w:autoSpaceDE/>
                    <w:autoSpaceDN/>
                    <w:bidi w:val="0"/>
                    <w:adjustRightInd w:val="0"/>
                    <w:snapToGrid w:val="0"/>
                    <w:spacing w:beforeLines="0" w:afterLines="0" w:line="400" w:lineRule="exact"/>
                    <w:ind w:left="0"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监测位置</w:t>
                  </w:r>
                </w:p>
              </w:tc>
              <w:tc>
                <w:tcPr>
                  <w:tcW w:w="3284" w:type="dxa"/>
                  <w:tcBorders>
                    <w:tl2br w:val="nil"/>
                    <w:tr2bl w:val="nil"/>
                  </w:tcBorders>
                  <w:noWrap w:val="0"/>
                  <w:vAlign w:val="center"/>
                </w:tcPr>
                <w:p>
                  <w:pPr>
                    <w:pStyle w:val="69"/>
                    <w:keepNext w:val="0"/>
                    <w:keepLines w:val="0"/>
                    <w:pageBreakBefore w:val="0"/>
                    <w:widowControl w:val="0"/>
                    <w:kinsoku/>
                    <w:wordWrap/>
                    <w:overflowPunct/>
                    <w:topLinePunct w:val="0"/>
                    <w:autoSpaceDE/>
                    <w:autoSpaceDN/>
                    <w:bidi w:val="0"/>
                    <w:adjustRightInd w:val="0"/>
                    <w:snapToGrid w:val="0"/>
                    <w:spacing w:beforeLines="0" w:afterLines="0" w:line="400" w:lineRule="exact"/>
                    <w:ind w:left="0"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监测项目</w:t>
                  </w:r>
                </w:p>
              </w:tc>
              <w:tc>
                <w:tcPr>
                  <w:tcW w:w="2368" w:type="dxa"/>
                  <w:tcBorders>
                    <w:tl2br w:val="nil"/>
                    <w:tr2bl w:val="nil"/>
                  </w:tcBorders>
                  <w:noWrap w:val="0"/>
                  <w:vAlign w:val="center"/>
                </w:tcPr>
                <w:p>
                  <w:pPr>
                    <w:pStyle w:val="69"/>
                    <w:keepNext w:val="0"/>
                    <w:keepLines w:val="0"/>
                    <w:pageBreakBefore w:val="0"/>
                    <w:widowControl w:val="0"/>
                    <w:kinsoku/>
                    <w:wordWrap/>
                    <w:overflowPunct/>
                    <w:topLinePunct w:val="0"/>
                    <w:autoSpaceDE/>
                    <w:autoSpaceDN/>
                    <w:bidi w:val="0"/>
                    <w:adjustRightInd w:val="0"/>
                    <w:snapToGrid w:val="0"/>
                    <w:spacing w:beforeLines="0" w:afterLines="0" w:line="400" w:lineRule="exact"/>
                    <w:ind w:left="0"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监测频率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334" w:type="dxa"/>
                  <w:tcBorders>
                    <w:tl2br w:val="nil"/>
                    <w:tr2bl w:val="nil"/>
                  </w:tcBorders>
                  <w:noWrap w:val="0"/>
                  <w:vAlign w:val="center"/>
                </w:tcPr>
                <w:p>
                  <w:pPr>
                    <w:pStyle w:val="69"/>
                    <w:keepNext w:val="0"/>
                    <w:keepLines w:val="0"/>
                    <w:pageBreakBefore w:val="0"/>
                    <w:widowControl w:val="0"/>
                    <w:kinsoku/>
                    <w:wordWrap/>
                    <w:overflowPunct/>
                    <w:topLinePunct w:val="0"/>
                    <w:autoSpaceDE/>
                    <w:autoSpaceDN/>
                    <w:bidi w:val="0"/>
                    <w:adjustRightInd w:val="0"/>
                    <w:snapToGrid w:val="0"/>
                    <w:spacing w:beforeLines="0" w:afterLines="0" w:line="400" w:lineRule="exact"/>
                    <w:ind w:left="0"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噪声</w:t>
                  </w:r>
                </w:p>
              </w:tc>
              <w:tc>
                <w:tcPr>
                  <w:tcW w:w="2211" w:type="dxa"/>
                  <w:tcBorders>
                    <w:tl2br w:val="nil"/>
                    <w:tr2bl w:val="nil"/>
                  </w:tcBorders>
                  <w:noWrap w:val="0"/>
                  <w:vAlign w:val="center"/>
                </w:tcPr>
                <w:p>
                  <w:pPr>
                    <w:pStyle w:val="69"/>
                    <w:keepNext w:val="0"/>
                    <w:keepLines w:val="0"/>
                    <w:pageBreakBefore w:val="0"/>
                    <w:widowControl w:val="0"/>
                    <w:kinsoku/>
                    <w:wordWrap/>
                    <w:overflowPunct/>
                    <w:topLinePunct w:val="0"/>
                    <w:autoSpaceDE/>
                    <w:autoSpaceDN/>
                    <w:bidi w:val="0"/>
                    <w:adjustRightInd w:val="0"/>
                    <w:snapToGrid w:val="0"/>
                    <w:spacing w:beforeLines="0" w:afterLines="0" w:line="400" w:lineRule="exact"/>
                    <w:ind w:left="0"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场</w:t>
                  </w:r>
                  <w:r>
                    <w:rPr>
                      <w:rFonts w:hint="default" w:ascii="Times New Roman" w:hAnsi="Times New Roman" w:cs="Times New Roman"/>
                      <w:color w:val="000000" w:themeColor="text1"/>
                      <w:sz w:val="21"/>
                      <w:szCs w:val="21"/>
                      <w:lang w:eastAsia="zh-CN"/>
                      <w14:textFill>
                        <w14:solidFill>
                          <w14:schemeClr w14:val="tx1"/>
                        </w14:solidFill>
                      </w14:textFill>
                    </w:rPr>
                    <w:t>界</w:t>
                  </w:r>
                  <w:r>
                    <w:rPr>
                      <w:rFonts w:hint="default" w:ascii="Times New Roman" w:hAnsi="Times New Roman" w:cs="Times New Roman"/>
                      <w:color w:val="000000" w:themeColor="text1"/>
                      <w:sz w:val="21"/>
                      <w:szCs w:val="21"/>
                      <w14:textFill>
                        <w14:solidFill>
                          <w14:schemeClr w14:val="tx1"/>
                        </w14:solidFill>
                      </w14:textFill>
                    </w:rPr>
                    <w:t>外1m</w:t>
                  </w:r>
                </w:p>
              </w:tc>
              <w:tc>
                <w:tcPr>
                  <w:tcW w:w="3284" w:type="dxa"/>
                  <w:tcBorders>
                    <w:tl2br w:val="nil"/>
                    <w:tr2bl w:val="nil"/>
                  </w:tcBorders>
                  <w:noWrap w:val="0"/>
                  <w:vAlign w:val="center"/>
                </w:tcPr>
                <w:p>
                  <w:pPr>
                    <w:pStyle w:val="69"/>
                    <w:keepNext w:val="0"/>
                    <w:keepLines w:val="0"/>
                    <w:pageBreakBefore w:val="0"/>
                    <w:widowControl w:val="0"/>
                    <w:kinsoku/>
                    <w:wordWrap/>
                    <w:overflowPunct/>
                    <w:topLinePunct w:val="0"/>
                    <w:autoSpaceDE/>
                    <w:autoSpaceDN/>
                    <w:bidi w:val="0"/>
                    <w:adjustRightInd w:val="0"/>
                    <w:snapToGrid w:val="0"/>
                    <w:spacing w:beforeLines="0" w:afterLines="0" w:line="400" w:lineRule="exact"/>
                    <w:ind w:left="0"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等效连续A声级</w:t>
                  </w:r>
                </w:p>
              </w:tc>
              <w:tc>
                <w:tcPr>
                  <w:tcW w:w="2368" w:type="dxa"/>
                  <w:tcBorders>
                    <w:tl2br w:val="nil"/>
                    <w:tr2bl w:val="nil"/>
                  </w:tcBorders>
                  <w:noWrap w:val="0"/>
                  <w:vAlign w:val="center"/>
                </w:tcPr>
                <w:p>
                  <w:pPr>
                    <w:pStyle w:val="69"/>
                    <w:keepNext w:val="0"/>
                    <w:keepLines w:val="0"/>
                    <w:pageBreakBefore w:val="0"/>
                    <w:widowControl w:val="0"/>
                    <w:kinsoku/>
                    <w:wordWrap/>
                    <w:overflowPunct/>
                    <w:topLinePunct w:val="0"/>
                    <w:autoSpaceDE/>
                    <w:autoSpaceDN/>
                    <w:bidi w:val="0"/>
                    <w:adjustRightInd w:val="0"/>
                    <w:snapToGrid w:val="0"/>
                    <w:spacing w:beforeLines="0" w:afterLines="0" w:line="400" w:lineRule="exact"/>
                    <w:ind w:left="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1次/</w:t>
                  </w:r>
                  <w:r>
                    <w:rPr>
                      <w:rFonts w:hint="default" w:ascii="Times New Roman" w:hAnsi="Times New Roman" w:cs="Times New Roman"/>
                      <w:color w:val="000000" w:themeColor="text1"/>
                      <w:sz w:val="21"/>
                      <w:szCs w:val="21"/>
                      <w:lang w:val="en-US" w:eastAsia="zh-CN"/>
                      <w14:textFill>
                        <w14:solidFill>
                          <w14:schemeClr w14:val="tx1"/>
                        </w14:solidFill>
                      </w14:textFill>
                    </w:rPr>
                    <w:t>季度</w:t>
                  </w:r>
                </w:p>
              </w:tc>
            </w:tr>
          </w:tbl>
          <w:p>
            <w:pPr>
              <w:pStyle w:val="36"/>
              <w:keepNext w:val="0"/>
              <w:keepLines w:val="0"/>
              <w:pageBreakBefore w:val="0"/>
              <w:widowControl w:val="0"/>
              <w:kinsoku/>
              <w:wordWrap/>
              <w:overflowPunct/>
              <w:topLinePunct w:val="0"/>
              <w:autoSpaceDE/>
              <w:autoSpaceDN/>
              <w:bidi w:val="0"/>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4</w:t>
            </w:r>
            <w:r>
              <w:rPr>
                <w:rFonts w:hint="default" w:ascii="Times New Roman" w:hAnsi="Times New Roman" w:cs="Times New Roman"/>
                <w:b/>
                <w:bCs/>
                <w:color w:val="000000" w:themeColor="text1"/>
                <w:sz w:val="24"/>
                <w:szCs w:val="24"/>
                <w:lang w:eastAsia="zh-CN"/>
                <w14:textFill>
                  <w14:solidFill>
                    <w14:schemeClr w14:val="tx1"/>
                  </w14:solidFill>
                </w14:textFill>
              </w:rPr>
              <w:t>、</w:t>
            </w:r>
            <w:r>
              <w:rPr>
                <w:rFonts w:hint="default" w:ascii="Times New Roman" w:hAnsi="Times New Roman" w:cs="Times New Roman"/>
                <w:b/>
                <w:bCs/>
                <w:color w:val="000000" w:themeColor="text1"/>
                <w:sz w:val="24"/>
                <w:szCs w:val="24"/>
                <w14:textFill>
                  <w14:solidFill>
                    <w14:schemeClr w14:val="tx1"/>
                  </w14:solidFill>
                </w14:textFill>
              </w:rPr>
              <w:t>固体废物</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lang w:bidi="ar"/>
                <w14:textFill>
                  <w14:solidFill>
                    <w14:schemeClr w14:val="tx1"/>
                  </w14:solidFill>
                </w14:textFill>
              </w:rPr>
            </w:pPr>
            <w:r>
              <w:rPr>
                <w:rFonts w:hint="default" w:ascii="Times New Roman" w:hAnsi="Times New Roman" w:cs="Times New Roman"/>
                <w:color w:val="000000" w:themeColor="text1"/>
                <w:kern w:val="0"/>
                <w:sz w:val="24"/>
                <w:szCs w:val="24"/>
                <w:lang w:bidi="ar"/>
                <w14:textFill>
                  <w14:solidFill>
                    <w14:schemeClr w14:val="tx1"/>
                  </w14:solidFill>
                </w14:textFill>
              </w:rPr>
              <w:t>本项目营运期主要固体废物为</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生活垃圾和</w:t>
            </w:r>
            <w:r>
              <w:rPr>
                <w:rFonts w:hint="default" w:ascii="Times New Roman" w:hAnsi="Times New Roman" w:cs="Times New Roman"/>
                <w:color w:val="000000" w:themeColor="text1"/>
                <w:kern w:val="0"/>
                <w:sz w:val="24"/>
                <w:szCs w:val="24"/>
                <w:lang w:bidi="ar"/>
                <w14:textFill>
                  <w14:solidFill>
                    <w14:schemeClr w14:val="tx1"/>
                  </w14:solidFill>
                </w14:textFill>
              </w:rPr>
              <w:t>油罐定期清理产生的油泥。</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cs="Times New Roman"/>
                <w:color w:val="000000" w:themeColor="text1"/>
                <w:kern w:val="0"/>
                <w:sz w:val="24"/>
                <w:szCs w:val="24"/>
                <w:lang w:eastAsia="zh-CN" w:bidi="ar"/>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1</w:t>
            </w:r>
            <w:r>
              <w:rPr>
                <w:rFonts w:hint="default" w:ascii="Times New Roman" w:hAnsi="Times New Roman" w:cs="Times New Roman"/>
                <w:color w:val="000000" w:themeColor="text1"/>
                <w:kern w:val="0"/>
                <w:sz w:val="24"/>
                <w:szCs w:val="24"/>
                <w:lang w:eastAsia="zh-CN" w:bidi="ar"/>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生活垃圾</w:t>
            </w:r>
          </w:p>
          <w:p>
            <w:pPr>
              <w:keepNext w:val="0"/>
              <w:keepLines w:val="0"/>
              <w:pageBreakBefore w:val="0"/>
              <w:widowControl w:val="0"/>
              <w:kinsoku/>
              <w:wordWrap/>
              <w:overflowPunct/>
              <w:topLinePunct w:val="0"/>
              <w:autoSpaceDE/>
              <w:autoSpaceDN/>
              <w:bidi w:val="0"/>
              <w:adjustRightInd w:val="0"/>
              <w:snapToGrid w:val="0"/>
              <w:spacing w:line="480" w:lineRule="exact"/>
              <w:ind w:firstLine="464" w:firstLineChars="200"/>
              <w:textAlignment w:val="auto"/>
              <w:rPr>
                <w:rFonts w:hint="default" w:ascii="Times New Roman" w:hAnsi="Times New Roman" w:cs="Times New Roman"/>
                <w:color w:val="000000" w:themeColor="text1"/>
                <w:kern w:val="0"/>
                <w:sz w:val="24"/>
                <w:szCs w:val="24"/>
                <w:lang w:val="en-US" w:bidi="ar"/>
                <w14:textFill>
                  <w14:solidFill>
                    <w14:schemeClr w14:val="tx1"/>
                  </w14:solidFill>
                </w14:textFill>
              </w:rPr>
            </w:pPr>
            <w:r>
              <w:rPr>
                <w:rFonts w:hint="default" w:ascii="Times New Roman" w:hAnsi="Times New Roman" w:cs="Times New Roman"/>
                <w:color w:val="000000" w:themeColor="text1"/>
                <w:spacing w:val="-4"/>
                <w:sz w:val="24"/>
                <w:szCs w:val="24"/>
                <w14:textFill>
                  <w14:solidFill>
                    <w14:schemeClr w14:val="tx1"/>
                  </w14:solidFill>
                </w14:textFill>
              </w:rPr>
              <w:t>项目不新增员工，</w:t>
            </w:r>
            <w:r>
              <w:rPr>
                <w:rFonts w:hint="default" w:ascii="Times New Roman" w:hAnsi="Times New Roman" w:cs="Times New Roman"/>
                <w:color w:val="000000" w:themeColor="text1"/>
                <w:spacing w:val="-4"/>
                <w:sz w:val="24"/>
                <w:szCs w:val="24"/>
                <w:lang w:val="en-US" w:eastAsia="zh-CN"/>
                <w14:textFill>
                  <w14:solidFill>
                    <w14:schemeClr w14:val="tx1"/>
                  </w14:solidFill>
                </w14:textFill>
              </w:rPr>
              <w:t>因此不新增职工生活垃圾量，主要为外来流动人员产生垃圾量，外来人员按26人次/天，</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每人每天产生0.5kg/d的生活垃圾，则年产生活垃圾的量为</w:t>
            </w:r>
            <w:r>
              <w:rPr>
                <w:rFonts w:hint="default" w:ascii="Times New Roman" w:hAnsi="Times New Roman" w:cs="Times New Roman"/>
                <w:color w:val="000000" w:themeColor="text1"/>
                <w:sz w:val="24"/>
                <w:szCs w:val="24"/>
                <w:highlight w:val="none"/>
                <w:u w:val="none"/>
                <w:lang w:val="en-US" w:eastAsia="zh-CN"/>
                <w14:textFill>
                  <w14:solidFill>
                    <w14:schemeClr w14:val="tx1"/>
                  </w14:solidFill>
                </w14:textFill>
              </w:rPr>
              <w:t>4.745</w:t>
            </w:r>
            <w:r>
              <w:rPr>
                <w:rFonts w:hint="default" w:ascii="Times New Roman" w:hAnsi="Times New Roman" w:eastAsia="宋体" w:cs="Times New Roman"/>
                <w:color w:val="000000" w:themeColor="text1"/>
                <w:sz w:val="24"/>
                <w:szCs w:val="24"/>
                <w:highlight w:val="none"/>
                <w:u w:val="none"/>
                <w:lang w:val="en-US" w:eastAsia="zh-CN"/>
                <w14:textFill>
                  <w14:solidFill>
                    <w14:schemeClr w14:val="tx1"/>
                  </w14:solidFill>
                </w14:textFill>
              </w:rPr>
              <w:t>t/a，集中收集，定期交由环卫部门进行处理。</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kern w:val="0"/>
                <w:sz w:val="24"/>
                <w:szCs w:val="24"/>
                <w:lang w:eastAsia="zh-CN" w:bidi="ar"/>
                <w14:textFill>
                  <w14:solidFill>
                    <w14:schemeClr w14:val="tx1"/>
                  </w14:solidFill>
                </w14:textFill>
              </w:rPr>
            </w:pPr>
            <w:r>
              <w:rPr>
                <w:rFonts w:hint="default" w:ascii="Times New Roman" w:hAnsi="Times New Roman" w:cs="Times New Roman"/>
                <w:color w:val="000000" w:themeColor="text1"/>
                <w:kern w:val="0"/>
                <w:sz w:val="24"/>
                <w:szCs w:val="24"/>
                <w:lang w:eastAsia="zh-CN" w:bidi="ar"/>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2</w:t>
            </w:r>
            <w:r>
              <w:rPr>
                <w:rFonts w:hint="default" w:ascii="Times New Roman" w:hAnsi="Times New Roman" w:cs="Times New Roman"/>
                <w:color w:val="000000" w:themeColor="text1"/>
                <w:kern w:val="0"/>
                <w:sz w:val="24"/>
                <w:szCs w:val="24"/>
                <w:lang w:eastAsia="zh-CN" w:bidi="ar"/>
                <w14:textFill>
                  <w14:solidFill>
                    <w14:schemeClr w14:val="tx1"/>
                  </w14:solidFill>
                </w14:textFill>
              </w:rPr>
              <w:t>）</w:t>
            </w:r>
            <w:r>
              <w:rPr>
                <w:rFonts w:hint="default" w:ascii="Times New Roman" w:hAnsi="Times New Roman" w:cs="Times New Roman"/>
                <w:color w:val="000000" w:themeColor="text1"/>
                <w:kern w:val="0"/>
                <w:sz w:val="24"/>
                <w:szCs w:val="24"/>
                <w:lang w:bidi="ar"/>
                <w14:textFill>
                  <w14:solidFill>
                    <w14:schemeClr w14:val="tx1"/>
                  </w14:solidFill>
                </w14:textFill>
              </w:rPr>
              <w:t>油泥</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lang w:bidi="ar"/>
                <w14:textFill>
                  <w14:solidFill>
                    <w14:schemeClr w14:val="tx1"/>
                  </w14:solidFill>
                </w14:textFill>
              </w:rPr>
            </w:pPr>
            <w:r>
              <w:rPr>
                <w:rFonts w:hint="default" w:ascii="Times New Roman" w:hAnsi="Times New Roman" w:cs="Times New Roman"/>
                <w:color w:val="000000" w:themeColor="text1"/>
                <w:kern w:val="0"/>
                <w:sz w:val="24"/>
                <w:szCs w:val="24"/>
                <w:lang w:bidi="ar"/>
                <w14:textFill>
                  <w14:solidFill>
                    <w14:schemeClr w14:val="tx1"/>
                  </w14:solidFill>
                </w14:textFill>
              </w:rPr>
              <w:t>项目营运期油罐每5</w:t>
            </w:r>
            <w:r>
              <w:rPr>
                <w:rFonts w:hint="default" w:ascii="Times New Roman" w:hAnsi="Times New Roman" w:cs="Times New Roman"/>
                <w:color w:val="000000" w:themeColor="text1"/>
                <w:kern w:val="0"/>
                <w:sz w:val="24"/>
                <w:szCs w:val="24"/>
                <w:lang w:eastAsia="zh-CN" w:bidi="ar"/>
                <w14:textFill>
                  <w14:solidFill>
                    <w14:schemeClr w14:val="tx1"/>
                  </w14:solidFill>
                </w14:textFill>
              </w:rPr>
              <w:t>～</w:t>
            </w:r>
            <w:r>
              <w:rPr>
                <w:rFonts w:hint="default" w:ascii="Times New Roman" w:hAnsi="Times New Roman" w:cs="Times New Roman"/>
                <w:color w:val="000000" w:themeColor="text1"/>
                <w:kern w:val="0"/>
                <w:sz w:val="24"/>
                <w:szCs w:val="24"/>
                <w:lang w:bidi="ar"/>
                <w14:textFill>
                  <w14:solidFill>
                    <w14:schemeClr w14:val="tx1"/>
                  </w14:solidFill>
                </w14:textFill>
              </w:rPr>
              <w:t>8年（按5年计）统一清理一次，本项目共有</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4</w:t>
            </w:r>
            <w:r>
              <w:rPr>
                <w:rFonts w:hint="default" w:ascii="Times New Roman" w:hAnsi="Times New Roman" w:cs="Times New Roman"/>
                <w:color w:val="000000" w:themeColor="text1"/>
                <w:kern w:val="0"/>
                <w:sz w:val="24"/>
                <w:szCs w:val="24"/>
                <w:lang w:bidi="ar"/>
                <w14:textFill>
                  <w14:solidFill>
                    <w14:schemeClr w14:val="tx1"/>
                  </w14:solidFill>
                </w14:textFill>
              </w:rPr>
              <w:t>座油罐，每座油罐清理产生的油泥以0.2吨计，故本项目油泥产生量为</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0.8</w:t>
            </w:r>
            <w:r>
              <w:rPr>
                <w:rFonts w:hint="default" w:ascii="Times New Roman" w:hAnsi="Times New Roman" w:cs="Times New Roman"/>
                <w:color w:val="000000" w:themeColor="text1"/>
                <w:kern w:val="0"/>
                <w:sz w:val="24"/>
                <w:szCs w:val="24"/>
                <w:lang w:bidi="ar"/>
                <w14:textFill>
                  <w14:solidFill>
                    <w14:schemeClr w14:val="tx1"/>
                  </w14:solidFill>
                </w14:textFill>
              </w:rPr>
              <w:t xml:space="preserve">t/5年次。根据《国家危险废物名录》（2021年版），油泥属于“HW08废矿物油与含矿物油废物”，废物代码为900-221-08，委托有资质单位清理并直接运走进行处理，站区内不暂存。  </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lang w:bidi="ar"/>
                <w14:textFill>
                  <w14:solidFill>
                    <w14:schemeClr w14:val="tx1"/>
                  </w14:solidFill>
                </w14:textFill>
              </w:rPr>
            </w:pPr>
            <w:r>
              <w:rPr>
                <w:rFonts w:hint="default" w:ascii="Times New Roman" w:hAnsi="Times New Roman" w:cs="Times New Roman"/>
                <w:color w:val="000000" w:themeColor="text1"/>
                <w:kern w:val="0"/>
                <w:sz w:val="24"/>
                <w:szCs w:val="24"/>
                <w:lang w:bidi="ar"/>
                <w14:textFill>
                  <w14:solidFill>
                    <w14:schemeClr w14:val="tx1"/>
                  </w14:solidFill>
                </w14:textFill>
              </w:rPr>
              <w:t>本项目固体废物产生情况及处置措施见下表。</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表43                 本项目固体废物产生量及处置情况一览表</w:t>
            </w:r>
          </w:p>
          <w:tbl>
            <w:tblPr>
              <w:tblStyle w:val="37"/>
              <w:tblW w:w="923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55"/>
              <w:gridCol w:w="931"/>
              <w:gridCol w:w="1100"/>
              <w:gridCol w:w="700"/>
              <w:gridCol w:w="1533"/>
              <w:gridCol w:w="940"/>
              <w:gridCol w:w="1118"/>
              <w:gridCol w:w="22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5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left="0" w:leftChars="0" w:right="0" w:rightChars="0"/>
                    <w:jc w:val="center"/>
                    <w:textAlignment w:val="auto"/>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序号</w:t>
                  </w:r>
                </w:p>
              </w:tc>
              <w:tc>
                <w:tcPr>
                  <w:tcW w:w="5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left="0" w:leftChars="0" w:right="0" w:rightChars="0"/>
                    <w:jc w:val="center"/>
                    <w:textAlignment w:val="auto"/>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固体废物名称</w:t>
                  </w:r>
                </w:p>
              </w:tc>
              <w:tc>
                <w:tcPr>
                  <w:tcW w:w="59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left="0" w:leftChars="0" w:right="0" w:rightChars="0"/>
                    <w:jc w:val="center"/>
                    <w:textAlignment w:val="auto"/>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产生工序</w:t>
                  </w:r>
                </w:p>
              </w:tc>
              <w:tc>
                <w:tcPr>
                  <w:tcW w:w="3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left="0" w:leftChars="0" w:right="0" w:rightChars="0"/>
                    <w:jc w:val="center"/>
                    <w:textAlignment w:val="auto"/>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属性</w:t>
                  </w:r>
                </w:p>
              </w:tc>
              <w:tc>
                <w:tcPr>
                  <w:tcW w:w="8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left="0" w:leftChars="0" w:right="0" w:rightChars="0"/>
                    <w:jc w:val="center"/>
                    <w:textAlignment w:val="auto"/>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废物代码</w:t>
                  </w:r>
                </w:p>
              </w:tc>
              <w:tc>
                <w:tcPr>
                  <w:tcW w:w="50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left="0" w:leftChars="0" w:right="0" w:rightChars="0"/>
                    <w:jc w:val="center"/>
                    <w:textAlignment w:val="auto"/>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产生量</w:t>
                  </w:r>
                </w:p>
              </w:tc>
              <w:tc>
                <w:tcPr>
                  <w:tcW w:w="6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left="0" w:leftChars="0" w:right="0" w:rightChars="0"/>
                    <w:jc w:val="center"/>
                    <w:textAlignment w:val="auto"/>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贮存方式</w:t>
                  </w:r>
                </w:p>
              </w:tc>
              <w:tc>
                <w:tcPr>
                  <w:tcW w:w="12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left="0" w:leftChars="0" w:right="0" w:rightChars="0"/>
                    <w:jc w:val="center"/>
                    <w:textAlignment w:val="auto"/>
                    <w:rPr>
                      <w:rFonts w:hint="default" w:ascii="Times New Roman" w:hAnsi="Times New Roman" w:cs="Times New Roman"/>
                      <w:b/>
                      <w:color w:val="000000" w:themeColor="text1"/>
                      <w:sz w:val="21"/>
                      <w:szCs w:val="21"/>
                      <w14:textFill>
                        <w14:solidFill>
                          <w14:schemeClr w14:val="tx1"/>
                        </w14:solidFill>
                      </w14:textFill>
                    </w:rPr>
                  </w:pPr>
                  <w:r>
                    <w:rPr>
                      <w:rFonts w:hint="default" w:ascii="Times New Roman" w:hAnsi="Times New Roman" w:cs="Times New Roman"/>
                      <w:b/>
                      <w:color w:val="000000" w:themeColor="text1"/>
                      <w:sz w:val="21"/>
                      <w:szCs w:val="21"/>
                      <w14:textFill>
                        <w14:solidFill>
                          <w14:schemeClr w14:val="tx1"/>
                        </w14:solidFill>
                      </w14:textFill>
                    </w:rPr>
                    <w:t>利用处置方式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6" w:hRule="atLeast"/>
                <w:jc w:val="center"/>
              </w:trPr>
              <w:tc>
                <w:tcPr>
                  <w:tcW w:w="35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left="0" w:leftChars="0" w:right="0" w:rightChars="0"/>
                    <w:jc w:val="center"/>
                    <w:textAlignment w:val="auto"/>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1</w:t>
                  </w:r>
                </w:p>
              </w:tc>
              <w:tc>
                <w:tcPr>
                  <w:tcW w:w="5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00" w:lineRule="exact"/>
                    <w:ind w:left="0" w:leftChars="0"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cs="Times New Roman"/>
                      <w:color w:val="000000" w:themeColor="text1"/>
                      <w:sz w:val="21"/>
                      <w:szCs w:val="21"/>
                      <w:lang w:val="en-US" w:eastAsia="zh-CN"/>
                      <w14:textFill>
                        <w14:solidFill>
                          <w14:schemeClr w14:val="tx1"/>
                        </w14:solidFill>
                      </w14:textFill>
                    </w:rPr>
                    <w:t>生活垃圾</w:t>
                  </w:r>
                </w:p>
              </w:tc>
              <w:tc>
                <w:tcPr>
                  <w:tcW w:w="59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00" w:lineRule="exact"/>
                    <w:ind w:left="0" w:leftChars="0" w:right="0" w:rightChars="0"/>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spacing w:val="0"/>
                      <w:kern w:val="24"/>
                      <w:sz w:val="21"/>
                      <w:szCs w:val="21"/>
                      <w:u w:val="none"/>
                      <w:lang w:val="en-US" w:eastAsia="zh-CN"/>
                      <w14:textFill>
                        <w14:solidFill>
                          <w14:schemeClr w14:val="tx1"/>
                        </w14:solidFill>
                      </w14:textFill>
                    </w:rPr>
                    <w:t>职工顾客</w:t>
                  </w:r>
                </w:p>
              </w:tc>
              <w:tc>
                <w:tcPr>
                  <w:tcW w:w="3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left="0" w:leftChars="0" w:right="0" w:right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pacing w:val="0"/>
                      <w:kern w:val="24"/>
                      <w:sz w:val="21"/>
                      <w:szCs w:val="21"/>
                      <w:u w:val="none"/>
                      <w:lang w:val="en-US" w:eastAsia="zh-CN"/>
                      <w14:textFill>
                        <w14:solidFill>
                          <w14:schemeClr w14:val="tx1"/>
                        </w14:solidFill>
                      </w14:textFill>
                    </w:rPr>
                    <w:t>生活垃圾</w:t>
                  </w:r>
                </w:p>
              </w:tc>
              <w:tc>
                <w:tcPr>
                  <w:tcW w:w="8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00" w:lineRule="exact"/>
                    <w:ind w:left="0" w:leftChars="0" w:right="0" w:rightChars="0"/>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w:t>
                  </w:r>
                </w:p>
              </w:tc>
              <w:tc>
                <w:tcPr>
                  <w:tcW w:w="508"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00" w:lineRule="exact"/>
                    <w:ind w:left="0" w:leftChars="0" w:right="0" w:rightChars="0"/>
                    <w:jc w:val="center"/>
                    <w:textAlignment w:val="auto"/>
                    <w:rPr>
                      <w:rFonts w:hint="default" w:ascii="Times New Roman" w:hAnsi="Times New Roman" w:eastAsia="宋体" w:cs="Times New Roman"/>
                      <w:color w:val="000000" w:themeColor="text1"/>
                      <w:kern w:val="0"/>
                      <w:sz w:val="21"/>
                      <w:szCs w:val="21"/>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4.745t/a</w:t>
                  </w:r>
                </w:p>
              </w:tc>
              <w:tc>
                <w:tcPr>
                  <w:tcW w:w="6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00" w:lineRule="exact"/>
                    <w:ind w:left="0" w:leftChars="0" w:right="0" w:rightChars="0"/>
                    <w:jc w:val="center"/>
                    <w:textAlignment w:val="auto"/>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垃圾桶暂存</w:t>
                  </w:r>
                </w:p>
              </w:tc>
              <w:tc>
                <w:tcPr>
                  <w:tcW w:w="12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left="0" w:leftChars="0" w:right="0" w:rightChars="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定期交由环卫部门进行处理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6" w:hRule="atLeast"/>
                <w:jc w:val="center"/>
              </w:trPr>
              <w:tc>
                <w:tcPr>
                  <w:tcW w:w="35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left="0" w:leftChars="0" w:right="0" w:rightChars="0"/>
                    <w:jc w:val="center"/>
                    <w:textAlignment w:val="auto"/>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cs="Times New Roman"/>
                      <w:bCs/>
                      <w:color w:val="000000" w:themeColor="text1"/>
                      <w:sz w:val="21"/>
                      <w:szCs w:val="21"/>
                      <w:lang w:val="en-US" w:eastAsia="zh-CN"/>
                      <w14:textFill>
                        <w14:solidFill>
                          <w14:schemeClr w14:val="tx1"/>
                        </w14:solidFill>
                      </w14:textFill>
                    </w:rPr>
                    <w:t>2</w:t>
                  </w:r>
                </w:p>
              </w:tc>
              <w:tc>
                <w:tcPr>
                  <w:tcW w:w="50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00" w:lineRule="exact"/>
                    <w:ind w:left="0" w:leftChars="0" w:right="0" w:rightChars="0"/>
                    <w:jc w:val="center"/>
                    <w:textAlignment w:val="auto"/>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lang w:bidi="ar"/>
                      <w14:textFill>
                        <w14:solidFill>
                          <w14:schemeClr w14:val="tx1"/>
                        </w14:solidFill>
                      </w14:textFill>
                    </w:rPr>
                    <w:t>油泥</w:t>
                  </w:r>
                </w:p>
              </w:tc>
              <w:tc>
                <w:tcPr>
                  <w:tcW w:w="59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00" w:lineRule="exact"/>
                    <w:ind w:left="0" w:leftChars="0" w:right="0" w:rightChars="0"/>
                    <w:jc w:val="center"/>
                    <w:textAlignment w:val="auto"/>
                    <w:rPr>
                      <w:rFonts w:hint="default" w:ascii="Times New Roman" w:hAnsi="Times New Roman"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油罐清理</w:t>
                  </w:r>
                </w:p>
              </w:tc>
              <w:tc>
                <w:tcPr>
                  <w:tcW w:w="3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left="0" w:leftChars="0" w:right="0" w:rightChars="0"/>
                    <w:jc w:val="center"/>
                    <w:textAlignment w:val="auto"/>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危险废物</w:t>
                  </w:r>
                </w:p>
              </w:tc>
              <w:tc>
                <w:tcPr>
                  <w:tcW w:w="83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left="0" w:leftChars="0" w:right="0" w:rightChars="0"/>
                    <w:jc w:val="center"/>
                    <w:textAlignment w:val="auto"/>
                    <w:rPr>
                      <w:rFonts w:hint="default" w:ascii="Times New Roman" w:hAnsi="Times New Roman"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HW08（</w:t>
                  </w:r>
                  <w:r>
                    <w:rPr>
                      <w:rFonts w:hint="default" w:ascii="Times New Roman" w:hAnsi="Times New Roman" w:cs="Times New Roman"/>
                      <w:color w:val="000000" w:themeColor="text1"/>
                      <w:kern w:val="0"/>
                      <w:sz w:val="21"/>
                      <w:szCs w:val="21"/>
                      <w:lang w:bidi="ar"/>
                      <w14:textFill>
                        <w14:solidFill>
                          <w14:schemeClr w14:val="tx1"/>
                        </w14:solidFill>
                      </w14:textFill>
                    </w:rPr>
                    <w:t>900-221-08</w:t>
                  </w:r>
                  <w:r>
                    <w:rPr>
                      <w:rFonts w:hint="default" w:ascii="Times New Roman" w:hAnsi="Times New Roman" w:cs="Times New Roman"/>
                      <w:color w:val="000000" w:themeColor="text1"/>
                      <w:sz w:val="21"/>
                      <w:szCs w:val="21"/>
                      <w14:textFill>
                        <w14:solidFill>
                          <w14:schemeClr w14:val="tx1"/>
                        </w14:solidFill>
                      </w14:textFill>
                    </w:rPr>
                    <w:t>）</w:t>
                  </w:r>
                </w:p>
              </w:tc>
              <w:tc>
                <w:tcPr>
                  <w:tcW w:w="508"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00" w:lineRule="exact"/>
                    <w:ind w:left="0" w:leftChars="0" w:right="0" w:right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0"/>
                      <w:sz w:val="21"/>
                      <w:szCs w:val="21"/>
                      <w:lang w:val="en-US" w:eastAsia="zh-CN" w:bidi="ar"/>
                      <w14:textFill>
                        <w14:solidFill>
                          <w14:schemeClr w14:val="tx1"/>
                        </w14:solidFill>
                      </w14:textFill>
                    </w:rPr>
                    <w:t>0.8</w:t>
                  </w:r>
                  <w:r>
                    <w:rPr>
                      <w:rFonts w:hint="default" w:ascii="Times New Roman" w:hAnsi="Times New Roman" w:cs="Times New Roman"/>
                      <w:color w:val="000000" w:themeColor="text1"/>
                      <w:kern w:val="0"/>
                      <w:sz w:val="21"/>
                      <w:szCs w:val="21"/>
                      <w:lang w:bidi="ar"/>
                      <w14:textFill>
                        <w14:solidFill>
                          <w14:schemeClr w14:val="tx1"/>
                        </w14:solidFill>
                      </w14:textFill>
                    </w:rPr>
                    <w:t>t/5</w:t>
                  </w:r>
                  <w:r>
                    <w:rPr>
                      <w:rFonts w:hint="default" w:ascii="Times New Roman" w:hAnsi="Times New Roman" w:cs="Times New Roman"/>
                      <w:color w:val="000000" w:themeColor="text1"/>
                      <w:kern w:val="0"/>
                      <w:sz w:val="21"/>
                      <w:szCs w:val="21"/>
                      <w:lang w:val="en-US" w:eastAsia="zh-CN" w:bidi="ar"/>
                      <w14:textFill>
                        <w14:solidFill>
                          <w14:schemeClr w14:val="tx1"/>
                        </w14:solidFill>
                      </w14:textFill>
                    </w:rPr>
                    <w:t>a</w:t>
                  </w:r>
                </w:p>
              </w:tc>
              <w:tc>
                <w:tcPr>
                  <w:tcW w:w="6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00" w:lineRule="exact"/>
                    <w:ind w:left="0" w:leftChars="0" w:right="0" w:rightChars="0"/>
                    <w:jc w:val="center"/>
                    <w:textAlignment w:val="auto"/>
                    <w:rPr>
                      <w:rFonts w:hint="default" w:ascii="Times New Roman" w:hAnsi="Times New Roman"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不在站区暂存</w:t>
                  </w:r>
                </w:p>
              </w:tc>
              <w:tc>
                <w:tcPr>
                  <w:tcW w:w="122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left="0" w:leftChars="0" w:right="0" w:rightChars="0"/>
                    <w:jc w:val="center"/>
                    <w:textAlignment w:val="auto"/>
                    <w:rPr>
                      <w:rFonts w:hint="default" w:ascii="Times New Roman" w:hAnsi="Times New Roman" w:eastAsia="宋体" w:cs="Times New Roman"/>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委托有资质单位清理并直接运走处置</w:t>
                  </w:r>
                </w:p>
              </w:tc>
            </w:tr>
          </w:tbl>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表44                  本项目危险废物产生情况一览表</w:t>
            </w:r>
          </w:p>
          <w:tbl>
            <w:tblPr>
              <w:tblStyle w:val="37"/>
              <w:tblW w:w="925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39"/>
              <w:gridCol w:w="671"/>
              <w:gridCol w:w="800"/>
              <w:gridCol w:w="1250"/>
              <w:gridCol w:w="834"/>
              <w:gridCol w:w="908"/>
              <w:gridCol w:w="417"/>
              <w:gridCol w:w="700"/>
              <w:gridCol w:w="725"/>
              <w:gridCol w:w="700"/>
              <w:gridCol w:w="658"/>
              <w:gridCol w:w="11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41" w:hRule="atLeast"/>
                <w:jc w:val="center"/>
              </w:trPr>
              <w:tc>
                <w:tcPr>
                  <w:tcW w:w="237"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序号</w:t>
                  </w:r>
                </w:p>
              </w:tc>
              <w:tc>
                <w:tcPr>
                  <w:tcW w:w="362"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危险废物名称</w:t>
                  </w:r>
                </w:p>
              </w:tc>
              <w:tc>
                <w:tcPr>
                  <w:tcW w:w="432"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危险废物类别</w:t>
                  </w:r>
                </w:p>
              </w:tc>
              <w:tc>
                <w:tcPr>
                  <w:tcW w:w="675"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危险废物代码</w:t>
                  </w:r>
                </w:p>
              </w:tc>
              <w:tc>
                <w:tcPr>
                  <w:tcW w:w="450"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产生量</w:t>
                  </w:r>
                </w:p>
              </w:tc>
              <w:tc>
                <w:tcPr>
                  <w:tcW w:w="490"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产生工序及装置</w:t>
                  </w:r>
                </w:p>
              </w:tc>
              <w:tc>
                <w:tcPr>
                  <w:tcW w:w="225"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形态</w:t>
                  </w:r>
                </w:p>
              </w:tc>
              <w:tc>
                <w:tcPr>
                  <w:tcW w:w="378"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主要成分</w:t>
                  </w:r>
                </w:p>
              </w:tc>
              <w:tc>
                <w:tcPr>
                  <w:tcW w:w="391"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有害成分</w:t>
                  </w:r>
                </w:p>
              </w:tc>
              <w:tc>
                <w:tcPr>
                  <w:tcW w:w="378"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产废周期</w:t>
                  </w:r>
                </w:p>
              </w:tc>
              <w:tc>
                <w:tcPr>
                  <w:tcW w:w="355"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危险</w:t>
                  </w:r>
                </w:p>
                <w:p>
                  <w:pPr>
                    <w:keepNext w:val="0"/>
                    <w:keepLines w:val="0"/>
                    <w:pageBreakBefore w:val="0"/>
                    <w:widowControl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特性</w:t>
                  </w:r>
                </w:p>
              </w:tc>
              <w:tc>
                <w:tcPr>
                  <w:tcW w:w="620"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污染防治措施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14" w:hRule="atLeast"/>
                <w:jc w:val="center"/>
              </w:trPr>
              <w:tc>
                <w:tcPr>
                  <w:tcW w:w="237"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bCs/>
                      <w:color w:val="000000" w:themeColor="text1"/>
                      <w:kern w:val="0"/>
                      <w:sz w:val="21"/>
                      <w:szCs w:val="21"/>
                      <w14:textFill>
                        <w14:solidFill>
                          <w14:schemeClr w14:val="tx1"/>
                        </w14:solidFill>
                      </w14:textFill>
                    </w:rPr>
                  </w:pPr>
                  <w:r>
                    <w:rPr>
                      <w:rFonts w:hint="default" w:ascii="Times New Roman" w:hAnsi="Times New Roman" w:cs="Times New Roman"/>
                      <w:bCs/>
                      <w:color w:val="000000" w:themeColor="text1"/>
                      <w:kern w:val="0"/>
                      <w:sz w:val="21"/>
                      <w:szCs w:val="21"/>
                      <w14:textFill>
                        <w14:solidFill>
                          <w14:schemeClr w14:val="tx1"/>
                        </w14:solidFill>
                      </w14:textFill>
                    </w:rPr>
                    <w:t>1</w:t>
                  </w:r>
                </w:p>
              </w:tc>
              <w:tc>
                <w:tcPr>
                  <w:tcW w:w="362" w:type="pct"/>
                  <w:tcBorders>
                    <w:tl2br w:val="nil"/>
                    <w:tr2bl w:val="nil"/>
                  </w:tcBorders>
                  <w:noWrap w:val="0"/>
                  <w:vAlign w:val="center"/>
                </w:tcPr>
                <w:p>
                  <w:pPr>
                    <w:keepNext w:val="0"/>
                    <w:keepLines w:val="0"/>
                    <w:pageBreakBefore w:val="0"/>
                    <w:widowControl w:val="0"/>
                    <w:kinsoku/>
                    <w:wordWrap/>
                    <w:overflowPunct/>
                    <w:autoSpaceDE/>
                    <w:autoSpaceDN/>
                    <w:bidi w:val="0"/>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sz w:val="21"/>
                      <w:szCs w:val="21"/>
                      <w:lang w:bidi="ar"/>
                      <w14:textFill>
                        <w14:solidFill>
                          <w14:schemeClr w14:val="tx1"/>
                        </w14:solidFill>
                      </w14:textFill>
                    </w:rPr>
                    <w:t>油泥</w:t>
                  </w:r>
                </w:p>
              </w:tc>
              <w:tc>
                <w:tcPr>
                  <w:tcW w:w="432"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HW08</w:t>
                  </w:r>
                </w:p>
              </w:tc>
              <w:tc>
                <w:tcPr>
                  <w:tcW w:w="675"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lang w:bidi="ar"/>
                      <w14:textFill>
                        <w14:solidFill>
                          <w14:schemeClr w14:val="tx1"/>
                        </w14:solidFill>
                      </w14:textFill>
                    </w:rPr>
                    <w:t>900-221-08</w:t>
                  </w:r>
                </w:p>
              </w:tc>
              <w:tc>
                <w:tcPr>
                  <w:tcW w:w="450" w:type="pct"/>
                  <w:tcBorders>
                    <w:tl2br w:val="nil"/>
                    <w:tr2bl w:val="nil"/>
                  </w:tcBorders>
                  <w:noWrap w:val="0"/>
                  <w:vAlign w:val="center"/>
                </w:tcPr>
                <w:p>
                  <w:pPr>
                    <w:keepNext w:val="0"/>
                    <w:keepLines w:val="0"/>
                    <w:pageBreakBefore w:val="0"/>
                    <w:widowControl w:val="0"/>
                    <w:kinsoku/>
                    <w:wordWrap/>
                    <w:overflowPunct/>
                    <w:autoSpaceDE/>
                    <w:autoSpaceDN/>
                    <w:bidi w:val="0"/>
                    <w:spacing w:line="400" w:lineRule="exact"/>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0.8</w:t>
                  </w:r>
                  <w:r>
                    <w:rPr>
                      <w:rFonts w:hint="default" w:ascii="Times New Roman" w:hAnsi="Times New Roman" w:cs="Times New Roman"/>
                      <w:color w:val="000000" w:themeColor="text1"/>
                      <w14:textFill>
                        <w14:solidFill>
                          <w14:schemeClr w14:val="tx1"/>
                        </w14:solidFill>
                      </w14:textFill>
                    </w:rPr>
                    <w:t>t/5</w:t>
                  </w:r>
                  <w:r>
                    <w:rPr>
                      <w:rFonts w:hint="default" w:ascii="Times New Roman" w:hAnsi="Times New Roman" w:cs="Times New Roman"/>
                      <w:color w:val="000000" w:themeColor="text1"/>
                      <w:lang w:val="en-US" w:eastAsia="zh-CN"/>
                      <w14:textFill>
                        <w14:solidFill>
                          <w14:schemeClr w14:val="tx1"/>
                        </w14:solidFill>
                      </w14:textFill>
                    </w:rPr>
                    <w:t>a0.16t/a</w:t>
                  </w:r>
                </w:p>
              </w:tc>
              <w:tc>
                <w:tcPr>
                  <w:tcW w:w="490" w:type="pct"/>
                  <w:tcBorders>
                    <w:tl2br w:val="nil"/>
                    <w:tr2bl w:val="nil"/>
                  </w:tcBorders>
                  <w:noWrap w:val="0"/>
                  <w:vAlign w:val="center"/>
                </w:tcPr>
                <w:p>
                  <w:pPr>
                    <w:keepNext w:val="0"/>
                    <w:keepLines w:val="0"/>
                    <w:pageBreakBefore w:val="0"/>
                    <w:widowControl w:val="0"/>
                    <w:kinsoku/>
                    <w:wordWrap/>
                    <w:overflowPunct/>
                    <w:autoSpaceDE/>
                    <w:autoSpaceDN/>
                    <w:bidi w:val="0"/>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油罐清理</w:t>
                  </w:r>
                </w:p>
              </w:tc>
              <w:tc>
                <w:tcPr>
                  <w:tcW w:w="225"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固态</w:t>
                  </w:r>
                </w:p>
              </w:tc>
              <w:tc>
                <w:tcPr>
                  <w:tcW w:w="378"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污泥</w:t>
                  </w:r>
                </w:p>
              </w:tc>
              <w:tc>
                <w:tcPr>
                  <w:tcW w:w="391"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废矿物油</w:t>
                  </w:r>
                </w:p>
              </w:tc>
              <w:tc>
                <w:tcPr>
                  <w:tcW w:w="378"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5年/次</w:t>
                  </w:r>
                </w:p>
              </w:tc>
              <w:tc>
                <w:tcPr>
                  <w:tcW w:w="355"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T，I</w:t>
                  </w:r>
                </w:p>
              </w:tc>
              <w:tc>
                <w:tcPr>
                  <w:tcW w:w="620" w:type="pct"/>
                  <w:tcBorders>
                    <w:tl2br w:val="nil"/>
                    <w:tr2bl w:val="nil"/>
                  </w:tcBorders>
                  <w:noWrap w:val="0"/>
                  <w:vAlign w:val="center"/>
                </w:tcPr>
                <w:p>
                  <w:pPr>
                    <w:keepNext w:val="0"/>
                    <w:keepLines w:val="0"/>
                    <w:pageBreakBefore w:val="0"/>
                    <w:widowControl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委托有资质单位清理并直接运走处置</w:t>
                  </w:r>
                </w:p>
              </w:tc>
            </w:tr>
          </w:tbl>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综上所述，本项目产生的固体废物均能得到合理处置，不会对周围环境产生二次污染。</w:t>
            </w:r>
          </w:p>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cs="Times New Roman"/>
                <w:b/>
                <w:bCs/>
                <w:snapToGrid w:val="0"/>
                <w:color w:val="000000" w:themeColor="text1"/>
                <w:kern w:val="0"/>
                <w:sz w:val="24"/>
                <w:szCs w:val="24"/>
                <w14:textFill>
                  <w14:solidFill>
                    <w14:schemeClr w14:val="tx1"/>
                  </w14:solidFill>
                </w14:textFill>
              </w:rPr>
            </w:pPr>
            <w:r>
              <w:rPr>
                <w:rFonts w:hint="default" w:ascii="Times New Roman" w:hAnsi="Times New Roman" w:cs="Times New Roman"/>
                <w:b/>
                <w:bCs/>
                <w:snapToGrid w:val="0"/>
                <w:color w:val="000000" w:themeColor="text1"/>
                <w:kern w:val="0"/>
                <w:sz w:val="24"/>
                <w:szCs w:val="24"/>
                <w14:textFill>
                  <w14:solidFill>
                    <w14:schemeClr w14:val="tx1"/>
                  </w14:solidFill>
                </w14:textFill>
              </w:rPr>
              <w:t>5、地下水和土壤影响分析</w:t>
            </w:r>
          </w:p>
          <w:p>
            <w:pPr>
              <w:keepNext w:val="0"/>
              <w:keepLines w:val="0"/>
              <w:pageBreakBefore w:val="0"/>
              <w:widowControl w:val="0"/>
              <w:kinsoku/>
              <w:wordWrap/>
              <w:overflowPunct/>
              <w:topLinePunct w:val="0"/>
              <w:autoSpaceDE/>
              <w:autoSpaceDN/>
              <w:bidi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本项目为加油站建设项目，本项目生活污水经化粪池处理后进入漯河经济技术产业集聚区污水处理厂。</w:t>
            </w:r>
          </w:p>
          <w:p>
            <w:pPr>
              <w:keepNext w:val="0"/>
              <w:keepLines w:val="0"/>
              <w:pageBreakBefore w:val="0"/>
              <w:widowControl w:val="0"/>
              <w:kinsoku/>
              <w:wordWrap/>
              <w:overflowPunct/>
              <w:topLinePunct w:val="0"/>
              <w:autoSpaceDE/>
              <w:autoSpaceDN/>
              <w:bidi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项目站区按照规范和要求对罐区等采取有效的防雨、防渗漏、防溢流措施，并加强对原料运输储存的管理，在正常运行工况下，不会对地下水、土壤环境质量造成显著的不利影响。但在非正常工况下或者事故状态下，如原料储罐破损发生泄漏，污染物和废水会渗入地下，对地下水造成污染。</w:t>
            </w:r>
          </w:p>
          <w:p>
            <w:pPr>
              <w:keepNext w:val="0"/>
              <w:keepLines w:val="0"/>
              <w:pageBreakBefore w:val="0"/>
              <w:widowControl w:val="0"/>
              <w:kinsoku/>
              <w:wordWrap/>
              <w:overflowPunct/>
              <w:topLinePunct w:val="0"/>
              <w:autoSpaceDE/>
              <w:autoSpaceDN/>
              <w:bidi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根据《建设项目环境影响报告表编制技术指南（污染影响类）》（试行），“土壤、声环境不开展专项评价，地下水原则上不开展专项评价，涉及集中式饮用水水源和热水、矿泉水、温泉等特殊地下水资源保护区的开展地下水专项评价工作”，本项目不在地下水饮用水源保护范围内，不涉及集中式饮用水水源和热水、矿泉水、温泉等特殊地下水资源保护区，因此，本项目不需要设置地下水、土壤专项评价。</w:t>
            </w:r>
          </w:p>
          <w:p>
            <w:pPr>
              <w:keepNext w:val="0"/>
              <w:keepLines w:val="0"/>
              <w:pageBreakBefore w:val="0"/>
              <w:widowControl w:val="0"/>
              <w:kinsoku/>
              <w:wordWrap/>
              <w:overflowPunct/>
              <w:topLinePunct w:val="0"/>
              <w:autoSpaceDE/>
              <w:autoSpaceDN/>
              <w:bidi w:val="0"/>
              <w:spacing w:line="480" w:lineRule="exact"/>
              <w:ind w:firstLine="480" w:firstLineChars="200"/>
              <w:textAlignment w:val="auto"/>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pPr>
            <w:r>
              <w:rPr>
                <w:rFonts w:hint="default" w:ascii="Times New Roman" w:hAnsi="Times New Roman" w:cs="Times New Roman"/>
                <w:color w:val="000000" w:themeColor="text1"/>
                <w:kern w:val="0"/>
                <w:sz w:val="24"/>
                <w:szCs w:val="24"/>
                <w:lang w:eastAsia="zh-CN"/>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14:textFill>
                  <w14:solidFill>
                    <w14:schemeClr w14:val="tx1"/>
                  </w14:solidFill>
                </w14:textFill>
              </w:rPr>
              <w:t>1</w:t>
            </w:r>
            <w:r>
              <w:rPr>
                <w:rFonts w:hint="default" w:ascii="Times New Roman" w:hAnsi="Times New Roman" w:cs="Times New Roman"/>
                <w:color w:val="000000" w:themeColor="text1"/>
                <w:kern w:val="0"/>
                <w:sz w:val="24"/>
                <w:szCs w:val="24"/>
                <w:lang w:eastAsia="zh-CN"/>
                <w14:textFill>
                  <w14:solidFill>
                    <w14:schemeClr w14:val="tx1"/>
                  </w14:solidFill>
                </w14:textFill>
              </w:rPr>
              <w:t>）</w:t>
            </w:r>
            <w:r>
              <w:rPr>
                <w:rFonts w:hint="default" w:ascii="Times New Roman" w:hAnsi="Times New Roman" w:cs="Times New Roman"/>
                <w:color w:val="000000" w:themeColor="text1"/>
                <w:kern w:val="0"/>
                <w:sz w:val="24"/>
                <w:szCs w:val="24"/>
                <w14:textFill>
                  <w14:solidFill>
                    <w14:schemeClr w14:val="tx1"/>
                  </w14:solidFill>
                </w14:textFill>
              </w:rPr>
              <w:t>地下水、土壤</w:t>
            </w:r>
            <w:r>
              <w:rPr>
                <w:rFonts w:hint="default" w:ascii="Times New Roman" w:hAnsi="Times New Roman" w:cs="Times New Roman"/>
                <w:color w:val="000000" w:themeColor="text1"/>
                <w:kern w:val="0"/>
                <w:sz w:val="24"/>
                <w:szCs w:val="24"/>
                <w:lang w:val="en-US" w:eastAsia="zh-CN"/>
                <w14:textFill>
                  <w14:solidFill>
                    <w14:schemeClr w14:val="tx1"/>
                  </w14:solidFill>
                </w14:textFill>
              </w:rPr>
              <w:t>防治措施</w:t>
            </w:r>
          </w:p>
          <w:p>
            <w:pPr>
              <w:keepNext w:val="0"/>
              <w:keepLines w:val="0"/>
              <w:pageBreakBefore w:val="0"/>
              <w:widowControl w:val="0"/>
              <w:kinsoku/>
              <w:wordWrap/>
              <w:overflowPunct/>
              <w:topLinePunct w:val="0"/>
              <w:autoSpaceDE/>
              <w:autoSpaceDN/>
              <w:bidi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为了最大限度减小本项目运营过程中可能发生的对地下水、土壤造成的影响，环评提出以下措施：</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①根据《环境影响评价技术导则地下水环境》（HJ610-2016），地下水环境保护措施与对策应符合《中华人民共和国水污染防治法</w:t>
            </w:r>
            <w:r>
              <w:rPr>
                <w:rFonts w:hint="default" w:ascii="Times New Roman" w:hAnsi="Times New Roman" w:cs="Times New Roman"/>
                <w:color w:val="000000" w:themeColor="text1"/>
                <w:kern w:val="0"/>
                <w:sz w:val="24"/>
                <w:szCs w:val="24"/>
                <w:lang w:eastAsia="zh-CN"/>
                <w14:textFill>
                  <w14:solidFill>
                    <w14:schemeClr w14:val="tx1"/>
                  </w14:solidFill>
                </w14:textFill>
              </w:rPr>
              <w:t>》《</w:t>
            </w:r>
            <w:r>
              <w:rPr>
                <w:rFonts w:hint="default" w:ascii="Times New Roman" w:hAnsi="Times New Roman" w:cs="Times New Roman"/>
                <w:color w:val="000000" w:themeColor="text1"/>
                <w:kern w:val="0"/>
                <w:sz w:val="24"/>
                <w:szCs w:val="24"/>
                <w14:textFill>
                  <w14:solidFill>
                    <w14:schemeClr w14:val="tx1"/>
                  </w14:solidFill>
                </w14:textFill>
              </w:rPr>
              <w:t>中华人民共和国环境影响评价法》的相关规定，按照“源头控制、分区防控、污染监控、应急响应”原则进行。本项目油罐严格按照《加油站地下水污染防治技术指南》（环办水体函[2017]323号）中要求建设</w:t>
            </w:r>
            <w:r>
              <w:rPr>
                <w:rFonts w:hint="default" w:ascii="Times New Roman" w:hAnsi="Times New Roman" w:cs="Times New Roman"/>
                <w:color w:val="000000" w:themeColor="text1"/>
                <w:kern w:val="0"/>
                <w:sz w:val="24"/>
                <w:szCs w:val="24"/>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②本项目为扩建加油站项目，油罐为SF双层卧式油罐。</w:t>
            </w:r>
          </w:p>
          <w:p>
            <w:pPr>
              <w:keepNext w:val="0"/>
              <w:keepLines w:val="0"/>
              <w:pageBreakBefore w:val="0"/>
              <w:widowControl w:val="0"/>
              <w:kinsoku/>
              <w:wordWrap/>
              <w:overflowPunct/>
              <w:topLinePunct w:val="0"/>
              <w:autoSpaceDE/>
              <w:autoSpaceDN/>
              <w:bidi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③分区防渗措施</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表45                 本项目地下水污染防治措施一览表</w:t>
            </w:r>
          </w:p>
          <w:tbl>
            <w:tblPr>
              <w:tblStyle w:val="37"/>
              <w:tblW w:w="922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27"/>
              <w:gridCol w:w="1334"/>
              <w:gridCol w:w="3033"/>
              <w:gridCol w:w="41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序号</w:t>
                  </w:r>
                </w:p>
              </w:tc>
              <w:tc>
                <w:tcPr>
                  <w:tcW w:w="1334"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级别</w:t>
                  </w:r>
                </w:p>
              </w:tc>
              <w:tc>
                <w:tcPr>
                  <w:tcW w:w="3033"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保护措施</w:t>
                  </w:r>
                </w:p>
              </w:tc>
              <w:tc>
                <w:tcPr>
                  <w:tcW w:w="4130"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达到效果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1334"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重点防渗区</w:t>
                  </w:r>
                </w:p>
              </w:tc>
              <w:tc>
                <w:tcPr>
                  <w:tcW w:w="3033"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主要包括储罐区、加油区、地下管道，在清场夯压的基础上铺设防渗材料+混凝土防渗</w:t>
                  </w:r>
                </w:p>
              </w:tc>
              <w:tc>
                <w:tcPr>
                  <w:tcW w:w="4130"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等效黏土防渗层Mb≥6.0m，K≤1×10</w:t>
                  </w:r>
                  <w:r>
                    <w:rPr>
                      <w:rFonts w:hint="default" w:ascii="Times New Roman" w:hAnsi="Times New Roman" w:cs="Times New Roman"/>
                      <w:color w:val="000000" w:themeColor="text1"/>
                      <w:sz w:val="21"/>
                      <w:szCs w:val="21"/>
                      <w:vertAlign w:val="superscript"/>
                      <w14:textFill>
                        <w14:solidFill>
                          <w14:schemeClr w14:val="tx1"/>
                        </w14:solidFill>
                      </w14:textFill>
                    </w:rPr>
                    <w:t>-7</w:t>
                  </w:r>
                  <w:r>
                    <w:rPr>
                      <w:rFonts w:hint="default" w:ascii="Times New Roman" w:hAnsi="Times New Roman" w:cs="Times New Roman"/>
                      <w:color w:val="000000" w:themeColor="text1"/>
                      <w:sz w:val="21"/>
                      <w:szCs w:val="21"/>
                      <w14:textFill>
                        <w14:solidFill>
                          <w14:schemeClr w14:val="tx1"/>
                        </w14:solidFill>
                      </w14:textFill>
                    </w:rPr>
                    <w:t>cm/s；或参照《石油化工工程防渗技术规范》（GB/T50934-2013）执行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1334"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一般防渗区</w:t>
                  </w:r>
                </w:p>
              </w:tc>
              <w:tc>
                <w:tcPr>
                  <w:tcW w:w="3033"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主要包括加油区周围地面采用混凝土防渗</w:t>
                  </w:r>
                </w:p>
              </w:tc>
              <w:tc>
                <w:tcPr>
                  <w:tcW w:w="4130"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等效黏土防渗层Mb≥1.5m，K≤1×10</w:t>
                  </w:r>
                  <w:r>
                    <w:rPr>
                      <w:rFonts w:hint="default" w:ascii="Times New Roman" w:hAnsi="Times New Roman" w:cs="Times New Roman"/>
                      <w:color w:val="000000" w:themeColor="text1"/>
                      <w:sz w:val="21"/>
                      <w:szCs w:val="21"/>
                      <w:vertAlign w:val="superscript"/>
                      <w14:textFill>
                        <w14:solidFill>
                          <w14:schemeClr w14:val="tx1"/>
                        </w14:solidFill>
                      </w14:textFill>
                    </w:rPr>
                    <w:t>-7</w:t>
                  </w:r>
                  <w:r>
                    <w:rPr>
                      <w:rFonts w:hint="default" w:ascii="Times New Roman" w:hAnsi="Times New Roman" w:cs="Times New Roman"/>
                      <w:color w:val="000000" w:themeColor="text1"/>
                      <w:sz w:val="21"/>
                      <w:szCs w:val="21"/>
                      <w14:textFill>
                        <w14:solidFill>
                          <w14:schemeClr w14:val="tx1"/>
                        </w14:solidFill>
                      </w14:textFill>
                    </w:rPr>
                    <w:t>cm/s；或参照《石油化工工程防渗技术规范》（GB/T50934-2013）执行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27"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w:t>
                  </w:r>
                </w:p>
              </w:tc>
              <w:tc>
                <w:tcPr>
                  <w:tcW w:w="1334"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简单防渗区</w:t>
                  </w:r>
                </w:p>
              </w:tc>
              <w:tc>
                <w:tcPr>
                  <w:tcW w:w="3033"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主要为办公区采用混凝土铺设</w:t>
                  </w:r>
                </w:p>
              </w:tc>
              <w:tc>
                <w:tcPr>
                  <w:tcW w:w="4130"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一般地面硬化</w:t>
                  </w:r>
                </w:p>
              </w:tc>
            </w:tr>
          </w:tbl>
          <w:p>
            <w:pPr>
              <w:keepNext w:val="0"/>
              <w:keepLines w:val="0"/>
              <w:pageBreakBefore w:val="0"/>
              <w:widowControl w:val="0"/>
              <w:kinsoku/>
              <w:wordWrap/>
              <w:overflowPunct/>
              <w:topLinePunct w:val="0"/>
              <w:autoSpaceDE/>
              <w:autoSpaceDN/>
              <w:bidi w:val="0"/>
              <w:spacing w:line="480" w:lineRule="exact"/>
              <w:ind w:firstLine="480" w:firstLineChars="200"/>
              <w:textAlignment w:val="auto"/>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（2）地下水监控</w:t>
            </w:r>
          </w:p>
          <w:p>
            <w:pPr>
              <w:keepNext w:val="0"/>
              <w:keepLines w:val="0"/>
              <w:pageBreakBefore w:val="0"/>
              <w:widowControl w:val="0"/>
              <w:kinsoku/>
              <w:wordWrap/>
              <w:overflowPunct/>
              <w:topLinePunct w:val="0"/>
              <w:autoSpaceDE/>
              <w:autoSpaceDN/>
              <w:bidi w:val="0"/>
              <w:spacing w:line="480" w:lineRule="exact"/>
              <w:ind w:firstLine="480" w:firstLineChars="200"/>
              <w:textAlignment w:val="auto"/>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①根据《加油站地下水污染防治技术指南》（环办水体函〔2017〕323号），本项目应在站内埋地油罐区地下水流向的下游设置1个地下水监测井，并定期开展地下水常规监测。</w:t>
            </w:r>
          </w:p>
          <w:p>
            <w:pPr>
              <w:keepNext w:val="0"/>
              <w:keepLines w:val="0"/>
              <w:pageBreakBefore w:val="0"/>
              <w:widowControl w:val="0"/>
              <w:kinsoku/>
              <w:wordWrap/>
              <w:overflowPunct/>
              <w:topLinePunct w:val="0"/>
              <w:autoSpaceDE/>
              <w:autoSpaceDN/>
              <w:bidi w:val="0"/>
              <w:spacing w:line="480" w:lineRule="exact"/>
              <w:ind w:firstLine="480" w:firstLineChars="200"/>
              <w:textAlignment w:val="auto"/>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②地下水跟踪监测要求：为监控本项目运营对地下水环境影响，制定的跟踪监测计划见下表。</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表46             地下水环境跟踪监测计划表</w:t>
            </w:r>
          </w:p>
          <w:tbl>
            <w:tblPr>
              <w:tblStyle w:val="37"/>
              <w:tblW w:w="925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90"/>
              <w:gridCol w:w="1094"/>
              <w:gridCol w:w="1112"/>
              <w:gridCol w:w="2832"/>
              <w:gridCol w:w="1818"/>
              <w:gridCol w:w="13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8" w:type="pct"/>
                  <w:tcBorders>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400" w:lineRule="exact"/>
                    <w:jc w:val="center"/>
                    <w:textAlignment w:val="auto"/>
                    <w:rPr>
                      <w:rFonts w:hint="default" w:ascii="Times New Roman" w:hAnsi="Times New Roman" w:eastAsia="宋体" w:cs="Times New Roman"/>
                      <w:color w:val="000000" w:themeColor="text1"/>
                      <w:spacing w:val="0"/>
                      <w:kern w:val="24"/>
                      <w:sz w:val="21"/>
                      <w:szCs w:val="21"/>
                      <w:u w:val="none"/>
                      <w:lang w:val="en-US" w:eastAsia="zh-CN"/>
                      <w14:textFill>
                        <w14:solidFill>
                          <w14:schemeClr w14:val="tx1"/>
                        </w14:solidFill>
                      </w14:textFill>
                    </w:rPr>
                  </w:pPr>
                  <w:r>
                    <w:rPr>
                      <w:rFonts w:hint="default" w:ascii="Times New Roman" w:hAnsi="Times New Roman" w:cs="Times New Roman"/>
                      <w:color w:val="000000" w:themeColor="text1"/>
                      <w:spacing w:val="0"/>
                      <w:kern w:val="24"/>
                      <w:sz w:val="21"/>
                      <w:szCs w:val="21"/>
                      <w:u w:val="none"/>
                      <w:lang w:val="en-US" w:eastAsia="zh-CN"/>
                      <w14:textFill>
                        <w14:solidFill>
                          <w14:schemeClr w14:val="tx1"/>
                        </w14:solidFill>
                      </w14:textFill>
                    </w:rPr>
                    <w:t>监测点位</w:t>
                  </w:r>
                </w:p>
              </w:tc>
              <w:tc>
                <w:tcPr>
                  <w:tcW w:w="590" w:type="pct"/>
                  <w:tcBorders>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400" w:lineRule="exact"/>
                    <w:jc w:val="center"/>
                    <w:textAlignment w:val="auto"/>
                    <w:rPr>
                      <w:rFonts w:hint="default" w:ascii="Times New Roman" w:hAnsi="Times New Roman" w:eastAsia="宋体" w:cs="Times New Roman"/>
                      <w:color w:val="000000" w:themeColor="text1"/>
                      <w:spacing w:val="0"/>
                      <w:kern w:val="24"/>
                      <w:sz w:val="21"/>
                      <w:szCs w:val="21"/>
                      <w:u w:val="none"/>
                      <w:lang w:val="en-US" w:eastAsia="zh-CN"/>
                      <w14:textFill>
                        <w14:solidFill>
                          <w14:schemeClr w14:val="tx1"/>
                        </w14:solidFill>
                      </w14:textFill>
                    </w:rPr>
                  </w:pPr>
                  <w:r>
                    <w:rPr>
                      <w:rFonts w:hint="default" w:ascii="Times New Roman" w:hAnsi="Times New Roman" w:cs="Times New Roman"/>
                      <w:color w:val="000000" w:themeColor="text1"/>
                      <w:spacing w:val="0"/>
                      <w:kern w:val="24"/>
                      <w:sz w:val="21"/>
                      <w:szCs w:val="21"/>
                      <w:u w:val="none"/>
                      <w:lang w:val="en-US" w:eastAsia="zh-CN"/>
                      <w14:textFill>
                        <w14:solidFill>
                          <w14:schemeClr w14:val="tx1"/>
                        </w14:solidFill>
                      </w14:textFill>
                    </w:rPr>
                    <w:t>检测因子</w:t>
                  </w:r>
                </w:p>
              </w:tc>
              <w:tc>
                <w:tcPr>
                  <w:tcW w:w="600" w:type="pct"/>
                  <w:tcBorders>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400" w:lineRule="exact"/>
                    <w:jc w:val="center"/>
                    <w:textAlignment w:val="auto"/>
                    <w:rPr>
                      <w:rFonts w:hint="default" w:ascii="Times New Roman" w:hAnsi="Times New Roman" w:eastAsia="宋体" w:cs="Times New Roman"/>
                      <w:color w:val="000000" w:themeColor="text1"/>
                      <w:spacing w:val="0"/>
                      <w:kern w:val="24"/>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24"/>
                      <w:sz w:val="21"/>
                      <w:szCs w:val="21"/>
                      <w:u w:val="none"/>
                      <w:lang w:val="en-US" w:eastAsia="zh-CN"/>
                      <w14:textFill>
                        <w14:solidFill>
                          <w14:schemeClr w14:val="tx1"/>
                        </w14:solidFill>
                      </w14:textFill>
                    </w:rPr>
                    <w:t>类别</w:t>
                  </w:r>
                </w:p>
              </w:tc>
              <w:tc>
                <w:tcPr>
                  <w:tcW w:w="1529" w:type="pct"/>
                  <w:tcBorders>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color w:val="000000" w:themeColor="text1"/>
                      <w:spacing w:val="0"/>
                      <w:kern w:val="24"/>
                      <w:sz w:val="21"/>
                      <w:szCs w:val="21"/>
                      <w:u w:val="none"/>
                      <w:lang w:val="en-US" w:eastAsia="zh-CN"/>
                      <w14:textFill>
                        <w14:solidFill>
                          <w14:schemeClr w14:val="tx1"/>
                        </w14:solidFill>
                      </w14:textFill>
                    </w:rPr>
                  </w:pPr>
                  <w:r>
                    <w:rPr>
                      <w:rFonts w:hint="default" w:ascii="Times New Roman" w:hAnsi="Times New Roman" w:cs="Times New Roman"/>
                      <w:color w:val="000000" w:themeColor="text1"/>
                      <w:spacing w:val="0"/>
                      <w:kern w:val="24"/>
                      <w:sz w:val="21"/>
                      <w:szCs w:val="21"/>
                      <w:u w:val="none"/>
                      <w:lang w:val="en-US" w:eastAsia="zh-CN"/>
                      <w14:textFill>
                        <w14:solidFill>
                          <w14:schemeClr w14:val="tx1"/>
                        </w14:solidFill>
                      </w14:textFill>
                    </w:rPr>
                    <w:t>监测频次</w:t>
                  </w:r>
                </w:p>
              </w:tc>
              <w:tc>
                <w:tcPr>
                  <w:tcW w:w="982" w:type="pct"/>
                  <w:tcBorders>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color w:val="000000" w:themeColor="text1"/>
                      <w:spacing w:val="0"/>
                      <w:kern w:val="24"/>
                      <w:sz w:val="21"/>
                      <w:szCs w:val="21"/>
                      <w:u w:val="none"/>
                      <w:lang w:val="en-US" w:eastAsia="zh-CN"/>
                      <w14:textFill>
                        <w14:solidFill>
                          <w14:schemeClr w14:val="tx1"/>
                        </w14:solidFill>
                      </w14:textFill>
                    </w:rPr>
                  </w:pPr>
                  <w:r>
                    <w:rPr>
                      <w:rFonts w:hint="default" w:ascii="Times New Roman" w:hAnsi="Times New Roman" w:cs="Times New Roman"/>
                      <w:color w:val="000000" w:themeColor="text1"/>
                      <w:spacing w:val="0"/>
                      <w:kern w:val="24"/>
                      <w:sz w:val="21"/>
                      <w:szCs w:val="21"/>
                      <w:u w:val="none"/>
                      <w:lang w:val="en-US" w:eastAsia="zh-CN"/>
                      <w14:textFill>
                        <w14:solidFill>
                          <w14:schemeClr w14:val="tx1"/>
                        </w14:solidFill>
                      </w14:textFill>
                    </w:rPr>
                    <w:t>执行标准</w:t>
                  </w:r>
                </w:p>
              </w:tc>
              <w:tc>
                <w:tcPr>
                  <w:tcW w:w="707" w:type="pct"/>
                  <w:tcBorders>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color w:val="000000" w:themeColor="text1"/>
                      <w:spacing w:val="0"/>
                      <w:kern w:val="24"/>
                      <w:sz w:val="21"/>
                      <w:szCs w:val="21"/>
                      <w:u w:val="none"/>
                      <w:lang w:val="en-US" w:eastAsia="zh-CN"/>
                      <w14:textFill>
                        <w14:solidFill>
                          <w14:schemeClr w14:val="tx1"/>
                        </w14:solidFill>
                      </w14:textFill>
                    </w:rPr>
                  </w:pPr>
                  <w:r>
                    <w:rPr>
                      <w:rFonts w:hint="default" w:ascii="Times New Roman" w:hAnsi="Times New Roman" w:cs="Times New Roman"/>
                      <w:color w:val="000000" w:themeColor="text1"/>
                      <w:spacing w:val="0"/>
                      <w:kern w:val="24"/>
                      <w:sz w:val="21"/>
                      <w:szCs w:val="21"/>
                      <w:u w:val="none"/>
                      <w:lang w:val="en-US" w:eastAsia="zh-CN"/>
                      <w14:textFill>
                        <w14:solidFill>
                          <w14:schemeClr w14:val="tx1"/>
                        </w14:solidFill>
                      </w14:textFill>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8" w:type="pct"/>
                  <w:vMerge w:val="restart"/>
                  <w:tcBorders>
                    <w:tl2br w:val="nil"/>
                    <w:tr2bl w:val="nil"/>
                  </w:tcBorders>
                  <w:noWrap w:val="0"/>
                  <w:vAlign w:val="center"/>
                </w:tcPr>
                <w:p>
                  <w:pPr>
                    <w:keepNext w:val="0"/>
                    <w:keepLines w:val="0"/>
                    <w:pageBreakBefore w:val="0"/>
                    <w:widowControl/>
                    <w:suppressLineNumbers w:val="0"/>
                    <w:kinsoku/>
                    <w:wordWrap/>
                    <w:overflowPunct/>
                    <w:autoSpaceDE/>
                    <w:autoSpaceDN/>
                    <w:bidi w:val="0"/>
                    <w:spacing w:line="400" w:lineRule="exact"/>
                    <w:jc w:val="center"/>
                    <w:textAlignment w:val="auto"/>
                    <w:rPr>
                      <w:rFonts w:hint="default" w:ascii="Times New Roman" w:hAnsi="Times New Roman" w:eastAsia="宋体" w:cs="Times New Roman"/>
                      <w:color w:val="000000" w:themeColor="text1"/>
                      <w:spacing w:val="0"/>
                      <w:kern w:val="24"/>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pacing w:val="0"/>
                      <w:kern w:val="24"/>
                      <w:sz w:val="21"/>
                      <w:szCs w:val="21"/>
                      <w:u w:val="none"/>
                      <w:lang w:val="en-US" w:eastAsia="zh-CN"/>
                      <w14:textFill>
                        <w14:solidFill>
                          <w14:schemeClr w14:val="tx1"/>
                        </w14:solidFill>
                      </w14:textFill>
                    </w:rPr>
                    <w:t>加油站内水井</w:t>
                  </w:r>
                </w:p>
              </w:tc>
              <w:tc>
                <w:tcPr>
                  <w:tcW w:w="590" w:type="pct"/>
                  <w:vMerge w:val="restart"/>
                  <w:tcBorders>
                    <w:tl2br w:val="nil"/>
                    <w:tr2bl w:val="nil"/>
                  </w:tcBorders>
                  <w:noWrap w:val="0"/>
                  <w:vAlign w:val="center"/>
                </w:tcPr>
                <w:p>
                  <w:pPr>
                    <w:keepNext w:val="0"/>
                    <w:keepLines w:val="0"/>
                    <w:pageBreakBefore w:val="0"/>
                    <w:widowControl/>
                    <w:suppressLineNumbers w:val="0"/>
                    <w:kinsoku/>
                    <w:wordWrap/>
                    <w:overflowPunct/>
                    <w:autoSpaceDE/>
                    <w:autoSpaceDN/>
                    <w:bidi w:val="0"/>
                    <w:spacing w:line="400" w:lineRule="exact"/>
                    <w:jc w:val="center"/>
                    <w:textAlignment w:val="auto"/>
                    <w:rPr>
                      <w:rFonts w:hint="default" w:ascii="Times New Roman" w:hAnsi="Times New Roman" w:eastAsia="宋体" w:cs="Times New Roman"/>
                      <w:color w:val="000000" w:themeColor="text1"/>
                      <w:spacing w:val="0"/>
                      <w:kern w:val="24"/>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石油类</w:t>
                  </w:r>
                </w:p>
              </w:tc>
              <w:tc>
                <w:tcPr>
                  <w:tcW w:w="600" w:type="pct"/>
                  <w:tcBorders>
                    <w:tl2br w:val="nil"/>
                    <w:tr2bl w:val="nil"/>
                  </w:tcBorders>
                  <w:noWrap w:val="0"/>
                  <w:vAlign w:val="center"/>
                </w:tcPr>
                <w:p>
                  <w:pPr>
                    <w:keepNext w:val="0"/>
                    <w:keepLines w:val="0"/>
                    <w:pageBreakBefore w:val="0"/>
                    <w:widowControl/>
                    <w:suppressLineNumbers w:val="0"/>
                    <w:kinsoku/>
                    <w:wordWrap/>
                    <w:overflowPunct/>
                    <w:autoSpaceDE/>
                    <w:autoSpaceDN/>
                    <w:bidi w:val="0"/>
                    <w:spacing w:line="400" w:lineRule="exact"/>
                    <w:jc w:val="center"/>
                    <w:textAlignment w:val="auto"/>
                    <w:rPr>
                      <w:rFonts w:hint="default" w:ascii="Times New Roman" w:hAnsi="Times New Roman" w:cs="Times New Roman"/>
                      <w:color w:val="000000" w:themeColor="text1"/>
                      <w:spacing w:val="0"/>
                      <w:kern w:val="24"/>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日常人工观测</w:t>
                  </w:r>
                </w:p>
              </w:tc>
              <w:tc>
                <w:tcPr>
                  <w:tcW w:w="1529" w:type="pct"/>
                  <w:tcBorders>
                    <w:tl2br w:val="nil"/>
                    <w:tr2bl w:val="nil"/>
                  </w:tcBorders>
                  <w:noWrap w:val="0"/>
                  <w:vAlign w:val="center"/>
                </w:tcPr>
                <w:p>
                  <w:pPr>
                    <w:keepNext w:val="0"/>
                    <w:keepLines w:val="0"/>
                    <w:pageBreakBefore w:val="0"/>
                    <w:widowControl/>
                    <w:suppressLineNumbers w:val="0"/>
                    <w:kinsoku/>
                    <w:wordWrap/>
                    <w:overflowPunct/>
                    <w:autoSpaceDE/>
                    <w:autoSpaceDN/>
                    <w:bidi w:val="0"/>
                    <w:spacing w:line="400" w:lineRule="exact"/>
                    <w:jc w:val="center"/>
                    <w:textAlignment w:val="auto"/>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1次/每周，可通过肉眼观察、使用测油膏、便携式气体监测仪等快速方法判定地下水监测井中是否有油品污染</w:t>
                  </w:r>
                </w:p>
              </w:tc>
              <w:tc>
                <w:tcPr>
                  <w:tcW w:w="982" w:type="pct"/>
                  <w:vMerge w:val="restart"/>
                  <w:tcBorders>
                    <w:tl2br w:val="nil"/>
                    <w:tr2bl w:val="nil"/>
                  </w:tcBorders>
                  <w:noWrap w:val="0"/>
                  <w:vAlign w:val="center"/>
                </w:tcPr>
                <w:p>
                  <w:pPr>
                    <w:keepNext w:val="0"/>
                    <w:keepLines w:val="0"/>
                    <w:pageBreakBefore w:val="0"/>
                    <w:widowControl/>
                    <w:suppressLineNumbers w:val="0"/>
                    <w:kinsoku/>
                    <w:wordWrap/>
                    <w:overflowPunct/>
                    <w:autoSpaceDE/>
                    <w:autoSpaceDN/>
                    <w:bidi w:val="0"/>
                    <w:spacing w:line="400" w:lineRule="exact"/>
                    <w:jc w:val="center"/>
                    <w:textAlignment w:val="auto"/>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参照《生活饮用水卫生标准》（GB5749-2006）附录A中表A.1中石油类0.3mg/L</w:t>
                  </w:r>
                </w:p>
              </w:tc>
              <w:tc>
                <w:tcPr>
                  <w:tcW w:w="707" w:type="pct"/>
                  <w:vMerge w:val="restart"/>
                  <w:tcBorders>
                    <w:tl2br w:val="nil"/>
                    <w:tr2bl w:val="nil"/>
                  </w:tcBorders>
                  <w:noWrap w:val="0"/>
                  <w:vAlign w:val="center"/>
                </w:tcPr>
                <w:p>
                  <w:pPr>
                    <w:keepNext w:val="0"/>
                    <w:keepLines w:val="0"/>
                    <w:pageBreakBefore w:val="0"/>
                    <w:widowControl/>
                    <w:suppressLineNumbers w:val="0"/>
                    <w:kinsoku/>
                    <w:wordWrap/>
                    <w:overflowPunct/>
                    <w:autoSpaceDE/>
                    <w:autoSpaceDN/>
                    <w:bidi w:val="0"/>
                    <w:spacing w:line="400" w:lineRule="exact"/>
                    <w:jc w:val="center"/>
                    <w:textAlignment w:val="auto"/>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监测计划参照《加油站地下水污染防治技术指南》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8" w:type="pct"/>
                  <w:vMerge w:val="continue"/>
                  <w:tcBorders>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400" w:lineRule="exact"/>
                    <w:jc w:val="center"/>
                    <w:textAlignment w:val="auto"/>
                    <w:rPr>
                      <w:rFonts w:hint="default" w:ascii="Times New Roman" w:hAnsi="Times New Roman" w:cs="Times New Roman"/>
                      <w:color w:val="000000" w:themeColor="text1"/>
                      <w:spacing w:val="0"/>
                      <w:kern w:val="24"/>
                      <w:sz w:val="21"/>
                      <w:szCs w:val="21"/>
                      <w:u w:val="none"/>
                      <w:lang w:val="en-US" w:eastAsia="zh-CN"/>
                      <w14:textFill>
                        <w14:solidFill>
                          <w14:schemeClr w14:val="tx1"/>
                        </w14:solidFill>
                      </w14:textFill>
                    </w:rPr>
                  </w:pPr>
                </w:p>
              </w:tc>
              <w:tc>
                <w:tcPr>
                  <w:tcW w:w="590" w:type="pct"/>
                  <w:vMerge w:val="continue"/>
                  <w:tcBorders>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400" w:lineRule="exact"/>
                    <w:jc w:val="center"/>
                    <w:textAlignment w:val="auto"/>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pPr>
                </w:p>
              </w:tc>
              <w:tc>
                <w:tcPr>
                  <w:tcW w:w="600" w:type="pct"/>
                  <w:tcBorders>
                    <w:tl2br w:val="nil"/>
                    <w:tr2bl w:val="nil"/>
                  </w:tcBorders>
                  <w:noWrap w:val="0"/>
                  <w:vAlign w:val="center"/>
                </w:tcPr>
                <w:p>
                  <w:pPr>
                    <w:keepNext w:val="0"/>
                    <w:keepLines w:val="0"/>
                    <w:pageBreakBefore w:val="0"/>
                    <w:widowControl/>
                    <w:suppressLineNumbers w:val="0"/>
                    <w:kinsoku/>
                    <w:wordWrap/>
                    <w:overflowPunct/>
                    <w:autoSpaceDE/>
                    <w:autoSpaceDN/>
                    <w:bidi w:val="0"/>
                    <w:spacing w:line="400" w:lineRule="exact"/>
                    <w:jc w:val="center"/>
                    <w:textAlignment w:val="auto"/>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常规监测</w:t>
                  </w:r>
                </w:p>
              </w:tc>
              <w:tc>
                <w:tcPr>
                  <w:tcW w:w="1529" w:type="pct"/>
                  <w:tcBorders>
                    <w:tl2br w:val="nil"/>
                    <w:tr2bl w:val="nil"/>
                  </w:tcBorders>
                  <w:noWrap w:val="0"/>
                  <w:vAlign w:val="center"/>
                </w:tcPr>
                <w:p>
                  <w:pPr>
                    <w:keepNext w:val="0"/>
                    <w:keepLines w:val="0"/>
                    <w:pageBreakBefore w:val="0"/>
                    <w:widowControl/>
                    <w:suppressLineNumbers w:val="0"/>
                    <w:kinsoku/>
                    <w:wordWrap/>
                    <w:overflowPunct/>
                    <w:autoSpaceDE/>
                    <w:autoSpaceDN/>
                    <w:bidi w:val="0"/>
                    <w:spacing w:line="400" w:lineRule="exact"/>
                    <w:jc w:val="center"/>
                    <w:textAlignment w:val="auto"/>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1次/每季度</w:t>
                  </w:r>
                </w:p>
              </w:tc>
              <w:tc>
                <w:tcPr>
                  <w:tcW w:w="982" w:type="pct"/>
                  <w:vMerge w:val="continue"/>
                  <w:tcBorders>
                    <w:tl2br w:val="nil"/>
                    <w:tr2bl w:val="nil"/>
                  </w:tcBorders>
                  <w:noWrap w:val="0"/>
                  <w:vAlign w:val="center"/>
                </w:tcPr>
                <w:p>
                  <w:pPr>
                    <w:keepNext w:val="0"/>
                    <w:keepLines w:val="0"/>
                    <w:pageBreakBefore w:val="0"/>
                    <w:widowControl/>
                    <w:suppressLineNumbers w:val="0"/>
                    <w:kinsoku/>
                    <w:wordWrap/>
                    <w:overflowPunct/>
                    <w:autoSpaceDE/>
                    <w:autoSpaceDN/>
                    <w:bidi w:val="0"/>
                    <w:spacing w:line="400" w:lineRule="exact"/>
                    <w:jc w:val="center"/>
                    <w:textAlignment w:val="auto"/>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pPr>
                </w:p>
              </w:tc>
              <w:tc>
                <w:tcPr>
                  <w:tcW w:w="707" w:type="pct"/>
                  <w:vMerge w:val="continue"/>
                  <w:tcBorders>
                    <w:tl2br w:val="nil"/>
                    <w:tr2bl w:val="nil"/>
                  </w:tcBorders>
                  <w:noWrap w:val="0"/>
                  <w:vAlign w:val="center"/>
                </w:tcPr>
                <w:p>
                  <w:pPr>
                    <w:keepNext w:val="0"/>
                    <w:keepLines w:val="0"/>
                    <w:pageBreakBefore w:val="0"/>
                    <w:widowControl/>
                    <w:suppressLineNumbers w:val="0"/>
                    <w:kinsoku/>
                    <w:wordWrap/>
                    <w:overflowPunct/>
                    <w:autoSpaceDE/>
                    <w:autoSpaceDN/>
                    <w:bidi w:val="0"/>
                    <w:spacing w:line="400" w:lineRule="exact"/>
                    <w:jc w:val="center"/>
                    <w:textAlignment w:val="auto"/>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588" w:type="pct"/>
                  <w:vMerge w:val="continue"/>
                  <w:tcBorders>
                    <w:tl2br w:val="nil"/>
                    <w:tr2bl w:val="nil"/>
                  </w:tcBorders>
                  <w:noWrap w:val="0"/>
                  <w:vAlign w:val="center"/>
                </w:tcPr>
                <w:p>
                  <w:pPr>
                    <w:keepNext w:val="0"/>
                    <w:keepLines w:val="0"/>
                    <w:pageBreakBefore w:val="0"/>
                    <w:kinsoku/>
                    <w:wordWrap/>
                    <w:overflowPunct/>
                    <w:topLinePunct/>
                    <w:autoSpaceDE/>
                    <w:autoSpaceDN/>
                    <w:bidi w:val="0"/>
                    <w:adjustRightInd w:val="0"/>
                    <w:snapToGrid w:val="0"/>
                    <w:spacing w:line="400" w:lineRule="exact"/>
                    <w:jc w:val="center"/>
                    <w:textAlignment w:val="auto"/>
                    <w:rPr>
                      <w:rFonts w:hint="default" w:ascii="Times New Roman" w:hAnsi="Times New Roman" w:eastAsia="宋体" w:cs="Times New Roman"/>
                      <w:color w:val="000000" w:themeColor="text1"/>
                      <w:spacing w:val="0"/>
                      <w:kern w:val="2"/>
                      <w:sz w:val="21"/>
                      <w:szCs w:val="21"/>
                      <w:u w:val="none"/>
                      <w:lang w:val="en-US" w:eastAsia="zh-CN" w:bidi="ar-SA"/>
                      <w14:textFill>
                        <w14:solidFill>
                          <w14:schemeClr w14:val="tx1"/>
                        </w14:solidFill>
                      </w14:textFill>
                    </w:rPr>
                  </w:pPr>
                </w:p>
              </w:tc>
              <w:tc>
                <w:tcPr>
                  <w:tcW w:w="590" w:type="pct"/>
                  <w:vMerge w:val="continue"/>
                  <w:tcBorders>
                    <w:tl2br w:val="nil"/>
                    <w:tr2bl w:val="nil"/>
                  </w:tcBorders>
                  <w:noWrap w:val="0"/>
                  <w:vAlign w:val="center"/>
                </w:tcPr>
                <w:p>
                  <w:pPr>
                    <w:keepNext w:val="0"/>
                    <w:keepLines w:val="0"/>
                    <w:pageBreakBefore w:val="0"/>
                    <w:widowControl/>
                    <w:suppressLineNumbers w:val="0"/>
                    <w:kinsoku/>
                    <w:wordWrap/>
                    <w:overflowPunct/>
                    <w:autoSpaceDE/>
                    <w:autoSpaceDN/>
                    <w:bidi w:val="0"/>
                    <w:spacing w:line="400" w:lineRule="exact"/>
                    <w:jc w:val="center"/>
                    <w:textAlignment w:val="auto"/>
                    <w:rPr>
                      <w:rFonts w:hint="default" w:ascii="Times New Roman" w:hAnsi="Times New Roman" w:eastAsia="宋体" w:cs="Times New Roman"/>
                      <w:color w:val="000000" w:themeColor="text1"/>
                      <w:spacing w:val="0"/>
                      <w:kern w:val="24"/>
                      <w:sz w:val="21"/>
                      <w:szCs w:val="21"/>
                      <w:u w:val="none"/>
                      <w:lang w:val="en-US" w:eastAsia="zh-CN" w:bidi="ar-SA"/>
                      <w14:textFill>
                        <w14:solidFill>
                          <w14:schemeClr w14:val="tx1"/>
                        </w14:solidFill>
                      </w14:textFill>
                    </w:rPr>
                  </w:pPr>
                </w:p>
              </w:tc>
              <w:tc>
                <w:tcPr>
                  <w:tcW w:w="600" w:type="pct"/>
                  <w:tcBorders>
                    <w:tl2br w:val="nil"/>
                    <w:tr2bl w:val="nil"/>
                  </w:tcBorders>
                  <w:noWrap w:val="0"/>
                  <w:vAlign w:val="center"/>
                </w:tcPr>
                <w:p>
                  <w:pPr>
                    <w:keepNext w:val="0"/>
                    <w:keepLines w:val="0"/>
                    <w:pageBreakBefore w:val="0"/>
                    <w:widowControl/>
                    <w:suppressLineNumbers w:val="0"/>
                    <w:kinsoku/>
                    <w:wordWrap/>
                    <w:overflowPunct/>
                    <w:autoSpaceDE/>
                    <w:autoSpaceDN/>
                    <w:bidi w:val="0"/>
                    <w:spacing w:line="400" w:lineRule="exact"/>
                    <w:jc w:val="center"/>
                    <w:textAlignment w:val="auto"/>
                    <w:rPr>
                      <w:rFonts w:hint="default" w:ascii="Times New Roman" w:hAnsi="Times New Roman" w:eastAsia="宋体" w:cs="Times New Roman"/>
                      <w:color w:val="000000" w:themeColor="text1"/>
                      <w:spacing w:val="0"/>
                      <w:kern w:val="24"/>
                      <w:sz w:val="21"/>
                      <w:szCs w:val="21"/>
                      <w:u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应急监测</w:t>
                  </w:r>
                </w:p>
              </w:tc>
              <w:tc>
                <w:tcPr>
                  <w:tcW w:w="1529" w:type="pct"/>
                  <w:tcBorders>
                    <w:tl2br w:val="nil"/>
                    <w:tr2bl w:val="nil"/>
                  </w:tcBorders>
                  <w:noWrap w:val="0"/>
                  <w:vAlign w:val="center"/>
                </w:tcPr>
                <w:p>
                  <w:pPr>
                    <w:keepNext w:val="0"/>
                    <w:keepLines w:val="0"/>
                    <w:pageBreakBefore w:val="0"/>
                    <w:widowControl/>
                    <w:suppressLineNumbers w:val="0"/>
                    <w:kinsoku/>
                    <w:wordWrap/>
                    <w:overflowPunct/>
                    <w:autoSpaceDE/>
                    <w:autoSpaceDN/>
                    <w:bidi w:val="0"/>
                    <w:spacing w:line="400" w:lineRule="exact"/>
                    <w:jc w:val="center"/>
                    <w:textAlignment w:val="auto"/>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t>发现有油品污染时立即监测</w:t>
                  </w:r>
                </w:p>
              </w:tc>
              <w:tc>
                <w:tcPr>
                  <w:tcW w:w="982" w:type="pct"/>
                  <w:vMerge w:val="continue"/>
                  <w:tcBorders>
                    <w:tl2br w:val="nil"/>
                    <w:tr2bl w:val="nil"/>
                  </w:tcBorders>
                  <w:noWrap w:val="0"/>
                  <w:vAlign w:val="center"/>
                </w:tcPr>
                <w:p>
                  <w:pPr>
                    <w:keepNext w:val="0"/>
                    <w:keepLines w:val="0"/>
                    <w:pageBreakBefore w:val="0"/>
                    <w:widowControl/>
                    <w:suppressLineNumbers w:val="0"/>
                    <w:kinsoku/>
                    <w:wordWrap/>
                    <w:overflowPunct/>
                    <w:autoSpaceDE/>
                    <w:autoSpaceDN/>
                    <w:bidi w:val="0"/>
                    <w:spacing w:line="400" w:lineRule="exact"/>
                    <w:jc w:val="center"/>
                    <w:textAlignment w:val="auto"/>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pPr>
                </w:p>
              </w:tc>
              <w:tc>
                <w:tcPr>
                  <w:tcW w:w="707" w:type="pct"/>
                  <w:vMerge w:val="continue"/>
                  <w:tcBorders>
                    <w:tl2br w:val="nil"/>
                    <w:tr2bl w:val="nil"/>
                  </w:tcBorders>
                  <w:noWrap w:val="0"/>
                  <w:vAlign w:val="center"/>
                </w:tcPr>
                <w:p>
                  <w:pPr>
                    <w:keepNext w:val="0"/>
                    <w:keepLines w:val="0"/>
                    <w:pageBreakBefore w:val="0"/>
                    <w:widowControl/>
                    <w:suppressLineNumbers w:val="0"/>
                    <w:kinsoku/>
                    <w:wordWrap/>
                    <w:overflowPunct/>
                    <w:autoSpaceDE/>
                    <w:autoSpaceDN/>
                    <w:bidi w:val="0"/>
                    <w:spacing w:line="400" w:lineRule="exact"/>
                    <w:jc w:val="center"/>
                    <w:textAlignment w:val="auto"/>
                    <w:rPr>
                      <w:rFonts w:hint="default" w:ascii="Times New Roman" w:hAnsi="Times New Roman" w:eastAsia="宋体" w:cs="Times New Roman"/>
                      <w:color w:val="000000" w:themeColor="text1"/>
                      <w:kern w:val="0"/>
                      <w:sz w:val="21"/>
                      <w:szCs w:val="21"/>
                      <w:u w:val="none"/>
                      <w:lang w:val="en-US" w:eastAsia="zh-CN" w:bidi="ar"/>
                      <w14:textFill>
                        <w14:solidFill>
                          <w14:schemeClr w14:val="tx1"/>
                        </w14:solidFill>
                      </w14:textFill>
                    </w:rPr>
                  </w:pPr>
                </w:p>
              </w:tc>
            </w:tr>
          </w:tbl>
          <w:p>
            <w:pPr>
              <w:keepNext w:val="0"/>
              <w:keepLines w:val="0"/>
              <w:pageBreakBefore w:val="0"/>
              <w:widowControl w:val="0"/>
              <w:kinsoku/>
              <w:wordWrap/>
              <w:overflowPunct/>
              <w:topLinePunct w:val="0"/>
              <w:autoSpaceDE/>
              <w:autoSpaceDN/>
              <w:bidi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本项目对可能产生地下水影响的污染途径进行了有效预防，在确保各项防渗措施得以落实，并加强维护和站区环境管理的前提下，可有效控制站区内的废水下渗现象，避免污染地下水土壤环境。</w:t>
            </w:r>
          </w:p>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cs="Times New Roman"/>
                <w:b/>
                <w:bCs/>
                <w:color w:val="000000" w:themeColor="text1"/>
                <w:kern w:val="0"/>
                <w:sz w:val="24"/>
                <w:szCs w:val="24"/>
                <w14:textFill>
                  <w14:solidFill>
                    <w14:schemeClr w14:val="tx1"/>
                  </w14:solidFill>
                </w14:textFill>
              </w:rPr>
            </w:pPr>
            <w:r>
              <w:rPr>
                <w:rFonts w:hint="default" w:ascii="Times New Roman" w:hAnsi="Times New Roman" w:cs="Times New Roman"/>
                <w:b/>
                <w:bCs/>
                <w:color w:val="000000" w:themeColor="text1"/>
                <w:kern w:val="0"/>
                <w:sz w:val="24"/>
                <w:szCs w:val="24"/>
                <w14:textFill>
                  <w14:solidFill>
                    <w14:schemeClr w14:val="tx1"/>
                  </w14:solidFill>
                </w14:textFill>
              </w:rPr>
              <w:t>6、生态</w:t>
            </w:r>
          </w:p>
          <w:p>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本工程位于漯河市经济技术产业集聚区（含漯河经济开发区）</w:t>
            </w:r>
            <w:r>
              <w:rPr>
                <w:rFonts w:hint="default" w:ascii="Times New Roman" w:hAnsi="Times New Roman" w:cs="Times New Roman"/>
                <w:color w:val="000000" w:themeColor="text1"/>
                <w:kern w:val="0"/>
                <w:sz w:val="24"/>
                <w:szCs w:val="24"/>
                <w:lang w:eastAsia="zh-CN"/>
                <w14:textFill>
                  <w14:solidFill>
                    <w14:schemeClr w14:val="tx1"/>
                  </w14:solidFill>
                </w14:textFill>
              </w:rPr>
              <w:t>燕山南路与漳江东路交叉口往西北约210米</w:t>
            </w:r>
            <w:r>
              <w:rPr>
                <w:rFonts w:hint="default" w:ascii="Times New Roman" w:hAnsi="Times New Roman" w:cs="Times New Roman"/>
                <w:color w:val="000000" w:themeColor="text1"/>
                <w:kern w:val="0"/>
                <w:sz w:val="24"/>
                <w:szCs w:val="24"/>
                <w14:textFill>
                  <w14:solidFill>
                    <w14:schemeClr w14:val="tx1"/>
                  </w14:solidFill>
                </w14:textFill>
              </w:rPr>
              <w:t>，在现有站区内进行建设，不占用新的土地。用地范围内无风景名胜区、自然保护区及文化遗产等特殊保护目标，生态环境不属于敏感区。</w:t>
            </w:r>
          </w:p>
          <w:p>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default" w:ascii="Times New Roman" w:hAnsi="Times New Roman" w:cs="Times New Roman"/>
                <w:b/>
                <w:bCs/>
                <w:color w:val="000000" w:themeColor="text1"/>
                <w:kern w:val="0"/>
                <w:sz w:val="24"/>
                <w:szCs w:val="24"/>
                <w14:textFill>
                  <w14:solidFill>
                    <w14:schemeClr w14:val="tx1"/>
                  </w14:solidFill>
                </w14:textFill>
              </w:rPr>
            </w:pPr>
            <w:r>
              <w:rPr>
                <w:rFonts w:hint="default" w:ascii="Times New Roman" w:hAnsi="Times New Roman" w:cs="Times New Roman"/>
                <w:b/>
                <w:bCs/>
                <w:color w:val="000000" w:themeColor="text1"/>
                <w:kern w:val="0"/>
                <w:sz w:val="24"/>
                <w:szCs w:val="24"/>
                <w14:textFill>
                  <w14:solidFill>
                    <w14:schemeClr w14:val="tx1"/>
                  </w14:solidFill>
                </w14:textFill>
              </w:rPr>
              <w:t>7、环境风险</w:t>
            </w:r>
          </w:p>
          <w:p>
            <w:pPr>
              <w:pStyle w:val="36"/>
              <w:keepNext w:val="0"/>
              <w:keepLines w:val="0"/>
              <w:pageBreakBefore w:val="0"/>
              <w:widowControl w:val="0"/>
              <w:kinsoku/>
              <w:wordWrap/>
              <w:overflowPunct/>
              <w:topLinePunct w:val="0"/>
              <w:autoSpaceDE/>
              <w:autoSpaceDN/>
              <w:bidi w:val="0"/>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7.1风险源调查及风险物质识别</w:t>
            </w:r>
          </w:p>
          <w:p>
            <w:pPr>
              <w:pStyle w:val="36"/>
              <w:keepNext w:val="0"/>
              <w:keepLines w:val="0"/>
              <w:pageBreakBefore w:val="0"/>
              <w:widowControl w:val="0"/>
              <w:kinsoku/>
              <w:wordWrap/>
              <w:overflowPunct/>
              <w:topLinePunct w:val="0"/>
              <w:autoSpaceDE/>
              <w:autoSpaceDN/>
              <w:bidi w:val="0"/>
              <w:spacing w:line="480" w:lineRule="exac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根据《建设项目环境风险评价技术导则》（HJ169-2018），本项目主要风险物质为汽油、柴油，存在环境风险的设施主要为油品储存区、油品装卸区，风险类别主要为</w:t>
            </w:r>
            <w:r>
              <w:rPr>
                <w:rFonts w:hint="default" w:ascii="Times New Roman" w:hAnsi="Times New Roman" w:cs="Times New Roman"/>
                <w:color w:val="000000" w:themeColor="text1"/>
                <w:sz w:val="24"/>
                <w:szCs w:val="24"/>
                <w:lang w:eastAsia="zh-CN"/>
                <w14:textFill>
                  <w14:solidFill>
                    <w14:schemeClr w14:val="tx1"/>
                  </w14:solidFill>
                </w14:textFill>
              </w:rPr>
              <w:t>泄漏</w:t>
            </w:r>
            <w:r>
              <w:rPr>
                <w:rFonts w:hint="default" w:ascii="Times New Roman" w:hAnsi="Times New Roman" w:cs="Times New Roman"/>
                <w:color w:val="000000" w:themeColor="text1"/>
                <w:sz w:val="24"/>
                <w:szCs w:val="24"/>
                <w14:textFill>
                  <w14:solidFill>
                    <w14:schemeClr w14:val="tx1"/>
                  </w14:solidFill>
                </w14:textFill>
              </w:rPr>
              <w:t>、火灾与爆炸。</w:t>
            </w:r>
          </w:p>
          <w:p>
            <w:pPr>
              <w:pStyle w:val="36"/>
              <w:keepNext w:val="0"/>
              <w:keepLines w:val="0"/>
              <w:pageBreakBefore w:val="0"/>
              <w:widowControl w:val="0"/>
              <w:kinsoku/>
              <w:wordWrap/>
              <w:overflowPunct/>
              <w:topLinePunct w:val="0"/>
              <w:autoSpaceDE/>
              <w:autoSpaceDN/>
              <w:bidi w:val="0"/>
              <w:spacing w:line="480" w:lineRule="exac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A</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贮存设施风险影响途径</w:t>
            </w:r>
          </w:p>
          <w:p>
            <w:pPr>
              <w:pStyle w:val="36"/>
              <w:keepNext w:val="0"/>
              <w:keepLines w:val="0"/>
              <w:pageBreakBefore w:val="0"/>
              <w:widowControl w:val="0"/>
              <w:kinsoku/>
              <w:wordWrap/>
              <w:overflowPunct/>
              <w:topLinePunct w:val="0"/>
              <w:autoSpaceDE/>
              <w:autoSpaceDN/>
              <w:bidi w:val="0"/>
              <w:spacing w:line="480" w:lineRule="exac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本项目汽油和柴油均采用双层储罐贮存。汽油和柴油均为易燃、可燃液体，若储罐本身存在质量问题，或物料使材质腐蚀穿孔，导致物料泄漏、渗漏，遇点火源会引发火灾事故。若储罐进出口连接外接头、阀门、法兰等密封圈密封不严或破损，使危险物料发生跑、冒、滴、漏，遇火源会发生火灾事故。</w:t>
            </w:r>
          </w:p>
          <w:p>
            <w:pPr>
              <w:pStyle w:val="36"/>
              <w:keepNext w:val="0"/>
              <w:keepLines w:val="0"/>
              <w:pageBreakBefore w:val="0"/>
              <w:widowControl w:val="0"/>
              <w:kinsoku/>
              <w:wordWrap/>
              <w:overflowPunct/>
              <w:topLinePunct w:val="0"/>
              <w:autoSpaceDE/>
              <w:autoSpaceDN/>
              <w:bidi w:val="0"/>
              <w:spacing w:line="480" w:lineRule="exac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B</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运输装卸系统风险影响途径</w:t>
            </w:r>
          </w:p>
          <w:p>
            <w:pPr>
              <w:pStyle w:val="36"/>
              <w:keepNext w:val="0"/>
              <w:keepLines w:val="0"/>
              <w:pageBreakBefore w:val="0"/>
              <w:widowControl w:val="0"/>
              <w:kinsoku/>
              <w:wordWrap/>
              <w:overflowPunct/>
              <w:topLinePunct w:val="0"/>
              <w:autoSpaceDE/>
              <w:autoSpaceDN/>
              <w:bidi w:val="0"/>
              <w:spacing w:line="480" w:lineRule="exac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装车设施、设备、管道等应使用符合安全要求的设施设备，若存在安全隐患，易发生设备、管道破裂损坏，进而引发装卸的物料泄漏。</w:t>
            </w:r>
          </w:p>
          <w:p>
            <w:pPr>
              <w:pStyle w:val="36"/>
              <w:keepNext w:val="0"/>
              <w:keepLines w:val="0"/>
              <w:pageBreakBefore w:val="0"/>
              <w:widowControl w:val="0"/>
              <w:kinsoku/>
              <w:wordWrap/>
              <w:overflowPunct/>
              <w:topLinePunct w:val="0"/>
              <w:autoSpaceDE/>
              <w:autoSpaceDN/>
              <w:bidi w:val="0"/>
              <w:spacing w:line="480" w:lineRule="exac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本项目风险物质的贮存方式及最大贮存量见下表。</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表47                     项目风险物质使用及贮存情况一览表</w:t>
            </w:r>
          </w:p>
          <w:tbl>
            <w:tblPr>
              <w:tblStyle w:val="37"/>
              <w:tblW w:w="926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3"/>
              <w:gridCol w:w="1801"/>
              <w:gridCol w:w="2216"/>
              <w:gridCol w:w="1492"/>
              <w:gridCol w:w="30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33"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序号</w:t>
                  </w:r>
                </w:p>
              </w:tc>
              <w:tc>
                <w:tcPr>
                  <w:tcW w:w="1801"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物质名称</w:t>
                  </w:r>
                </w:p>
              </w:tc>
              <w:tc>
                <w:tcPr>
                  <w:tcW w:w="2216"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最大贮存量</w:t>
                  </w:r>
                  <w:r>
                    <w:rPr>
                      <w:rFonts w:hint="default" w:ascii="Times New Roman" w:hAnsi="Times New Roman" w:cs="Times New Roman"/>
                      <w:b/>
                      <w:bCs/>
                      <w:color w:val="000000" w:themeColor="text1"/>
                      <w:sz w:val="21"/>
                      <w:szCs w:val="21"/>
                      <w:lang w:val="en-US" w:eastAsia="zh-CN"/>
                      <w14:textFill>
                        <w14:solidFill>
                          <w14:schemeClr w14:val="tx1"/>
                        </w14:solidFill>
                      </w14:textFill>
                    </w:rPr>
                    <w:t>t</w:t>
                  </w:r>
                </w:p>
              </w:tc>
              <w:tc>
                <w:tcPr>
                  <w:tcW w:w="1492"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临界量</w:t>
                  </w:r>
                  <w:r>
                    <w:rPr>
                      <w:rFonts w:hint="default" w:ascii="Times New Roman" w:hAnsi="Times New Roman" w:cs="Times New Roman"/>
                      <w:b/>
                      <w:bCs/>
                      <w:color w:val="000000" w:themeColor="text1"/>
                      <w:sz w:val="21"/>
                      <w:szCs w:val="21"/>
                      <w:lang w:val="en-US" w:eastAsia="zh-CN"/>
                      <w14:textFill>
                        <w14:solidFill>
                          <w14:schemeClr w14:val="tx1"/>
                        </w14:solidFill>
                      </w14:textFill>
                    </w:rPr>
                    <w:t>t</w:t>
                  </w:r>
                </w:p>
              </w:tc>
              <w:tc>
                <w:tcPr>
                  <w:tcW w:w="3023"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形态及贮存容器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33"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1801"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汽油</w:t>
                  </w:r>
                </w:p>
              </w:tc>
              <w:tc>
                <w:tcPr>
                  <w:tcW w:w="2216"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40.5</w:t>
                  </w:r>
                </w:p>
              </w:tc>
              <w:tc>
                <w:tcPr>
                  <w:tcW w:w="1492"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2500</w:t>
                  </w:r>
                </w:p>
              </w:tc>
              <w:tc>
                <w:tcPr>
                  <w:tcW w:w="3023"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液态，SF双层卧式油罐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733"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1801"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柴油</w:t>
                  </w:r>
                </w:p>
              </w:tc>
              <w:tc>
                <w:tcPr>
                  <w:tcW w:w="2216"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48.6</w:t>
                  </w:r>
                </w:p>
              </w:tc>
              <w:tc>
                <w:tcPr>
                  <w:tcW w:w="1492"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2500</w:t>
                  </w:r>
                </w:p>
              </w:tc>
              <w:tc>
                <w:tcPr>
                  <w:tcW w:w="3023"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液态，SF双层卧式油罐</w:t>
                  </w:r>
                </w:p>
              </w:tc>
            </w:tr>
          </w:tbl>
          <w:p>
            <w:pPr>
              <w:pStyle w:val="36"/>
              <w:keepNext w:val="0"/>
              <w:keepLines w:val="0"/>
              <w:pageBreakBefore w:val="0"/>
              <w:widowControl w:val="0"/>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7.2风险潜势初判</w:t>
            </w:r>
          </w:p>
          <w:p>
            <w:pPr>
              <w:pStyle w:val="36"/>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根据 HJ169-2018 附录 B 有关规定：计算所涉及的每种危险物质在厂界内的最大存在总量与其在附录 B 中对应临界量的比值 Q。在不同厂区的同一种物质，按其在</w:t>
            </w:r>
            <w:r>
              <w:rPr>
                <w:rFonts w:hint="default" w:ascii="Times New Roman" w:hAnsi="Times New Roman" w:cs="Times New Roman"/>
                <w:color w:val="000000" w:themeColor="text1"/>
                <w:sz w:val="24"/>
                <w:szCs w:val="24"/>
                <w:lang w:eastAsia="zh-CN"/>
                <w14:textFill>
                  <w14:solidFill>
                    <w14:schemeClr w14:val="tx1"/>
                  </w14:solidFill>
                </w14:textFill>
              </w:rPr>
              <w:t>边界</w:t>
            </w:r>
            <w:r>
              <w:rPr>
                <w:rFonts w:hint="default" w:ascii="Times New Roman" w:hAnsi="Times New Roman" w:cs="Times New Roman"/>
                <w:color w:val="000000" w:themeColor="text1"/>
                <w:sz w:val="24"/>
                <w:szCs w:val="24"/>
                <w14:textFill>
                  <w14:solidFill>
                    <w14:schemeClr w14:val="tx1"/>
                  </w14:solidFill>
                </w14:textFill>
              </w:rPr>
              <w:t xml:space="preserve">内的最大存在总量计算。对于长输管线项目，按照两个截断阀室之间管线段危险物质最大存在总量计算。 当只涉及一种危险物质时，计算该物质的总量与其临界量比值，即为 Q； 当存在多种危险物质时，则按式（C.1）计算物质总量与其临界量比值（Q）： </w:t>
            </w:r>
          </w:p>
          <w:p>
            <w:pPr>
              <w:pStyle w:val="36"/>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4"/>
                <w:szCs w:val="24"/>
                <w14:textFill>
                  <w14:solidFill>
                    <w14:schemeClr w14:val="tx1"/>
                  </w14:solidFill>
                </w14:textFill>
              </w:rPr>
            </w:pPr>
            <m:oMathPara>
              <m:oMath>
                <m:r>
                  <m:rPr>
                    <m:sty m:val="p"/>
                  </m:rPr>
                  <w:rPr>
                    <w:rFonts w:hint="default" w:ascii="Cambria Math" w:hAnsi="Cambria Math" w:cs="Times New Roman"/>
                    <w:color w:val="000000" w:themeColor="text1"/>
                    <w14:textFill>
                      <w14:solidFill>
                        <w14:schemeClr w14:val="tx1"/>
                      </w14:solidFill>
                    </w14:textFill>
                  </w:rPr>
                  <m:t>Q=</m:t>
                </m:r>
                <m:f>
                  <m:fPr>
                    <m:ctrlPr>
                      <w:rPr>
                        <w:rFonts w:hint="default" w:ascii="Cambria Math" w:hAnsi="Cambria Math" w:cs="Times New Roman"/>
                        <w:color w:val="000000" w:themeColor="text1"/>
                        <w14:textFill>
                          <w14:solidFill>
                            <w14:schemeClr w14:val="tx1"/>
                          </w14:solidFill>
                        </w14:textFill>
                      </w:rPr>
                    </m:ctrlPr>
                  </m:fPr>
                  <m:num>
                    <m:sSub>
                      <m:sSubPr>
                        <m:ctrlPr>
                          <w:rPr>
                            <w:rFonts w:hint="default" w:ascii="Cambria Math" w:hAnsi="Cambria Math" w:cs="Times New Roman"/>
                            <w:i/>
                            <w:color w:val="000000" w:themeColor="text1"/>
                            <w14:textFill>
                              <w14:solidFill>
                                <w14:schemeClr w14:val="tx1"/>
                              </w14:solidFill>
                            </w14:textFill>
                          </w:rPr>
                        </m:ctrlPr>
                      </m:sSubPr>
                      <m:e>
                        <m:r>
                          <m:rPr/>
                          <w:rPr>
                            <w:rFonts w:hint="default" w:ascii="Cambria Math" w:hAnsi="Cambria Math" w:cs="Times New Roman"/>
                            <w:color w:val="000000" w:themeColor="text1"/>
                            <w14:textFill>
                              <w14:solidFill>
                                <w14:schemeClr w14:val="tx1"/>
                              </w14:solidFill>
                            </w14:textFill>
                          </w:rPr>
                          <m:t>q</m:t>
                        </m:r>
                        <m:ctrlPr>
                          <w:rPr>
                            <w:rFonts w:hint="default" w:ascii="Cambria Math" w:hAnsi="Cambria Math" w:cs="Times New Roman"/>
                            <w:color w:val="000000" w:themeColor="text1"/>
                            <w14:textFill>
                              <w14:solidFill>
                                <w14:schemeClr w14:val="tx1"/>
                              </w14:solidFill>
                            </w14:textFill>
                          </w:rPr>
                        </m:ctrlPr>
                      </m:e>
                      <m:sub>
                        <m:r>
                          <m:rPr/>
                          <w:rPr>
                            <w:rFonts w:hint="default" w:ascii="Cambria Math" w:hAnsi="Cambria Math" w:cs="Times New Roman"/>
                            <w:color w:val="000000" w:themeColor="text1"/>
                            <w14:textFill>
                              <w14:solidFill>
                                <w14:schemeClr w14:val="tx1"/>
                              </w14:solidFill>
                            </w14:textFill>
                          </w:rPr>
                          <m:t>1</m:t>
                        </m:r>
                        <m:ctrlPr>
                          <w:rPr>
                            <w:rFonts w:hint="default" w:ascii="Cambria Math" w:hAnsi="Cambria Math" w:cs="Times New Roman"/>
                            <w:color w:val="000000" w:themeColor="text1"/>
                            <w14:textFill>
                              <w14:solidFill>
                                <w14:schemeClr w14:val="tx1"/>
                              </w14:solidFill>
                            </w14:textFill>
                          </w:rPr>
                        </m:ctrlPr>
                      </m:sub>
                    </m:sSub>
                    <m:ctrlPr>
                      <w:rPr>
                        <w:rFonts w:hint="default" w:ascii="Cambria Math" w:hAnsi="Cambria Math" w:cs="Times New Roman"/>
                        <w:i/>
                        <w:color w:val="000000" w:themeColor="text1"/>
                        <w14:textFill>
                          <w14:solidFill>
                            <w14:schemeClr w14:val="tx1"/>
                          </w14:solidFill>
                        </w14:textFill>
                      </w:rPr>
                    </m:ctrlPr>
                  </m:num>
                  <m:den>
                    <m:sSub>
                      <m:sSubPr>
                        <m:ctrlPr>
                          <w:rPr>
                            <w:rFonts w:hint="default" w:ascii="Cambria Math" w:hAnsi="Cambria Math" w:cs="Times New Roman"/>
                            <w:i/>
                            <w:color w:val="000000" w:themeColor="text1"/>
                            <w14:textFill>
                              <w14:solidFill>
                                <w14:schemeClr w14:val="tx1"/>
                              </w14:solidFill>
                            </w14:textFill>
                          </w:rPr>
                        </m:ctrlPr>
                      </m:sSubPr>
                      <m:e>
                        <m:r>
                          <m:rPr/>
                          <w:rPr>
                            <w:rFonts w:hint="default" w:ascii="Cambria Math" w:hAnsi="Cambria Math" w:cs="Times New Roman"/>
                            <w:color w:val="000000" w:themeColor="text1"/>
                            <w14:textFill>
                              <w14:solidFill>
                                <w14:schemeClr w14:val="tx1"/>
                              </w14:solidFill>
                            </w14:textFill>
                          </w:rPr>
                          <m:t>Q</m:t>
                        </m:r>
                        <m:ctrlPr>
                          <w:rPr>
                            <w:rFonts w:hint="default" w:ascii="Cambria Math" w:hAnsi="Cambria Math" w:cs="Times New Roman"/>
                            <w:color w:val="000000" w:themeColor="text1"/>
                            <w14:textFill>
                              <w14:solidFill>
                                <w14:schemeClr w14:val="tx1"/>
                              </w14:solidFill>
                            </w14:textFill>
                          </w:rPr>
                        </m:ctrlPr>
                      </m:e>
                      <m:sub>
                        <m:r>
                          <m:rPr/>
                          <w:rPr>
                            <w:rFonts w:hint="default" w:ascii="Cambria Math" w:hAnsi="Cambria Math" w:cs="Times New Roman"/>
                            <w:color w:val="000000" w:themeColor="text1"/>
                            <w14:textFill>
                              <w14:solidFill>
                                <w14:schemeClr w14:val="tx1"/>
                              </w14:solidFill>
                            </w14:textFill>
                          </w:rPr>
                          <m:t>1</m:t>
                        </m:r>
                        <m:ctrlPr>
                          <w:rPr>
                            <w:rFonts w:hint="default" w:ascii="Cambria Math" w:hAnsi="Cambria Math" w:cs="Times New Roman"/>
                            <w:color w:val="000000" w:themeColor="text1"/>
                            <w14:textFill>
                              <w14:solidFill>
                                <w14:schemeClr w14:val="tx1"/>
                              </w14:solidFill>
                            </w14:textFill>
                          </w:rPr>
                        </m:ctrlPr>
                      </m:sub>
                    </m:sSub>
                    <m:ctrlPr>
                      <w:rPr>
                        <w:rFonts w:hint="default" w:ascii="Cambria Math" w:hAnsi="Cambria Math" w:cs="Times New Roman"/>
                        <w:i/>
                        <w:color w:val="000000" w:themeColor="text1"/>
                        <w14:textFill>
                          <w14:solidFill>
                            <w14:schemeClr w14:val="tx1"/>
                          </w14:solidFill>
                        </w14:textFill>
                      </w:rPr>
                    </m:ctrlPr>
                  </m:den>
                </m:f>
                <m:r>
                  <m:rPr/>
                  <w:rPr>
                    <w:rFonts w:hint="default" w:ascii="Cambria Math" w:hAnsi="Cambria Math" w:cs="Times New Roman"/>
                    <w:color w:val="000000" w:themeColor="text1"/>
                    <w14:textFill>
                      <w14:solidFill>
                        <w14:schemeClr w14:val="tx1"/>
                      </w14:solidFill>
                    </w14:textFill>
                  </w:rPr>
                  <m:t>+</m:t>
                </m:r>
                <m:f>
                  <m:fPr>
                    <m:ctrlPr>
                      <w:rPr>
                        <w:rFonts w:hint="default" w:ascii="Cambria Math" w:hAnsi="Cambria Math" w:cs="Times New Roman"/>
                        <w:color w:val="000000" w:themeColor="text1"/>
                        <w14:textFill>
                          <w14:solidFill>
                            <w14:schemeClr w14:val="tx1"/>
                          </w14:solidFill>
                        </w14:textFill>
                      </w:rPr>
                    </m:ctrlPr>
                  </m:fPr>
                  <m:num>
                    <m:sSub>
                      <m:sSubPr>
                        <m:ctrlPr>
                          <w:rPr>
                            <w:rFonts w:hint="default" w:ascii="Cambria Math" w:hAnsi="Cambria Math" w:cs="Times New Roman"/>
                            <w:i/>
                            <w:color w:val="000000" w:themeColor="text1"/>
                            <w14:textFill>
                              <w14:solidFill>
                                <w14:schemeClr w14:val="tx1"/>
                              </w14:solidFill>
                            </w14:textFill>
                          </w:rPr>
                        </m:ctrlPr>
                      </m:sSubPr>
                      <m:e>
                        <m:r>
                          <m:rPr/>
                          <w:rPr>
                            <w:rFonts w:hint="default" w:ascii="Cambria Math" w:hAnsi="Cambria Math" w:cs="Times New Roman"/>
                            <w:color w:val="000000" w:themeColor="text1"/>
                            <w14:textFill>
                              <w14:solidFill>
                                <w14:schemeClr w14:val="tx1"/>
                              </w14:solidFill>
                            </w14:textFill>
                          </w:rPr>
                          <m:t>q</m:t>
                        </m:r>
                        <m:ctrlPr>
                          <w:rPr>
                            <w:rFonts w:hint="default" w:ascii="Cambria Math" w:hAnsi="Cambria Math" w:cs="Times New Roman"/>
                            <w:color w:val="000000" w:themeColor="text1"/>
                            <w14:textFill>
                              <w14:solidFill>
                                <w14:schemeClr w14:val="tx1"/>
                              </w14:solidFill>
                            </w14:textFill>
                          </w:rPr>
                        </m:ctrlPr>
                      </m:e>
                      <m:sub>
                        <m:r>
                          <m:rPr/>
                          <w:rPr>
                            <w:rFonts w:hint="default" w:ascii="Cambria Math" w:hAnsi="Cambria Math" w:cs="Times New Roman"/>
                            <w:color w:val="000000" w:themeColor="text1"/>
                            <w14:textFill>
                              <w14:solidFill>
                                <w14:schemeClr w14:val="tx1"/>
                              </w14:solidFill>
                            </w14:textFill>
                          </w:rPr>
                          <m:t>2</m:t>
                        </m:r>
                        <m:ctrlPr>
                          <w:rPr>
                            <w:rFonts w:hint="default" w:ascii="Cambria Math" w:hAnsi="Cambria Math" w:cs="Times New Roman"/>
                            <w:color w:val="000000" w:themeColor="text1"/>
                            <w14:textFill>
                              <w14:solidFill>
                                <w14:schemeClr w14:val="tx1"/>
                              </w14:solidFill>
                            </w14:textFill>
                          </w:rPr>
                        </m:ctrlPr>
                      </m:sub>
                    </m:sSub>
                    <m:ctrlPr>
                      <w:rPr>
                        <w:rFonts w:hint="default" w:ascii="Cambria Math" w:hAnsi="Cambria Math" w:cs="Times New Roman"/>
                        <w:i/>
                        <w:color w:val="000000" w:themeColor="text1"/>
                        <w14:textFill>
                          <w14:solidFill>
                            <w14:schemeClr w14:val="tx1"/>
                          </w14:solidFill>
                        </w14:textFill>
                      </w:rPr>
                    </m:ctrlPr>
                  </m:num>
                  <m:den>
                    <m:sSub>
                      <m:sSubPr>
                        <m:ctrlPr>
                          <w:rPr>
                            <w:rFonts w:hint="default" w:ascii="Cambria Math" w:hAnsi="Cambria Math" w:cs="Times New Roman"/>
                            <w:i/>
                            <w:color w:val="000000" w:themeColor="text1"/>
                            <w14:textFill>
                              <w14:solidFill>
                                <w14:schemeClr w14:val="tx1"/>
                              </w14:solidFill>
                            </w14:textFill>
                          </w:rPr>
                        </m:ctrlPr>
                      </m:sSubPr>
                      <m:e>
                        <m:r>
                          <m:rPr/>
                          <w:rPr>
                            <w:rFonts w:hint="default" w:ascii="Cambria Math" w:hAnsi="Cambria Math" w:cs="Times New Roman"/>
                            <w:color w:val="000000" w:themeColor="text1"/>
                            <w14:textFill>
                              <w14:solidFill>
                                <w14:schemeClr w14:val="tx1"/>
                              </w14:solidFill>
                            </w14:textFill>
                          </w:rPr>
                          <m:t>Q</m:t>
                        </m:r>
                        <m:ctrlPr>
                          <w:rPr>
                            <w:rFonts w:hint="default" w:ascii="Cambria Math" w:hAnsi="Cambria Math" w:cs="Times New Roman"/>
                            <w:color w:val="000000" w:themeColor="text1"/>
                            <w14:textFill>
                              <w14:solidFill>
                                <w14:schemeClr w14:val="tx1"/>
                              </w14:solidFill>
                            </w14:textFill>
                          </w:rPr>
                        </m:ctrlPr>
                      </m:e>
                      <m:sub>
                        <m:r>
                          <m:rPr/>
                          <w:rPr>
                            <w:rFonts w:hint="default" w:ascii="Cambria Math" w:hAnsi="Cambria Math" w:cs="Times New Roman"/>
                            <w:color w:val="000000" w:themeColor="text1"/>
                            <w14:textFill>
                              <w14:solidFill>
                                <w14:schemeClr w14:val="tx1"/>
                              </w14:solidFill>
                            </w14:textFill>
                          </w:rPr>
                          <m:t>2</m:t>
                        </m:r>
                        <m:ctrlPr>
                          <w:rPr>
                            <w:rFonts w:hint="default" w:ascii="Cambria Math" w:hAnsi="Cambria Math" w:cs="Times New Roman"/>
                            <w:color w:val="000000" w:themeColor="text1"/>
                            <w14:textFill>
                              <w14:solidFill>
                                <w14:schemeClr w14:val="tx1"/>
                              </w14:solidFill>
                            </w14:textFill>
                          </w:rPr>
                        </m:ctrlPr>
                      </m:sub>
                    </m:sSub>
                    <m:ctrlPr>
                      <w:rPr>
                        <w:rFonts w:hint="default" w:ascii="Cambria Math" w:hAnsi="Cambria Math" w:cs="Times New Roman"/>
                        <w:i/>
                        <w:color w:val="000000" w:themeColor="text1"/>
                        <w14:textFill>
                          <w14:solidFill>
                            <w14:schemeClr w14:val="tx1"/>
                          </w14:solidFill>
                        </w14:textFill>
                      </w:rPr>
                    </m:ctrlPr>
                  </m:den>
                </m:f>
                <m:r>
                  <m:rPr/>
                  <w:rPr>
                    <w:rFonts w:hint="default" w:ascii="Cambria Math" w:hAnsi="Cambria Math" w:cs="Times New Roman"/>
                    <w:color w:val="000000" w:themeColor="text1"/>
                    <w14:textFill>
                      <w14:solidFill>
                        <w14:schemeClr w14:val="tx1"/>
                      </w14:solidFill>
                    </w14:textFill>
                  </w:rPr>
                  <m:t>+…</m:t>
                </m:r>
                <m:f>
                  <m:fPr>
                    <m:ctrlPr>
                      <w:rPr>
                        <w:rFonts w:hint="default" w:ascii="Cambria Math" w:hAnsi="Cambria Math" w:cs="Times New Roman"/>
                        <w:color w:val="000000" w:themeColor="text1"/>
                        <w14:textFill>
                          <w14:solidFill>
                            <w14:schemeClr w14:val="tx1"/>
                          </w14:solidFill>
                        </w14:textFill>
                      </w:rPr>
                    </m:ctrlPr>
                  </m:fPr>
                  <m:num>
                    <m:sSub>
                      <m:sSubPr>
                        <m:ctrlPr>
                          <w:rPr>
                            <w:rFonts w:hint="default" w:ascii="Cambria Math" w:hAnsi="Cambria Math" w:cs="Times New Roman"/>
                            <w:i/>
                            <w:color w:val="000000" w:themeColor="text1"/>
                            <w14:textFill>
                              <w14:solidFill>
                                <w14:schemeClr w14:val="tx1"/>
                              </w14:solidFill>
                            </w14:textFill>
                          </w:rPr>
                        </m:ctrlPr>
                      </m:sSubPr>
                      <m:e>
                        <m:r>
                          <m:rPr/>
                          <w:rPr>
                            <w:rFonts w:hint="default" w:ascii="Cambria Math" w:hAnsi="Cambria Math" w:cs="Times New Roman"/>
                            <w:color w:val="000000" w:themeColor="text1"/>
                            <w14:textFill>
                              <w14:solidFill>
                                <w14:schemeClr w14:val="tx1"/>
                              </w14:solidFill>
                            </w14:textFill>
                          </w:rPr>
                          <m:t>q</m:t>
                        </m:r>
                        <m:ctrlPr>
                          <w:rPr>
                            <w:rFonts w:hint="default" w:ascii="Cambria Math" w:hAnsi="Cambria Math" w:cs="Times New Roman"/>
                            <w:color w:val="000000" w:themeColor="text1"/>
                            <w14:textFill>
                              <w14:solidFill>
                                <w14:schemeClr w14:val="tx1"/>
                              </w14:solidFill>
                            </w14:textFill>
                          </w:rPr>
                        </m:ctrlPr>
                      </m:e>
                      <m:sub>
                        <m:r>
                          <m:rPr/>
                          <w:rPr>
                            <w:rFonts w:hint="default" w:ascii="Cambria Math" w:hAnsi="Cambria Math" w:cs="Times New Roman"/>
                            <w:color w:val="000000" w:themeColor="text1"/>
                            <w14:textFill>
                              <w14:solidFill>
                                <w14:schemeClr w14:val="tx1"/>
                              </w14:solidFill>
                            </w14:textFill>
                          </w:rPr>
                          <m:t>n</m:t>
                        </m:r>
                        <m:ctrlPr>
                          <w:rPr>
                            <w:rFonts w:hint="default" w:ascii="Cambria Math" w:hAnsi="Cambria Math" w:cs="Times New Roman"/>
                            <w:color w:val="000000" w:themeColor="text1"/>
                            <w14:textFill>
                              <w14:solidFill>
                                <w14:schemeClr w14:val="tx1"/>
                              </w14:solidFill>
                            </w14:textFill>
                          </w:rPr>
                        </m:ctrlPr>
                      </m:sub>
                    </m:sSub>
                    <m:ctrlPr>
                      <w:rPr>
                        <w:rFonts w:hint="default" w:ascii="Cambria Math" w:hAnsi="Cambria Math" w:cs="Times New Roman"/>
                        <w:i/>
                        <w:color w:val="000000" w:themeColor="text1"/>
                        <w14:textFill>
                          <w14:solidFill>
                            <w14:schemeClr w14:val="tx1"/>
                          </w14:solidFill>
                        </w14:textFill>
                      </w:rPr>
                    </m:ctrlPr>
                  </m:num>
                  <m:den>
                    <m:sSub>
                      <m:sSubPr>
                        <m:ctrlPr>
                          <w:rPr>
                            <w:rFonts w:hint="default" w:ascii="Cambria Math" w:hAnsi="Cambria Math" w:cs="Times New Roman"/>
                            <w:i/>
                            <w:color w:val="000000" w:themeColor="text1"/>
                            <w14:textFill>
                              <w14:solidFill>
                                <w14:schemeClr w14:val="tx1"/>
                              </w14:solidFill>
                            </w14:textFill>
                          </w:rPr>
                        </m:ctrlPr>
                      </m:sSubPr>
                      <m:e>
                        <m:r>
                          <m:rPr/>
                          <w:rPr>
                            <w:rFonts w:hint="default" w:ascii="Cambria Math" w:hAnsi="Cambria Math" w:cs="Times New Roman"/>
                            <w:color w:val="000000" w:themeColor="text1"/>
                            <w14:textFill>
                              <w14:solidFill>
                                <w14:schemeClr w14:val="tx1"/>
                              </w14:solidFill>
                            </w14:textFill>
                          </w:rPr>
                          <m:t>Q</m:t>
                        </m:r>
                        <m:ctrlPr>
                          <w:rPr>
                            <w:rFonts w:hint="default" w:ascii="Cambria Math" w:hAnsi="Cambria Math" w:cs="Times New Roman"/>
                            <w:color w:val="000000" w:themeColor="text1"/>
                            <w14:textFill>
                              <w14:solidFill>
                                <w14:schemeClr w14:val="tx1"/>
                              </w14:solidFill>
                            </w14:textFill>
                          </w:rPr>
                        </m:ctrlPr>
                      </m:e>
                      <m:sub>
                        <m:r>
                          <m:rPr/>
                          <w:rPr>
                            <w:rFonts w:hint="default" w:ascii="Cambria Math" w:hAnsi="Cambria Math" w:cs="Times New Roman"/>
                            <w:color w:val="000000" w:themeColor="text1"/>
                            <w14:textFill>
                              <w14:solidFill>
                                <w14:schemeClr w14:val="tx1"/>
                              </w14:solidFill>
                            </w14:textFill>
                          </w:rPr>
                          <m:t>n</m:t>
                        </m:r>
                        <m:ctrlPr>
                          <w:rPr>
                            <w:rFonts w:hint="default" w:ascii="Cambria Math" w:hAnsi="Cambria Math" w:cs="Times New Roman"/>
                            <w:color w:val="000000" w:themeColor="text1"/>
                            <w14:textFill>
                              <w14:solidFill>
                                <w14:schemeClr w14:val="tx1"/>
                              </w14:solidFill>
                            </w14:textFill>
                          </w:rPr>
                        </m:ctrlPr>
                      </m:sub>
                    </m:sSub>
                    <m:ctrlPr>
                      <w:rPr>
                        <w:rFonts w:hint="default" w:ascii="Cambria Math" w:hAnsi="Cambria Math" w:cs="Times New Roman"/>
                        <w:i/>
                        <w:color w:val="000000" w:themeColor="text1"/>
                        <w14:textFill>
                          <w14:solidFill>
                            <w14:schemeClr w14:val="tx1"/>
                          </w14:solidFill>
                        </w14:textFill>
                      </w:rPr>
                    </m:ctrlPr>
                  </m:den>
                </m:f>
              </m:oMath>
            </m:oMathPara>
          </w:p>
          <w:p>
            <w:pPr>
              <w:pStyle w:val="36"/>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式中：q</w:t>
            </w:r>
            <w:r>
              <w:rPr>
                <w:rFonts w:hint="default" w:ascii="Times New Roman" w:hAnsi="Times New Roman" w:cs="Times New Roman"/>
                <w:color w:val="000000" w:themeColor="text1"/>
                <w:sz w:val="24"/>
                <w:szCs w:val="24"/>
                <w:vertAlign w:val="subscript"/>
                <w14:textFill>
                  <w14:solidFill>
                    <w14:schemeClr w14:val="tx1"/>
                  </w14:solidFill>
                </w14:textFill>
              </w:rPr>
              <w:t>1</w:t>
            </w:r>
            <w:r>
              <w:rPr>
                <w:rFonts w:hint="default" w:ascii="Times New Roman" w:hAnsi="Times New Roman" w:cs="Times New Roman"/>
                <w:color w:val="000000" w:themeColor="text1"/>
                <w:sz w:val="24"/>
                <w:szCs w:val="24"/>
                <w14:textFill>
                  <w14:solidFill>
                    <w14:schemeClr w14:val="tx1"/>
                  </w14:solidFill>
                </w14:textFill>
              </w:rPr>
              <w:t>，q</w:t>
            </w:r>
            <w:r>
              <w:rPr>
                <w:rFonts w:hint="default" w:ascii="Times New Roman" w:hAnsi="Times New Roman" w:cs="Times New Roman"/>
                <w:color w:val="000000" w:themeColor="text1"/>
                <w:sz w:val="24"/>
                <w:szCs w:val="24"/>
                <w:vertAlign w:val="subscript"/>
                <w14:textFill>
                  <w14:solidFill>
                    <w14:schemeClr w14:val="tx1"/>
                  </w14:solidFill>
                </w14:textFill>
              </w:rPr>
              <w:t>2</w:t>
            </w:r>
            <w:r>
              <w:rPr>
                <w:rFonts w:hint="default" w:ascii="Times New Roman" w:hAnsi="Times New Roman" w:cs="Times New Roman"/>
                <w:color w:val="000000" w:themeColor="text1"/>
                <w:sz w:val="24"/>
                <w:szCs w:val="24"/>
                <w14:textFill>
                  <w14:solidFill>
                    <w14:schemeClr w14:val="tx1"/>
                  </w14:solidFill>
                </w14:textFill>
              </w:rPr>
              <w:t>，...，q</w:t>
            </w:r>
            <w:r>
              <w:rPr>
                <w:rFonts w:hint="default" w:ascii="Times New Roman" w:hAnsi="Times New Roman" w:cs="Times New Roman"/>
                <w:color w:val="000000" w:themeColor="text1"/>
                <w:sz w:val="24"/>
                <w:szCs w:val="24"/>
                <w:vertAlign w:val="subscript"/>
                <w14:textFill>
                  <w14:solidFill>
                    <w14:schemeClr w14:val="tx1"/>
                  </w14:solidFill>
                </w14:textFill>
              </w:rPr>
              <w:t>n</w:t>
            </w:r>
            <w:r>
              <w:rPr>
                <w:rFonts w:hint="default" w:ascii="Times New Roman" w:hAnsi="Times New Roman" w:cs="Times New Roman"/>
                <w:color w:val="000000" w:themeColor="text1"/>
                <w:sz w:val="24"/>
                <w:szCs w:val="24"/>
                <w14:textFill>
                  <w14:solidFill>
                    <w14:schemeClr w14:val="tx1"/>
                  </w14:solidFill>
                </w14:textFill>
              </w:rPr>
              <w:t xml:space="preserve">——每种危险物质的最大存在总量，t； </w:t>
            </w:r>
          </w:p>
          <w:p>
            <w:pPr>
              <w:pStyle w:val="36"/>
              <w:keepNext w:val="0"/>
              <w:keepLines w:val="0"/>
              <w:pageBreakBefore w:val="0"/>
              <w:widowControl w:val="0"/>
              <w:kinsoku/>
              <w:wordWrap/>
              <w:overflowPunct/>
              <w:topLinePunct w:val="0"/>
              <w:autoSpaceDE/>
              <w:autoSpaceDN/>
              <w:bidi w:val="0"/>
              <w:adjustRightInd/>
              <w:snapToGrid/>
              <w:spacing w:line="480" w:lineRule="exact"/>
              <w:ind w:firstLine="1200" w:firstLineChars="5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Q</w:t>
            </w:r>
            <w:r>
              <w:rPr>
                <w:rFonts w:hint="default" w:ascii="Times New Roman" w:hAnsi="Times New Roman" w:cs="Times New Roman"/>
                <w:color w:val="000000" w:themeColor="text1"/>
                <w:sz w:val="24"/>
                <w:szCs w:val="24"/>
                <w:vertAlign w:val="subscript"/>
                <w14:textFill>
                  <w14:solidFill>
                    <w14:schemeClr w14:val="tx1"/>
                  </w14:solidFill>
                </w14:textFill>
              </w:rPr>
              <w:t>1</w:t>
            </w:r>
            <w:r>
              <w:rPr>
                <w:rFonts w:hint="default" w:ascii="Times New Roman" w:hAnsi="Times New Roman" w:cs="Times New Roman"/>
                <w:color w:val="000000" w:themeColor="text1"/>
                <w:sz w:val="24"/>
                <w:szCs w:val="24"/>
                <w14:textFill>
                  <w14:solidFill>
                    <w14:schemeClr w14:val="tx1"/>
                  </w14:solidFill>
                </w14:textFill>
              </w:rPr>
              <w:t>， Q</w:t>
            </w:r>
            <w:r>
              <w:rPr>
                <w:rFonts w:hint="default" w:ascii="Times New Roman" w:hAnsi="Times New Roman" w:cs="Times New Roman"/>
                <w:color w:val="000000" w:themeColor="text1"/>
                <w:sz w:val="24"/>
                <w:szCs w:val="24"/>
                <w:vertAlign w:val="subscript"/>
                <w14:textFill>
                  <w14:solidFill>
                    <w14:schemeClr w14:val="tx1"/>
                  </w14:solidFill>
                </w14:textFill>
              </w:rPr>
              <w:t>2</w:t>
            </w:r>
            <w:r>
              <w:rPr>
                <w:rFonts w:hint="default" w:ascii="Times New Roman" w:hAnsi="Times New Roman" w:cs="Times New Roman"/>
                <w:color w:val="000000" w:themeColor="text1"/>
                <w:sz w:val="24"/>
                <w:szCs w:val="24"/>
                <w14:textFill>
                  <w14:solidFill>
                    <w14:schemeClr w14:val="tx1"/>
                  </w14:solidFill>
                </w14:textFill>
              </w:rPr>
              <w:t>，... ，Q</w:t>
            </w:r>
            <w:r>
              <w:rPr>
                <w:rFonts w:hint="default" w:ascii="Times New Roman" w:hAnsi="Times New Roman" w:cs="Times New Roman"/>
                <w:color w:val="000000" w:themeColor="text1"/>
                <w:sz w:val="24"/>
                <w:szCs w:val="24"/>
                <w:vertAlign w:val="subscript"/>
                <w14:textFill>
                  <w14:solidFill>
                    <w14:schemeClr w14:val="tx1"/>
                  </w14:solidFill>
                </w14:textFill>
              </w:rPr>
              <w:t>n</w:t>
            </w:r>
            <w:r>
              <w:rPr>
                <w:rFonts w:hint="default" w:ascii="Times New Roman" w:hAnsi="Times New Roman" w:cs="Times New Roman"/>
                <w:color w:val="000000" w:themeColor="text1"/>
                <w:sz w:val="24"/>
                <w:szCs w:val="24"/>
                <w14:textFill>
                  <w14:solidFill>
                    <w14:schemeClr w14:val="tx1"/>
                  </w14:solidFill>
                </w14:textFill>
              </w:rPr>
              <w:t xml:space="preserve">——每种危险物质的临界量，t。 </w:t>
            </w:r>
          </w:p>
          <w:p>
            <w:pPr>
              <w:pStyle w:val="36"/>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当 Q＜1 时，该项目环境风险潜势为Ⅰ。 </w:t>
            </w:r>
          </w:p>
          <w:p>
            <w:pPr>
              <w:pStyle w:val="36"/>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当 Q≥1 时，将 Q 值划分为：（1）1≤Q＜10；（2）10≤Q＜100；（3）Q≥100。 </w:t>
            </w:r>
          </w:p>
          <w:p>
            <w:pPr>
              <w:pStyle w:val="36"/>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参照《建设项目环境风险评价技术导则》（HJ 169-2018），项目风险物质最大贮存量及临界量见下表。</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表48                   涉及危险物质q值和Q值一览表</w:t>
            </w:r>
          </w:p>
          <w:tbl>
            <w:tblPr>
              <w:tblStyle w:val="37"/>
              <w:tblW w:w="920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94"/>
              <w:gridCol w:w="1750"/>
              <w:gridCol w:w="1667"/>
              <w:gridCol w:w="2217"/>
              <w:gridCol w:w="1375"/>
              <w:gridCol w:w="130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4"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序号</w:t>
                  </w:r>
                </w:p>
              </w:tc>
              <w:tc>
                <w:tcPr>
                  <w:tcW w:w="1750"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物质名称</w:t>
                  </w:r>
                </w:p>
              </w:tc>
              <w:tc>
                <w:tcPr>
                  <w:tcW w:w="1667"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临界量（t）</w:t>
                  </w:r>
                </w:p>
              </w:tc>
              <w:tc>
                <w:tcPr>
                  <w:tcW w:w="2217"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最大存在总量（t）</w:t>
                  </w:r>
                </w:p>
              </w:tc>
              <w:tc>
                <w:tcPr>
                  <w:tcW w:w="1375"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q</w:t>
                  </w:r>
                  <w:r>
                    <w:rPr>
                      <w:rFonts w:hint="default" w:ascii="Times New Roman" w:hAnsi="Times New Roman" w:cs="Times New Roman"/>
                      <w:b/>
                      <w:bCs/>
                      <w:color w:val="000000" w:themeColor="text1"/>
                      <w:sz w:val="21"/>
                      <w:szCs w:val="21"/>
                      <w:vertAlign w:val="subscript"/>
                      <w14:textFill>
                        <w14:solidFill>
                          <w14:schemeClr w14:val="tx1"/>
                        </w14:solidFill>
                      </w14:textFill>
                    </w:rPr>
                    <w:t>i</w:t>
                  </w:r>
                  <w:r>
                    <w:rPr>
                      <w:rFonts w:hint="default" w:ascii="Times New Roman" w:hAnsi="Times New Roman" w:cs="Times New Roman"/>
                      <w:b/>
                      <w:bCs/>
                      <w:color w:val="000000" w:themeColor="text1"/>
                      <w:sz w:val="21"/>
                      <w:szCs w:val="21"/>
                      <w14:textFill>
                        <w14:solidFill>
                          <w14:schemeClr w14:val="tx1"/>
                        </w14:solidFill>
                      </w14:textFill>
                    </w:rPr>
                    <w:t>/Q</w:t>
                  </w:r>
                  <w:r>
                    <w:rPr>
                      <w:rFonts w:hint="default" w:ascii="Times New Roman" w:hAnsi="Times New Roman" w:cs="Times New Roman"/>
                      <w:b/>
                      <w:bCs/>
                      <w:color w:val="000000" w:themeColor="text1"/>
                      <w:sz w:val="21"/>
                      <w:szCs w:val="21"/>
                      <w:vertAlign w:val="subscript"/>
                      <w14:textFill>
                        <w14:solidFill>
                          <w14:schemeClr w14:val="tx1"/>
                        </w14:solidFill>
                      </w14:textFill>
                    </w:rPr>
                    <w:t>i</w:t>
                  </w:r>
                </w:p>
              </w:tc>
              <w:tc>
                <w:tcPr>
                  <w:tcW w:w="1304"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Q</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4"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w:t>
                  </w:r>
                </w:p>
              </w:tc>
              <w:tc>
                <w:tcPr>
                  <w:tcW w:w="1750"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汽油</w:t>
                  </w:r>
                </w:p>
              </w:tc>
              <w:tc>
                <w:tcPr>
                  <w:tcW w:w="1667"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2500</w:t>
                  </w:r>
                </w:p>
              </w:tc>
              <w:tc>
                <w:tcPr>
                  <w:tcW w:w="2217"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40.5</w:t>
                  </w:r>
                </w:p>
              </w:tc>
              <w:tc>
                <w:tcPr>
                  <w:tcW w:w="1375"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0.0162</w:t>
                  </w:r>
                </w:p>
              </w:tc>
              <w:tc>
                <w:tcPr>
                  <w:tcW w:w="1304"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0.0162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894"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w:t>
                  </w:r>
                </w:p>
              </w:tc>
              <w:tc>
                <w:tcPr>
                  <w:tcW w:w="1750"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柴油</w:t>
                  </w:r>
                </w:p>
              </w:tc>
              <w:tc>
                <w:tcPr>
                  <w:tcW w:w="1667"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2500</w:t>
                  </w:r>
                </w:p>
              </w:tc>
              <w:tc>
                <w:tcPr>
                  <w:tcW w:w="2217"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48.6</w:t>
                  </w:r>
                </w:p>
              </w:tc>
              <w:tc>
                <w:tcPr>
                  <w:tcW w:w="1375"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0.0194</w:t>
                  </w:r>
                </w:p>
              </w:tc>
              <w:tc>
                <w:tcPr>
                  <w:tcW w:w="1304"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0.0194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7903" w:type="dxa"/>
                  <w:gridSpan w:val="5"/>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Σq/Q</w:t>
                  </w:r>
                </w:p>
              </w:tc>
              <w:tc>
                <w:tcPr>
                  <w:tcW w:w="1304" w:type="dxa"/>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0.0356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207" w:type="dxa"/>
                  <w:gridSpan w:val="6"/>
                  <w:tcBorders>
                    <w:tl2br w:val="nil"/>
                    <w:tr2bl w:val="nil"/>
                  </w:tcBorders>
                  <w:noWrap w:val="0"/>
                  <w:vAlign w:val="center"/>
                </w:tcPr>
                <w:p>
                  <w:pPr>
                    <w:pStyle w:val="36"/>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default" w:ascii="Times New Roman" w:hAnsi="Times New Roman"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备注：汽油相对密度（水=1）0.70~0.79，取0.75，柴油相对密度（水=1）0.87~0.9，取0.9，储罐最大暂存90%</w:t>
                  </w:r>
                </w:p>
              </w:tc>
            </w:tr>
          </w:tbl>
          <w:p>
            <w:pPr>
              <w:pStyle w:val="36"/>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由上表可知，本项目Q值为</w:t>
            </w:r>
            <w:r>
              <w:rPr>
                <w:rFonts w:hint="default" w:ascii="Times New Roman" w:hAnsi="Times New Roman" w:cs="Times New Roman"/>
                <w:color w:val="000000" w:themeColor="text1"/>
                <w:sz w:val="24"/>
                <w:szCs w:val="24"/>
                <w:lang w:val="en-US" w:eastAsia="zh-CN"/>
                <w14:textFill>
                  <w14:solidFill>
                    <w14:schemeClr w14:val="tx1"/>
                  </w14:solidFill>
                </w14:textFill>
              </w:rPr>
              <w:t>0.0356</w:t>
            </w:r>
            <w:r>
              <w:rPr>
                <w:rFonts w:hint="default" w:ascii="Times New Roman" w:hAnsi="Times New Roman" w:cs="Times New Roman"/>
                <w:color w:val="000000" w:themeColor="text1"/>
                <w:sz w:val="24"/>
                <w:szCs w:val="24"/>
                <w14:textFill>
                  <w14:solidFill>
                    <w14:schemeClr w14:val="tx1"/>
                  </w14:solidFill>
                </w14:textFill>
              </w:rPr>
              <w:t>＜1，本项目环境风险潜势为Ⅰ级。</w:t>
            </w:r>
          </w:p>
          <w:p>
            <w:pPr>
              <w:pStyle w:val="36"/>
              <w:keepNext w:val="0"/>
              <w:keepLines w:val="0"/>
              <w:pageBreakBefore w:val="0"/>
              <w:widowControl w:val="0"/>
              <w:kinsoku/>
              <w:wordWrap/>
              <w:overflowPunct/>
              <w:topLinePunct w:val="0"/>
              <w:autoSpaceDE/>
              <w:autoSpaceDN/>
              <w:bidi w:val="0"/>
              <w:spacing w:line="480" w:lineRule="exact"/>
              <w:ind w:left="0" w:leftChars="0"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7.3环境风险防范措施</w:t>
            </w:r>
          </w:p>
          <w:p>
            <w:pPr>
              <w:pStyle w:val="36"/>
              <w:keepNext w:val="0"/>
              <w:keepLines w:val="0"/>
              <w:pageBreakBefore w:val="0"/>
              <w:widowControl w:val="0"/>
              <w:numPr>
                <w:ilvl w:val="0"/>
                <w:numId w:val="0"/>
              </w:numPr>
              <w:kinsoku/>
              <w:wordWrap/>
              <w:overflowPunct/>
              <w:topLinePunct w:val="0"/>
              <w:autoSpaceDE/>
              <w:autoSpaceDN/>
              <w:bidi w:val="0"/>
              <w:spacing w:line="480" w:lineRule="exact"/>
              <w:ind w:left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1</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地表水环境风险防范措施 </w:t>
            </w:r>
          </w:p>
          <w:p>
            <w:pPr>
              <w:pStyle w:val="36"/>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项目储罐区做重点防渗。项目储油罐采用双层卧式油罐，具有良好的防腐性能。且设置有液位计、液位管理系统、液位报警装置，液位计和液位管理系统能够准确显示和管理罐内液位，如果发生油罐较大量泄漏，液位报警装置能够发出警告，可在第一时间发现泄漏事故，采取紧急处理措施处理泄漏的油品。因此，项目对周围地表水环境的影响较小。 </w:t>
            </w:r>
          </w:p>
          <w:p>
            <w:pPr>
              <w:pStyle w:val="36"/>
              <w:keepNext w:val="0"/>
              <w:keepLines w:val="0"/>
              <w:pageBreakBefore w:val="0"/>
              <w:widowControl w:val="0"/>
              <w:numPr>
                <w:ilvl w:val="0"/>
                <w:numId w:val="0"/>
              </w:numPr>
              <w:kinsoku/>
              <w:wordWrap/>
              <w:overflowPunct/>
              <w:topLinePunct w:val="0"/>
              <w:autoSpaceDE/>
              <w:autoSpaceDN/>
              <w:bidi w:val="0"/>
              <w:spacing w:line="480" w:lineRule="exact"/>
              <w:ind w:left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2</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大气环境风险防范措施 </w:t>
            </w:r>
          </w:p>
          <w:p>
            <w:pPr>
              <w:pStyle w:val="36"/>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本项目汽油、柴油泄漏、火灾和爆炸均会引起大气污染，甚至危及生命财产安全。发生突发环境事件要求企业首先停止营业，另外要求企业加油站站房房顶周围应安插彩旗，以方便在突发环境事件发生时判断风向。企业建立应急组织机构，若发生火灾和爆炸突发环境事件，企业应急小组将立即组织灭火和疏散周围群众，并向上风向撤离。 </w:t>
            </w:r>
          </w:p>
          <w:p>
            <w:pPr>
              <w:pStyle w:val="36"/>
              <w:keepNext w:val="0"/>
              <w:keepLines w:val="0"/>
              <w:pageBreakBefore w:val="0"/>
              <w:widowControl w:val="0"/>
              <w:numPr>
                <w:ilvl w:val="0"/>
                <w:numId w:val="0"/>
              </w:numPr>
              <w:kinsoku/>
              <w:wordWrap/>
              <w:overflowPunct/>
              <w:topLinePunct w:val="0"/>
              <w:autoSpaceDE/>
              <w:autoSpaceDN/>
              <w:bidi w:val="0"/>
              <w:spacing w:line="480" w:lineRule="exact"/>
              <w:ind w:left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3</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地下水环境风险防范措施 </w:t>
            </w:r>
          </w:p>
          <w:p>
            <w:pPr>
              <w:pStyle w:val="36"/>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为了防止加油站地下水污染，要以防为主，防治结合，把预防污染作为基本原则，把治理作为补救措施。建设单位加油站设置双层罐；储油罐要经常检修，发现水泥地面破坏、有裂痕要及时修补。当日常监测中发现加油站罐区发生油品泄漏，火灾、爆炸或者地下水中任一特征指标超标，需开展地下水环境调查，确定是否发生污染、污染程度和范围，并开展相应的地下水污染控制和治理。在严格落实本环评提出的各项防范措施后，可以有效地防治地下水污染，对地下水环境影响很小。 </w:t>
            </w:r>
          </w:p>
          <w:p>
            <w:pPr>
              <w:pStyle w:val="36"/>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4</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防火防爆措施</w:t>
            </w:r>
          </w:p>
          <w:p>
            <w:pPr>
              <w:pStyle w:val="36"/>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①总图布置满足防火防爆规范要求。加油站内设施、装置之间的防火距离满足规范要求，并设有相通的消防通道，以形成站内消防通道网，对可能散发油气的装置布置在站区边沿的下风口。 </w:t>
            </w:r>
          </w:p>
          <w:p>
            <w:pPr>
              <w:pStyle w:val="36"/>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②动力配线采用直埋和沿框架穿钢管敷设等方式。加油机内选用阻燃电力电缆。</w:t>
            </w:r>
          </w:p>
          <w:p>
            <w:pPr>
              <w:pStyle w:val="36"/>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③在设备检修及进行置换、清洗时，检修的设备与系统彻底的断开、隔离，不违章进行动火、烧焊作业，减少发生爆炸的危险。 </w:t>
            </w:r>
          </w:p>
          <w:p>
            <w:pPr>
              <w:pStyle w:val="36"/>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④进罐作业或检修时，使用防爆或有保护罩的照明灯，防止灯泡接口产生电火花，或因没有保护罩，作业人员不慎将灯泡碰破，造成灯丝暴露，而引发火灾的危险。</w:t>
            </w:r>
          </w:p>
          <w:p>
            <w:pPr>
              <w:pStyle w:val="36"/>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⑤汽油储罐按照规定设计、设置避雷器并定期进行检测，保持避雷器始终处于良好状态，否则有可能出现雷击而造成火灾爆炸泄漏事故。 </w:t>
            </w:r>
          </w:p>
          <w:p>
            <w:pPr>
              <w:pStyle w:val="36"/>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⑥储罐属于“禁火区”，机动车辆不得随意进入，若要进入一定要加防火罩。不得违章动火，检修动焊时应申报到安全管理部门，进行可燃物监测并达到合格，安全管理部门现场检查、批准，作好防护措施，办理“动火证”后，焊工持证才允 许动火，否则，存在动焊引发火灾爆炸的危险。 </w:t>
            </w:r>
          </w:p>
          <w:p>
            <w:pPr>
              <w:pStyle w:val="36"/>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⑦罐区内的可燃液体是靠汽车运输，严格对汽车槽车的危化品运输资质进行管理，应保证各种证件齐全有效。同时严格按规程装槽车，如没有良好接地，或物料流速太快等，有造成火灾爆炸的危险。</w:t>
            </w:r>
          </w:p>
          <w:p>
            <w:pPr>
              <w:pStyle w:val="36"/>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⑧项目按照《建筑设计防火规范》（GB50016</w:t>
            </w:r>
            <w:r>
              <w:rPr>
                <w:rFonts w:hint="default" w:ascii="Times New Roman" w:hAnsi="Times New Roman"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2006）、《汽车加油加气加氢站技术标准》（GB50156-2021）、《建筑灭火器配置设计规范》（GB50140</w:t>
            </w:r>
            <w:r>
              <w:rPr>
                <w:rFonts w:hint="default" w:ascii="Times New Roman" w:hAnsi="Times New Roman"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2005）、《爆炸和火灾危险场所电力装置设计规范》（GB50058</w:t>
            </w:r>
            <w:r>
              <w:rPr>
                <w:rFonts w:hint="default" w:ascii="Times New Roman" w:hAnsi="Times New Roman" w:cs="Times New Roman"/>
                <w:color w:val="000000" w:themeColor="text1"/>
                <w:sz w:val="24"/>
                <w:szCs w:val="24"/>
                <w:lang w:val="en-US"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92）等设计规范，加油站设置灭火器，灭火毯，消防沙箱等，分别就近布置在加油区、站房、配电室和储罐区等场所。 </w:t>
            </w:r>
          </w:p>
          <w:p>
            <w:pPr>
              <w:pStyle w:val="36"/>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⑨储罐均为埋地卧式油罐，站内设置防雷、防静电设施，爆炸危险区内的用电设备采用防爆设备。</w:t>
            </w:r>
          </w:p>
          <w:p>
            <w:pPr>
              <w:pStyle w:val="36"/>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lang w:val="en-US" w:eastAsia="zh-CN"/>
                <w14:textFill>
                  <w14:solidFill>
                    <w14:schemeClr w14:val="tx1"/>
                  </w14:solidFill>
                </w14:textFill>
              </w:rPr>
              <w:t>5</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防止油气泄漏的措施</w:t>
            </w:r>
          </w:p>
          <w:p>
            <w:pPr>
              <w:pStyle w:val="36"/>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根据《河南省减少污染物排放条例》第二十八条规定，油库、加油站、油罐车应当按照国家规定建设安装油气回收系统，并保证正常运行。为了降低环境风险，建议加油站采取以下措施： </w:t>
            </w:r>
          </w:p>
          <w:p>
            <w:pPr>
              <w:pStyle w:val="36"/>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 xml:space="preserve">①安装卸油、加油油气回收系统。 </w:t>
            </w:r>
          </w:p>
          <w:p>
            <w:pPr>
              <w:pStyle w:val="36"/>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②做好应急预案和应急措施，加强管理和演练</w:t>
            </w:r>
            <w:r>
              <w:rPr>
                <w:rFonts w:hint="default" w:ascii="Times New Roman" w:hAnsi="Times New Roman" w:cs="Times New Roman"/>
                <w:color w:val="000000" w:themeColor="text1"/>
                <w:sz w:val="24"/>
                <w:szCs w:val="24"/>
                <w:lang w:eastAsia="zh-CN"/>
                <w14:textFill>
                  <w14:solidFill>
                    <w14:schemeClr w14:val="tx1"/>
                  </w14:solidFill>
                </w14:textFill>
              </w:rPr>
              <w:t>。</w:t>
            </w:r>
          </w:p>
          <w:p>
            <w:pPr>
              <w:pStyle w:val="36"/>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③在事故发生时启动应急预案，当发生事故时，立即向消防部门报警，向联防单位求援，并向相关部门报告</w:t>
            </w:r>
            <w:r>
              <w:rPr>
                <w:rFonts w:hint="default" w:ascii="Times New Roman" w:hAnsi="Times New Roman" w:cs="Times New Roman"/>
                <w:color w:val="000000" w:themeColor="text1"/>
                <w:sz w:val="24"/>
                <w:szCs w:val="24"/>
                <w:lang w:eastAsia="zh-CN"/>
                <w14:textFill>
                  <w14:solidFill>
                    <w14:schemeClr w14:val="tx1"/>
                  </w14:solidFill>
                </w14:textFill>
              </w:rPr>
              <w:t>。</w:t>
            </w:r>
          </w:p>
          <w:p>
            <w:pPr>
              <w:pStyle w:val="36"/>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④发生事故后，应停止加油，指挥车辆及无关人员迅速撤离；终止加油站内一切生产作业，关闭所有成品油输送闸阀；疏散事故现场易燃易爆物品，防止次生事故发生；拉响站内警铃，通知并组织周围居民和无关人员撤离到安全区域</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w:t>
            </w:r>
          </w:p>
          <w:p>
            <w:pPr>
              <w:pStyle w:val="36"/>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⑤对事故现场周围实行警戒，对无关人员及车辆进行紧急疏散，指定员工在路口引导外来力量或公安消防车入站，确保消防道路畅通，切实做好交通管制工 作，禁止无关人员及车辆进入</w:t>
            </w:r>
            <w:r>
              <w:rPr>
                <w:rFonts w:hint="default" w:ascii="Times New Roman" w:hAnsi="Times New Roman" w:cs="Times New Roman"/>
                <w:color w:val="000000" w:themeColor="text1"/>
                <w:sz w:val="24"/>
                <w:szCs w:val="24"/>
                <w:lang w:eastAsia="zh-CN"/>
                <w14:textFill>
                  <w14:solidFill>
                    <w14:schemeClr w14:val="tx1"/>
                  </w14:solidFill>
                </w14:textFill>
              </w:rPr>
              <w:t>。</w:t>
            </w:r>
            <w:r>
              <w:rPr>
                <w:rFonts w:hint="default" w:ascii="Times New Roman" w:hAnsi="Times New Roman" w:cs="Times New Roman"/>
                <w:color w:val="000000" w:themeColor="text1"/>
                <w:sz w:val="24"/>
                <w:szCs w:val="24"/>
                <w14:textFill>
                  <w14:solidFill>
                    <w14:schemeClr w14:val="tx1"/>
                  </w14:solidFill>
                </w14:textFill>
              </w:rPr>
              <w:t xml:space="preserve"> </w:t>
            </w:r>
          </w:p>
          <w:p>
            <w:pPr>
              <w:pStyle w:val="36"/>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⑥事故排除后，及时清理，防止环境污染，组织查找事故原因，总结事故教训。</w:t>
            </w:r>
          </w:p>
          <w:p>
            <w:pPr>
              <w:pStyle w:val="36"/>
              <w:keepNext w:val="0"/>
              <w:keepLines w:val="0"/>
              <w:pageBreakBefore w:val="0"/>
              <w:widowControl w:val="0"/>
              <w:kinsoku/>
              <w:wordWrap/>
              <w:overflowPunct/>
              <w:topLinePunct w:val="0"/>
              <w:autoSpaceDE/>
              <w:autoSpaceDN/>
              <w:bidi w:val="0"/>
              <w:spacing w:line="480" w:lineRule="exact"/>
              <w:ind w:left="0" w:leftChars="0" w:firstLine="480" w:firstLineChars="200"/>
              <w:textAlignment w:val="auto"/>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综上所述，在采取工程防护及风险防范措施基础上，本项目环境风险水平可接受。</w:t>
            </w:r>
          </w:p>
          <w:p>
            <w:pPr>
              <w:pStyle w:val="36"/>
              <w:keepNext w:val="0"/>
              <w:keepLines w:val="0"/>
              <w:pageBreakBefore w:val="0"/>
              <w:widowControl w:val="0"/>
              <w:kinsoku/>
              <w:wordWrap/>
              <w:overflowPunct/>
              <w:topLinePunct w:val="0"/>
              <w:autoSpaceDE/>
              <w:autoSpaceDN/>
              <w:bidi w:val="0"/>
              <w:spacing w:line="480" w:lineRule="exact"/>
              <w:ind w:left="0" w:leftChars="0" w:firstLine="482" w:firstLineChars="200"/>
              <w:textAlignment w:val="auto"/>
              <w:rPr>
                <w:rFonts w:hint="default" w:ascii="Times New Roman" w:hAnsi="Times New Roman" w:cs="Times New Roman"/>
                <w:b/>
                <w:bCs/>
                <w:color w:val="000000" w:themeColor="text1"/>
                <w:sz w:val="24"/>
                <w:szCs w:val="24"/>
                <w14:textFill>
                  <w14:solidFill>
                    <w14:schemeClr w14:val="tx1"/>
                  </w14:solidFill>
                </w14:textFill>
              </w:rPr>
            </w:pPr>
            <w:r>
              <w:rPr>
                <w:rFonts w:hint="default" w:ascii="Times New Roman" w:hAnsi="Times New Roman" w:cs="Times New Roman"/>
                <w:b/>
                <w:bCs/>
                <w:color w:val="000000" w:themeColor="text1"/>
                <w:sz w:val="24"/>
                <w:szCs w:val="24"/>
                <w14:textFill>
                  <w14:solidFill>
                    <w14:schemeClr w14:val="tx1"/>
                  </w14:solidFill>
                </w14:textFill>
              </w:rPr>
              <w:t>8、电磁辐射</w:t>
            </w:r>
          </w:p>
          <w:p>
            <w:pPr>
              <w:keepNext w:val="0"/>
              <w:keepLines w:val="0"/>
              <w:pageBreakBefore w:val="0"/>
              <w:widowControl w:val="0"/>
              <w:kinsoku/>
              <w:wordWrap/>
              <w:overflowPunct/>
              <w:topLinePunct w:val="0"/>
              <w:autoSpaceDE/>
              <w:autoSpaceDN/>
              <w:bidi w:val="0"/>
              <w:adjustRightInd w:val="0"/>
              <w:snapToGrid w:val="0"/>
              <w:spacing w:line="480" w:lineRule="exact"/>
              <w:ind w:left="0" w:leftChars="0" w:firstLine="480" w:firstLineChars="200"/>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不涉及。</w:t>
            </w:r>
          </w:p>
          <w:p>
            <w:pPr>
              <w:pStyle w:val="36"/>
              <w:keepNext w:val="0"/>
              <w:keepLines w:val="0"/>
              <w:pageBreakBefore w:val="0"/>
              <w:widowControl w:val="0"/>
              <w:kinsoku/>
              <w:wordWrap/>
              <w:overflowPunct/>
              <w:topLinePunct w:val="0"/>
              <w:autoSpaceDE/>
              <w:autoSpaceDN/>
              <w:bidi w:val="0"/>
              <w:spacing w:line="480" w:lineRule="exact"/>
              <w:ind w:left="0" w:leftChars="0" w:firstLine="482" w:firstLineChars="200"/>
              <w:textAlignment w:val="auto"/>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9、环保投资</w:t>
            </w:r>
          </w:p>
          <w:p>
            <w:pPr>
              <w:keepNext w:val="0"/>
              <w:keepLines w:val="0"/>
              <w:pageBreakBefore w:val="0"/>
              <w:widowControl w:val="0"/>
              <w:numPr>
                <w:ilvl w:val="0"/>
                <w:numId w:val="0"/>
              </w:numPr>
              <w:kinsoku/>
              <w:wordWrap/>
              <w:overflowPunct/>
              <w:topLinePunct w:val="0"/>
              <w:autoSpaceDE/>
              <w:autoSpaceDN/>
              <w:bidi w:val="0"/>
              <w:snapToGrid w:val="0"/>
              <w:spacing w:line="480" w:lineRule="exact"/>
              <w:ind w:firstLine="480" w:firstLineChars="200"/>
              <w:jc w:val="both"/>
              <w:textAlignment w:val="auto"/>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4"/>
                <w:szCs w:val="24"/>
                <w:lang w:val="en-US" w:eastAsia="zh-CN" w:bidi="ar-SA"/>
                <w14:textFill>
                  <w14:solidFill>
                    <w14:schemeClr w14:val="tx1"/>
                  </w14:solidFill>
                </w14:textFill>
              </w:rPr>
              <w:t>本项目总投资430万元，其中环保投资68.1万元，占总投资15.84%。环保投资估算见下表。</w:t>
            </w:r>
          </w:p>
          <w:p>
            <w:pPr>
              <w:keepNext w:val="0"/>
              <w:keepLines w:val="0"/>
              <w:pageBreakBefore w:val="0"/>
              <w:widowControl/>
              <w:kinsoku/>
              <w:wordWrap/>
              <w:overflowPunct/>
              <w:topLinePunct w:val="0"/>
              <w:autoSpaceDE/>
              <w:autoSpaceDN/>
              <w:bidi w:val="0"/>
              <w:adjustRightInd/>
              <w:snapToGrid/>
              <w:spacing w:line="480" w:lineRule="exact"/>
              <w:ind w:firstLine="482" w:firstLineChars="200"/>
              <w:textAlignment w:val="auto"/>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2"/>
                <w:sz w:val="24"/>
                <w:szCs w:val="24"/>
                <w:highlight w:val="none"/>
                <w:u w:val="none"/>
                <w:lang w:val="en-US" w:eastAsia="zh-CN" w:bidi="ar-SA"/>
                <w14:textFill>
                  <w14:solidFill>
                    <w14:schemeClr w14:val="tx1"/>
                  </w14:solidFill>
                </w14:textFill>
              </w:rPr>
              <w:t>表49             环保投资估算一览表</w:t>
            </w:r>
          </w:p>
          <w:tbl>
            <w:tblPr>
              <w:tblStyle w:val="37"/>
              <w:tblW w:w="5072"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27"/>
              <w:gridCol w:w="1524"/>
              <w:gridCol w:w="5471"/>
              <w:gridCol w:w="156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firstLine="0" w:firstLineChars="0"/>
                    <w:jc w:val="center"/>
                    <w:textAlignment w:val="auto"/>
                    <w:rPr>
                      <w:rFonts w:hint="default" w:ascii="Times New Roman" w:hAnsi="Times New Roman" w:cs="Times New Roman"/>
                      <w:color w:val="000000" w:themeColor="text1"/>
                      <w:spacing w:val="4"/>
                      <w:sz w:val="21"/>
                      <w:szCs w:val="21"/>
                      <w:u w:val="none" w:color="auto"/>
                      <w14:textFill>
                        <w14:solidFill>
                          <w14:schemeClr w14:val="tx1"/>
                        </w14:solidFill>
                      </w14:textFill>
                    </w:rPr>
                  </w:pPr>
                  <w:r>
                    <w:rPr>
                      <w:rFonts w:hint="default" w:ascii="Times New Roman" w:hAnsi="Times New Roman" w:cs="Times New Roman"/>
                      <w:color w:val="000000" w:themeColor="text1"/>
                      <w:spacing w:val="4"/>
                      <w:sz w:val="21"/>
                      <w:szCs w:val="21"/>
                      <w:u w:val="none" w:color="auto"/>
                      <w14:textFill>
                        <w14:solidFill>
                          <w14:schemeClr w14:val="tx1"/>
                        </w14:solidFill>
                      </w14:textFill>
                    </w:rPr>
                    <w:t>序号</w:t>
                  </w:r>
                </w:p>
              </w:tc>
              <w:tc>
                <w:tcPr>
                  <w:tcW w:w="8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firstLine="0" w:firstLineChars="0"/>
                    <w:jc w:val="center"/>
                    <w:textAlignment w:val="auto"/>
                    <w:rPr>
                      <w:rFonts w:hint="default" w:ascii="Times New Roman" w:hAnsi="Times New Roman" w:cs="Times New Roman"/>
                      <w:color w:val="000000" w:themeColor="text1"/>
                      <w:spacing w:val="4"/>
                      <w:sz w:val="21"/>
                      <w:szCs w:val="21"/>
                      <w:u w:val="none" w:color="auto"/>
                      <w14:textFill>
                        <w14:solidFill>
                          <w14:schemeClr w14:val="tx1"/>
                        </w14:solidFill>
                      </w14:textFill>
                    </w:rPr>
                  </w:pPr>
                  <w:r>
                    <w:rPr>
                      <w:rFonts w:hint="default" w:ascii="Times New Roman" w:hAnsi="Times New Roman" w:cs="Times New Roman"/>
                      <w:color w:val="000000" w:themeColor="text1"/>
                      <w:spacing w:val="4"/>
                      <w:sz w:val="21"/>
                      <w:szCs w:val="21"/>
                      <w:u w:val="none" w:color="auto"/>
                      <w14:textFill>
                        <w14:solidFill>
                          <w14:schemeClr w14:val="tx1"/>
                        </w14:solidFill>
                      </w14:textFill>
                    </w:rPr>
                    <w:t>项目</w:t>
                  </w:r>
                </w:p>
              </w:tc>
              <w:tc>
                <w:tcPr>
                  <w:tcW w:w="29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firstLine="0" w:firstLineChars="0"/>
                    <w:jc w:val="center"/>
                    <w:textAlignment w:val="auto"/>
                    <w:rPr>
                      <w:rFonts w:hint="default" w:ascii="Times New Roman" w:hAnsi="Times New Roman" w:eastAsia="宋体" w:cs="Times New Roman"/>
                      <w:color w:val="000000" w:themeColor="text1"/>
                      <w:spacing w:val="4"/>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pacing w:val="4"/>
                      <w:sz w:val="21"/>
                      <w:szCs w:val="21"/>
                      <w:u w:val="none" w:color="auto"/>
                      <w:lang w:val="en-US" w:eastAsia="zh-CN"/>
                      <w14:textFill>
                        <w14:solidFill>
                          <w14:schemeClr w14:val="tx1"/>
                        </w14:solidFill>
                      </w14:textFill>
                    </w:rPr>
                    <w:t>环保投资内容</w:t>
                  </w:r>
                </w:p>
              </w:tc>
              <w:tc>
                <w:tcPr>
                  <w:tcW w:w="8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firstLine="0" w:firstLineChars="0"/>
                    <w:jc w:val="center"/>
                    <w:textAlignment w:val="auto"/>
                    <w:rPr>
                      <w:rFonts w:hint="default" w:ascii="Times New Roman" w:hAnsi="Times New Roman" w:cs="Times New Roman"/>
                      <w:color w:val="000000" w:themeColor="text1"/>
                      <w:spacing w:val="-20"/>
                      <w:sz w:val="21"/>
                      <w:szCs w:val="21"/>
                      <w:u w:val="none" w:color="auto"/>
                      <w14:textFill>
                        <w14:solidFill>
                          <w14:schemeClr w14:val="tx1"/>
                        </w14:solidFill>
                      </w14:textFill>
                    </w:rPr>
                  </w:pPr>
                  <w:r>
                    <w:rPr>
                      <w:rFonts w:hint="default" w:ascii="Times New Roman" w:hAnsi="Times New Roman" w:eastAsia="宋体" w:cs="Times New Roman"/>
                      <w:color w:val="000000" w:themeColor="text1"/>
                      <w:spacing w:val="4"/>
                      <w:sz w:val="21"/>
                      <w:szCs w:val="21"/>
                      <w:u w:val="none" w:color="auto"/>
                      <w14:textFill>
                        <w14:solidFill>
                          <w14:schemeClr w14:val="tx1"/>
                        </w14:solidFill>
                      </w14:textFill>
                    </w:rPr>
                    <w:t>投资金额</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22" w:hRule="atLeast"/>
                <w:jc w:val="center"/>
              </w:trPr>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firstLine="0" w:firstLineChars="0"/>
                    <w:jc w:val="center"/>
                    <w:textAlignment w:val="auto"/>
                    <w:rPr>
                      <w:rFonts w:hint="default" w:ascii="Times New Roman" w:hAnsi="Times New Roman" w:cs="Times New Roman"/>
                      <w:color w:val="000000" w:themeColor="text1"/>
                      <w:spacing w:val="4"/>
                      <w:sz w:val="21"/>
                      <w:szCs w:val="21"/>
                      <w:u w:val="none" w:color="auto"/>
                      <w14:textFill>
                        <w14:solidFill>
                          <w14:schemeClr w14:val="tx1"/>
                        </w14:solidFill>
                      </w14:textFill>
                    </w:rPr>
                  </w:pPr>
                  <w:r>
                    <w:rPr>
                      <w:rFonts w:hint="default" w:ascii="Times New Roman" w:hAnsi="Times New Roman" w:cs="Times New Roman"/>
                      <w:color w:val="000000" w:themeColor="text1"/>
                      <w:spacing w:val="4"/>
                      <w:sz w:val="21"/>
                      <w:szCs w:val="21"/>
                      <w:u w:val="none" w:color="auto"/>
                      <w14:textFill>
                        <w14:solidFill>
                          <w14:schemeClr w14:val="tx1"/>
                        </w14:solidFill>
                      </w14:textFill>
                    </w:rPr>
                    <w:t>1</w:t>
                  </w:r>
                </w:p>
              </w:tc>
              <w:tc>
                <w:tcPr>
                  <w:tcW w:w="8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firstLine="0" w:firstLineChars="0"/>
                    <w:jc w:val="center"/>
                    <w:textAlignment w:val="auto"/>
                    <w:rPr>
                      <w:rFonts w:hint="default" w:ascii="Times New Roman" w:hAnsi="Times New Roman" w:cs="Times New Roman"/>
                      <w:color w:val="000000" w:themeColor="text1"/>
                      <w:spacing w:val="4"/>
                      <w:sz w:val="21"/>
                      <w:szCs w:val="21"/>
                      <w:u w:val="none" w:color="auto"/>
                      <w14:textFill>
                        <w14:solidFill>
                          <w14:schemeClr w14:val="tx1"/>
                        </w14:solidFill>
                      </w14:textFill>
                    </w:rPr>
                  </w:pPr>
                  <w:r>
                    <w:rPr>
                      <w:rFonts w:hint="default" w:ascii="Times New Roman" w:hAnsi="Times New Roman" w:cs="Times New Roman"/>
                      <w:color w:val="000000" w:themeColor="text1"/>
                      <w:spacing w:val="4"/>
                      <w:sz w:val="21"/>
                      <w:szCs w:val="21"/>
                      <w:u w:val="none" w:color="auto"/>
                      <w14:textFill>
                        <w14:solidFill>
                          <w14:schemeClr w14:val="tx1"/>
                        </w14:solidFill>
                      </w14:textFill>
                    </w:rPr>
                    <w:t>挥发油气</w:t>
                  </w:r>
                </w:p>
              </w:tc>
              <w:tc>
                <w:tcPr>
                  <w:tcW w:w="29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firstLine="0" w:firstLineChars="0"/>
                    <w:jc w:val="center"/>
                    <w:textAlignment w:val="auto"/>
                    <w:rPr>
                      <w:rFonts w:hint="default" w:ascii="Times New Roman" w:hAnsi="Times New Roman" w:eastAsia="宋体" w:cs="Times New Roman"/>
                      <w:color w:val="000000" w:themeColor="text1"/>
                      <w:spacing w:val="-4"/>
                      <w:sz w:val="21"/>
                      <w:szCs w:val="21"/>
                      <w:u w:val="none" w:color="auto"/>
                      <w:lang w:eastAsia="zh-CN"/>
                      <w14:textFill>
                        <w14:solidFill>
                          <w14:schemeClr w14:val="tx1"/>
                        </w14:solidFill>
                      </w14:textFill>
                    </w:rPr>
                  </w:pPr>
                  <w:r>
                    <w:rPr>
                      <w:rFonts w:hint="default" w:ascii="Times New Roman" w:hAnsi="Times New Roman" w:cs="Times New Roman"/>
                      <w:color w:val="000000" w:themeColor="text1"/>
                      <w:spacing w:val="-4"/>
                      <w:sz w:val="21"/>
                      <w:szCs w:val="21"/>
                      <w:u w:val="none" w:color="auto"/>
                      <w14:textFill>
                        <w14:solidFill>
                          <w14:schemeClr w14:val="tx1"/>
                        </w14:solidFill>
                      </w14:textFill>
                    </w:rPr>
                    <w:t>采用卸油油气回收装置</w:t>
                  </w:r>
                  <w:r>
                    <w:rPr>
                      <w:rFonts w:hint="default" w:ascii="Times New Roman" w:hAnsi="Times New Roman" w:cs="Times New Roman"/>
                      <w:color w:val="000000" w:themeColor="text1"/>
                      <w:spacing w:val="-4"/>
                      <w:sz w:val="21"/>
                      <w:szCs w:val="21"/>
                      <w:u w:val="none" w:color="auto"/>
                      <w:lang w:eastAsia="zh-CN"/>
                      <w14:textFill>
                        <w14:solidFill>
                          <w14:schemeClr w14:val="tx1"/>
                        </w14:solidFill>
                      </w14:textFill>
                    </w:rPr>
                    <w:t>，</w:t>
                  </w:r>
                  <w:r>
                    <w:rPr>
                      <w:rFonts w:hint="default" w:ascii="Times New Roman" w:hAnsi="Times New Roman" w:cs="Times New Roman"/>
                      <w:color w:val="000000" w:themeColor="text1"/>
                      <w:spacing w:val="-4"/>
                      <w:sz w:val="21"/>
                      <w:szCs w:val="21"/>
                      <w:u w:val="none" w:color="auto"/>
                      <w14:textFill>
                        <w14:solidFill>
                          <w14:schemeClr w14:val="tx1"/>
                        </w14:solidFill>
                      </w14:textFill>
                    </w:rPr>
                    <w:t>加油油气回收装置</w:t>
                  </w:r>
                </w:p>
              </w:tc>
              <w:tc>
                <w:tcPr>
                  <w:tcW w:w="8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firstLine="0" w:firstLineChars="0"/>
                    <w:jc w:val="center"/>
                    <w:textAlignment w:val="auto"/>
                    <w:rPr>
                      <w:rFonts w:hint="default" w:ascii="Times New Roman" w:hAnsi="Times New Roman" w:eastAsia="宋体" w:cs="Times New Roman"/>
                      <w:color w:val="000000" w:themeColor="text1"/>
                      <w:spacing w:val="4"/>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pacing w:val="4"/>
                      <w:sz w:val="21"/>
                      <w:szCs w:val="21"/>
                      <w:u w:val="none" w:color="auto"/>
                      <w:lang w:val="en-US" w:eastAsia="zh-CN"/>
                      <w14:textFill>
                        <w14:solidFill>
                          <w14:schemeClr w14:val="tx1"/>
                        </w14:solidFill>
                      </w14:textFill>
                    </w:rPr>
                    <w:t>27万元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firstLine="0" w:firstLineChars="0"/>
                    <w:jc w:val="center"/>
                    <w:textAlignment w:val="auto"/>
                    <w:rPr>
                      <w:rFonts w:hint="default" w:ascii="Times New Roman" w:hAnsi="Times New Roman" w:cs="Times New Roman"/>
                      <w:color w:val="000000" w:themeColor="text1"/>
                      <w:spacing w:val="4"/>
                      <w:sz w:val="21"/>
                      <w:szCs w:val="21"/>
                      <w:u w:val="none" w:color="auto"/>
                      <w14:textFill>
                        <w14:solidFill>
                          <w14:schemeClr w14:val="tx1"/>
                        </w14:solidFill>
                      </w14:textFill>
                    </w:rPr>
                  </w:pPr>
                  <w:r>
                    <w:rPr>
                      <w:rFonts w:hint="default" w:ascii="Times New Roman" w:hAnsi="Times New Roman" w:cs="Times New Roman"/>
                      <w:color w:val="000000" w:themeColor="text1"/>
                      <w:spacing w:val="4"/>
                      <w:sz w:val="21"/>
                      <w:szCs w:val="21"/>
                      <w:u w:val="none" w:color="auto"/>
                      <w14:textFill>
                        <w14:solidFill>
                          <w14:schemeClr w14:val="tx1"/>
                        </w14:solidFill>
                      </w14:textFill>
                    </w:rPr>
                    <w:t>2</w:t>
                  </w:r>
                </w:p>
              </w:tc>
              <w:tc>
                <w:tcPr>
                  <w:tcW w:w="8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firstLine="0" w:firstLineChars="0"/>
                    <w:jc w:val="center"/>
                    <w:textAlignment w:val="auto"/>
                    <w:rPr>
                      <w:rFonts w:hint="default" w:ascii="Times New Roman" w:hAnsi="Times New Roman" w:cs="Times New Roman"/>
                      <w:color w:val="000000" w:themeColor="text1"/>
                      <w:spacing w:val="4"/>
                      <w:sz w:val="21"/>
                      <w:szCs w:val="21"/>
                      <w:u w:val="none" w:color="auto"/>
                      <w14:textFill>
                        <w14:solidFill>
                          <w14:schemeClr w14:val="tx1"/>
                        </w14:solidFill>
                      </w14:textFill>
                    </w:rPr>
                  </w:pPr>
                  <w:r>
                    <w:rPr>
                      <w:rFonts w:hint="default" w:ascii="Times New Roman" w:hAnsi="Times New Roman" w:cs="Times New Roman"/>
                      <w:color w:val="000000" w:themeColor="text1"/>
                      <w:spacing w:val="4"/>
                      <w:sz w:val="21"/>
                      <w:szCs w:val="21"/>
                      <w:u w:val="none" w:color="auto"/>
                      <w14:textFill>
                        <w14:solidFill>
                          <w14:schemeClr w14:val="tx1"/>
                        </w14:solidFill>
                      </w14:textFill>
                    </w:rPr>
                    <w:t>生活废水</w:t>
                  </w:r>
                </w:p>
              </w:tc>
              <w:tc>
                <w:tcPr>
                  <w:tcW w:w="29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firstLine="0" w:firstLineChars="0"/>
                    <w:jc w:val="center"/>
                    <w:textAlignment w:val="auto"/>
                    <w:rPr>
                      <w:rFonts w:hint="default" w:ascii="Times New Roman" w:hAnsi="Times New Roman" w:cs="Times New Roman"/>
                      <w:color w:val="000000" w:themeColor="text1"/>
                      <w:spacing w:val="4"/>
                      <w:sz w:val="21"/>
                      <w:szCs w:val="21"/>
                      <w:u w:val="none" w:color="auto"/>
                      <w14:textFill>
                        <w14:solidFill>
                          <w14:schemeClr w14:val="tx1"/>
                        </w14:solidFill>
                      </w14:textFill>
                    </w:rPr>
                  </w:pPr>
                  <w:r>
                    <w:rPr>
                      <w:rFonts w:hint="default" w:ascii="Times New Roman" w:hAnsi="Times New Roman" w:cs="Times New Roman"/>
                      <w:color w:val="000000" w:themeColor="text1"/>
                      <w:sz w:val="21"/>
                      <w:szCs w:val="21"/>
                      <w:u w:val="none" w:color="auto"/>
                      <w14:textFill>
                        <w14:solidFill>
                          <w14:schemeClr w14:val="tx1"/>
                        </w14:solidFill>
                      </w14:textFill>
                    </w:rPr>
                    <w:t>化粪池及污水管网</w:t>
                  </w:r>
                </w:p>
              </w:tc>
              <w:tc>
                <w:tcPr>
                  <w:tcW w:w="8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firstLine="0" w:firstLineChars="0"/>
                    <w:jc w:val="center"/>
                    <w:textAlignment w:val="auto"/>
                    <w:rPr>
                      <w:rFonts w:hint="default" w:ascii="Times New Roman" w:hAnsi="Times New Roman" w:cs="Times New Roman"/>
                      <w:color w:val="000000" w:themeColor="text1"/>
                      <w:spacing w:val="4"/>
                      <w:sz w:val="21"/>
                      <w:szCs w:val="21"/>
                      <w:u w:val="none" w:color="auto"/>
                      <w14:textFill>
                        <w14:solidFill>
                          <w14:schemeClr w14:val="tx1"/>
                        </w14:solidFill>
                      </w14:textFill>
                    </w:rPr>
                  </w:pPr>
                  <w:r>
                    <w:rPr>
                      <w:rFonts w:hint="default" w:ascii="Times New Roman" w:hAnsi="Times New Roman" w:cs="Times New Roman"/>
                      <w:color w:val="000000" w:themeColor="text1"/>
                      <w:spacing w:val="4"/>
                      <w:sz w:val="21"/>
                      <w:szCs w:val="21"/>
                      <w:u w:val="none" w:color="auto"/>
                      <w14:textFill>
                        <w14:solidFill>
                          <w14:schemeClr w14:val="tx1"/>
                        </w14:solidFill>
                      </w14:textFill>
                    </w:rPr>
                    <w:t>1.5</w:t>
                  </w:r>
                  <w:r>
                    <w:rPr>
                      <w:rFonts w:hint="default" w:ascii="Times New Roman" w:hAnsi="Times New Roman" w:cs="Times New Roman"/>
                      <w:color w:val="000000" w:themeColor="text1"/>
                      <w:spacing w:val="4"/>
                      <w:sz w:val="21"/>
                      <w:szCs w:val="21"/>
                      <w:u w:val="none" w:color="auto"/>
                      <w:lang w:val="en-US" w:eastAsia="zh-CN"/>
                      <w14:textFill>
                        <w14:solidFill>
                          <w14:schemeClr w14:val="tx1"/>
                        </w14:solidFill>
                      </w14:textFill>
                    </w:rPr>
                    <w:t>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firstLine="0" w:firstLineChars="0"/>
                    <w:jc w:val="center"/>
                    <w:textAlignment w:val="auto"/>
                    <w:rPr>
                      <w:rFonts w:hint="default" w:ascii="Times New Roman" w:hAnsi="Times New Roman" w:cs="Times New Roman"/>
                      <w:color w:val="000000" w:themeColor="text1"/>
                      <w:spacing w:val="4"/>
                      <w:sz w:val="21"/>
                      <w:szCs w:val="21"/>
                      <w:u w:val="none" w:color="auto"/>
                      <w14:textFill>
                        <w14:solidFill>
                          <w14:schemeClr w14:val="tx1"/>
                        </w14:solidFill>
                      </w14:textFill>
                    </w:rPr>
                  </w:pPr>
                  <w:r>
                    <w:rPr>
                      <w:rFonts w:hint="default" w:ascii="Times New Roman" w:hAnsi="Times New Roman" w:cs="Times New Roman"/>
                      <w:color w:val="000000" w:themeColor="text1"/>
                      <w:spacing w:val="4"/>
                      <w:sz w:val="21"/>
                      <w:szCs w:val="21"/>
                      <w:u w:val="none" w:color="auto"/>
                      <w14:textFill>
                        <w14:solidFill>
                          <w14:schemeClr w14:val="tx1"/>
                        </w14:solidFill>
                      </w14:textFill>
                    </w:rPr>
                    <w:t>3</w:t>
                  </w:r>
                </w:p>
              </w:tc>
              <w:tc>
                <w:tcPr>
                  <w:tcW w:w="8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leftChars="0" w:firstLine="0" w:firstLineChars="0"/>
                    <w:jc w:val="center"/>
                    <w:textAlignment w:val="auto"/>
                    <w:rPr>
                      <w:rFonts w:hint="default" w:ascii="Times New Roman" w:hAnsi="Times New Roman" w:eastAsia="宋体" w:cs="Times New Roman"/>
                      <w:color w:val="000000" w:themeColor="text1"/>
                      <w:spacing w:val="4"/>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pacing w:val="4"/>
                      <w:sz w:val="21"/>
                      <w:szCs w:val="21"/>
                      <w:u w:val="none" w:color="auto"/>
                      <w:lang w:val="en-US" w:eastAsia="zh-CN"/>
                      <w14:textFill>
                        <w14:solidFill>
                          <w14:schemeClr w14:val="tx1"/>
                        </w14:solidFill>
                      </w14:textFill>
                    </w:rPr>
                    <w:t>地下水防治</w:t>
                  </w:r>
                </w:p>
              </w:tc>
              <w:tc>
                <w:tcPr>
                  <w:tcW w:w="29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leftChars="0" w:firstLine="0" w:firstLineChars="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罐区防渗池（隔池</w:t>
                  </w:r>
                  <w:r>
                    <w:rPr>
                      <w:rFonts w:hint="default" w:ascii="Times New Roman" w:hAnsi="Times New Roman" w:cs="Times New Roman"/>
                      <w:color w:val="000000" w:themeColor="text1"/>
                      <w:sz w:val="21"/>
                      <w:szCs w:val="21"/>
                      <w14:textFill>
                        <w14:solidFill>
                          <w14:schemeClr w14:val="tx1"/>
                        </w14:solidFill>
                      </w14:textFill>
                    </w:rPr>
                    <w:t>内应设检测立管</w:t>
                  </w: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）、地下水监测井、油罐及管线外表面防腐，自动液位报警和防渗报警系统，厂区分区防渗等</w:t>
                  </w:r>
                </w:p>
              </w:tc>
              <w:tc>
                <w:tcPr>
                  <w:tcW w:w="8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leftChars="0" w:firstLine="0" w:firstLineChars="0"/>
                    <w:jc w:val="center"/>
                    <w:textAlignment w:val="auto"/>
                    <w:rPr>
                      <w:rFonts w:hint="default" w:ascii="Times New Roman" w:hAnsi="Times New Roman" w:cs="Times New Roman"/>
                      <w:color w:val="000000" w:themeColor="text1"/>
                      <w:spacing w:val="4"/>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pacing w:val="4"/>
                      <w:sz w:val="21"/>
                      <w:szCs w:val="21"/>
                      <w:u w:val="none" w:color="auto"/>
                      <w:lang w:val="en-US" w:eastAsia="zh-CN"/>
                      <w14:textFill>
                        <w14:solidFill>
                          <w14:schemeClr w14:val="tx1"/>
                        </w14:solidFill>
                      </w14:textFill>
                    </w:rPr>
                    <w:t>30万元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2" w:hRule="atLeast"/>
                <w:jc w:val="center"/>
              </w:trPr>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firstLine="0" w:firstLineChars="0"/>
                    <w:jc w:val="center"/>
                    <w:textAlignment w:val="auto"/>
                    <w:rPr>
                      <w:rFonts w:hint="default" w:ascii="Times New Roman" w:hAnsi="Times New Roman" w:eastAsia="宋体" w:cs="Times New Roman"/>
                      <w:color w:val="000000" w:themeColor="text1"/>
                      <w:spacing w:val="4"/>
                      <w:sz w:val="21"/>
                      <w:szCs w:val="21"/>
                      <w:u w:val="none" w:color="auto"/>
                      <w:lang w:eastAsia="zh-CN"/>
                      <w14:textFill>
                        <w14:solidFill>
                          <w14:schemeClr w14:val="tx1"/>
                        </w14:solidFill>
                      </w14:textFill>
                    </w:rPr>
                  </w:pPr>
                  <w:r>
                    <w:rPr>
                      <w:rFonts w:hint="default" w:ascii="Times New Roman" w:hAnsi="Times New Roman" w:cs="Times New Roman"/>
                      <w:color w:val="000000" w:themeColor="text1"/>
                      <w:spacing w:val="4"/>
                      <w:sz w:val="21"/>
                      <w:szCs w:val="21"/>
                      <w:u w:val="none" w:color="auto"/>
                      <w:lang w:val="en-US" w:eastAsia="zh-CN"/>
                      <w14:textFill>
                        <w14:solidFill>
                          <w14:schemeClr w14:val="tx1"/>
                        </w14:solidFill>
                      </w14:textFill>
                    </w:rPr>
                    <w:t>4</w:t>
                  </w:r>
                </w:p>
              </w:tc>
              <w:tc>
                <w:tcPr>
                  <w:tcW w:w="8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leftChars="0" w:firstLine="0" w:firstLineChars="0"/>
                    <w:jc w:val="center"/>
                    <w:textAlignment w:val="auto"/>
                    <w:rPr>
                      <w:rFonts w:hint="default" w:ascii="Times New Roman" w:hAnsi="Times New Roman" w:eastAsia="宋体" w:cs="Times New Roman"/>
                      <w:color w:val="000000" w:themeColor="text1"/>
                      <w:spacing w:val="4"/>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pacing w:val="4"/>
                      <w:sz w:val="21"/>
                      <w:szCs w:val="21"/>
                      <w:u w:val="none" w:color="auto"/>
                      <w14:textFill>
                        <w14:solidFill>
                          <w14:schemeClr w14:val="tx1"/>
                        </w14:solidFill>
                      </w14:textFill>
                    </w:rPr>
                    <w:t>生活垃圾</w:t>
                  </w:r>
                </w:p>
              </w:tc>
              <w:tc>
                <w:tcPr>
                  <w:tcW w:w="29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leftChars="0" w:firstLine="0" w:firstLineChars="0"/>
                    <w:jc w:val="center"/>
                    <w:textAlignment w:val="auto"/>
                    <w:rPr>
                      <w:rFonts w:hint="default" w:ascii="Times New Roman" w:hAnsi="Times New Roman" w:cs="Times New Roman"/>
                      <w:color w:val="000000" w:themeColor="text1"/>
                      <w:spacing w:val="4"/>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pacing w:val="4"/>
                      <w:sz w:val="21"/>
                      <w:szCs w:val="21"/>
                      <w:u w:val="none" w:color="auto"/>
                      <w14:textFill>
                        <w14:solidFill>
                          <w14:schemeClr w14:val="tx1"/>
                        </w14:solidFill>
                      </w14:textFill>
                    </w:rPr>
                    <w:t>垃圾收集桶、分类暂存</w:t>
                  </w:r>
                </w:p>
              </w:tc>
              <w:tc>
                <w:tcPr>
                  <w:tcW w:w="8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leftChars="0" w:firstLine="0" w:firstLineChars="0"/>
                    <w:jc w:val="center"/>
                    <w:textAlignment w:val="auto"/>
                    <w:rPr>
                      <w:rFonts w:hint="default" w:ascii="Times New Roman" w:hAnsi="Times New Roman" w:eastAsia="宋体" w:cs="Times New Roman"/>
                      <w:color w:val="000000" w:themeColor="text1"/>
                      <w:spacing w:val="4"/>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pacing w:val="4"/>
                      <w:sz w:val="21"/>
                      <w:szCs w:val="21"/>
                      <w:u w:val="none" w:color="auto"/>
                      <w14:textFill>
                        <w14:solidFill>
                          <w14:schemeClr w14:val="tx1"/>
                        </w14:solidFill>
                      </w14:textFill>
                    </w:rPr>
                    <w:t>0.</w:t>
                  </w:r>
                  <w:r>
                    <w:rPr>
                      <w:rFonts w:hint="default" w:ascii="Times New Roman" w:hAnsi="Times New Roman" w:cs="Times New Roman"/>
                      <w:color w:val="000000" w:themeColor="text1"/>
                      <w:spacing w:val="4"/>
                      <w:sz w:val="21"/>
                      <w:szCs w:val="21"/>
                      <w:u w:val="none" w:color="auto"/>
                      <w:lang w:val="en-US" w:eastAsia="zh-CN"/>
                      <w14:textFill>
                        <w14:solidFill>
                          <w14:schemeClr w14:val="tx1"/>
                        </w14:solidFill>
                      </w14:textFill>
                    </w:rPr>
                    <w:t>1万元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firstLine="0" w:firstLineChars="0"/>
                    <w:jc w:val="center"/>
                    <w:textAlignment w:val="auto"/>
                    <w:rPr>
                      <w:rFonts w:hint="default" w:ascii="Times New Roman" w:hAnsi="Times New Roman" w:eastAsia="宋体" w:cs="Times New Roman"/>
                      <w:color w:val="000000" w:themeColor="text1"/>
                      <w:spacing w:val="4"/>
                      <w:sz w:val="21"/>
                      <w:szCs w:val="21"/>
                      <w:u w:val="none" w:color="auto"/>
                      <w:lang w:eastAsia="zh-CN"/>
                      <w14:textFill>
                        <w14:solidFill>
                          <w14:schemeClr w14:val="tx1"/>
                        </w14:solidFill>
                      </w14:textFill>
                    </w:rPr>
                  </w:pPr>
                  <w:r>
                    <w:rPr>
                      <w:rFonts w:hint="default" w:ascii="Times New Roman" w:hAnsi="Times New Roman" w:cs="Times New Roman"/>
                      <w:color w:val="000000" w:themeColor="text1"/>
                      <w:spacing w:val="4"/>
                      <w:sz w:val="21"/>
                      <w:szCs w:val="21"/>
                      <w:u w:val="none" w:color="auto"/>
                      <w:lang w:val="en-US" w:eastAsia="zh-CN"/>
                      <w14:textFill>
                        <w14:solidFill>
                          <w14:schemeClr w14:val="tx1"/>
                        </w14:solidFill>
                      </w14:textFill>
                    </w:rPr>
                    <w:t>5</w:t>
                  </w:r>
                </w:p>
              </w:tc>
              <w:tc>
                <w:tcPr>
                  <w:tcW w:w="8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leftChars="0" w:firstLine="0" w:firstLineChars="0"/>
                    <w:jc w:val="center"/>
                    <w:textAlignment w:val="auto"/>
                    <w:rPr>
                      <w:rFonts w:hint="default" w:ascii="Times New Roman" w:hAnsi="Times New Roman" w:eastAsia="宋体" w:cs="Times New Roman"/>
                      <w:color w:val="000000" w:themeColor="text1"/>
                      <w:spacing w:val="4"/>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pacing w:val="4"/>
                      <w:sz w:val="21"/>
                      <w:szCs w:val="21"/>
                      <w:u w:val="none" w:color="auto"/>
                      <w14:textFill>
                        <w14:solidFill>
                          <w14:schemeClr w14:val="tx1"/>
                        </w14:solidFill>
                      </w14:textFill>
                    </w:rPr>
                    <w:t>油罐清洗</w:t>
                  </w:r>
                  <w:r>
                    <w:rPr>
                      <w:rFonts w:hint="default" w:ascii="Times New Roman" w:hAnsi="Times New Roman" w:cs="Times New Roman"/>
                      <w:color w:val="000000" w:themeColor="text1"/>
                      <w:spacing w:val="4"/>
                      <w:sz w:val="21"/>
                      <w:szCs w:val="21"/>
                      <w:u w:val="none" w:color="auto"/>
                      <w:lang w:val="en-US" w:eastAsia="zh-CN"/>
                      <w14:textFill>
                        <w14:solidFill>
                          <w14:schemeClr w14:val="tx1"/>
                        </w14:solidFill>
                      </w14:textFill>
                    </w:rPr>
                    <w:t>油泥</w:t>
                  </w:r>
                </w:p>
              </w:tc>
              <w:tc>
                <w:tcPr>
                  <w:tcW w:w="29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leftChars="0" w:firstLine="0" w:firstLineChars="0"/>
                    <w:jc w:val="center"/>
                    <w:textAlignment w:val="auto"/>
                    <w:rPr>
                      <w:rFonts w:hint="default" w:ascii="Times New Roman" w:hAnsi="Times New Roman" w:cs="Times New Roman"/>
                      <w:color w:val="000000" w:themeColor="text1"/>
                      <w:spacing w:val="4"/>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pacing w:val="4"/>
                      <w:sz w:val="21"/>
                      <w:szCs w:val="21"/>
                      <w:u w:val="none" w:color="auto"/>
                      <w14:textFill>
                        <w14:solidFill>
                          <w14:schemeClr w14:val="tx1"/>
                        </w14:solidFill>
                      </w14:textFill>
                    </w:rPr>
                    <w:t>定期委托有</w:t>
                  </w:r>
                  <w:r>
                    <w:rPr>
                      <w:rFonts w:hint="default" w:ascii="Times New Roman" w:hAnsi="Times New Roman" w:cs="Times New Roman"/>
                      <w:color w:val="000000" w:themeColor="text1"/>
                      <w:spacing w:val="4"/>
                      <w:sz w:val="21"/>
                      <w:szCs w:val="21"/>
                      <w:u w:val="none" w:color="auto"/>
                      <w:lang w:val="en-US" w:eastAsia="zh-CN"/>
                      <w14:textFill>
                        <w14:solidFill>
                          <w14:schemeClr w14:val="tx1"/>
                        </w14:solidFill>
                      </w14:textFill>
                    </w:rPr>
                    <w:t>相应清罐、运输、</w:t>
                  </w:r>
                  <w:r>
                    <w:rPr>
                      <w:rFonts w:hint="default" w:ascii="Times New Roman" w:hAnsi="Times New Roman" w:cs="Times New Roman"/>
                      <w:color w:val="000000" w:themeColor="text1"/>
                      <w:spacing w:val="4"/>
                      <w:sz w:val="21"/>
                      <w:szCs w:val="21"/>
                      <w:u w:val="none" w:color="auto"/>
                      <w14:textFill>
                        <w14:solidFill>
                          <w14:schemeClr w14:val="tx1"/>
                        </w14:solidFill>
                      </w14:textFill>
                    </w:rPr>
                    <w:t>处置资质单位</w:t>
                  </w:r>
                  <w:r>
                    <w:rPr>
                      <w:rFonts w:hint="default" w:ascii="Times New Roman" w:hAnsi="Times New Roman" w:cs="Times New Roman"/>
                      <w:color w:val="000000" w:themeColor="text1"/>
                      <w:spacing w:val="4"/>
                      <w:sz w:val="21"/>
                      <w:szCs w:val="21"/>
                      <w:u w:val="none" w:color="auto"/>
                      <w:lang w:val="en-US" w:eastAsia="zh-CN"/>
                      <w14:textFill>
                        <w14:solidFill>
                          <w14:schemeClr w14:val="tx1"/>
                        </w14:solidFill>
                      </w14:textFill>
                    </w:rPr>
                    <w:t>清运</w:t>
                  </w:r>
                  <w:r>
                    <w:rPr>
                      <w:rFonts w:hint="default" w:ascii="Times New Roman" w:hAnsi="Times New Roman" w:cs="Times New Roman"/>
                      <w:color w:val="000000" w:themeColor="text1"/>
                      <w:spacing w:val="4"/>
                      <w:sz w:val="21"/>
                      <w:szCs w:val="21"/>
                      <w:u w:val="none" w:color="auto"/>
                      <w14:textFill>
                        <w14:solidFill>
                          <w14:schemeClr w14:val="tx1"/>
                        </w14:solidFill>
                      </w14:textFill>
                    </w:rPr>
                    <w:t>处置</w:t>
                  </w:r>
                </w:p>
              </w:tc>
              <w:tc>
                <w:tcPr>
                  <w:tcW w:w="8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leftChars="0" w:firstLine="0" w:firstLineChars="0"/>
                    <w:jc w:val="center"/>
                    <w:textAlignment w:val="auto"/>
                    <w:rPr>
                      <w:rFonts w:hint="default" w:ascii="Times New Roman" w:hAnsi="Times New Roman" w:eastAsia="宋体" w:cs="Times New Roman"/>
                      <w:color w:val="000000" w:themeColor="text1"/>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z w:val="21"/>
                      <w:szCs w:val="21"/>
                      <w:u w:val="none" w:color="auto"/>
                      <w:lang w:val="en-US" w:eastAsia="zh-CN"/>
                      <w14:textFill>
                        <w14:solidFill>
                          <w14:schemeClr w14:val="tx1"/>
                        </w14:solidFill>
                      </w14:textFill>
                    </w:rPr>
                    <w:t>3</w:t>
                  </w:r>
                  <w:r>
                    <w:rPr>
                      <w:rFonts w:hint="default" w:ascii="Times New Roman" w:hAnsi="Times New Roman" w:cs="Times New Roman"/>
                      <w:color w:val="000000" w:themeColor="text1"/>
                      <w:spacing w:val="4"/>
                      <w:sz w:val="21"/>
                      <w:szCs w:val="21"/>
                      <w:u w:val="none" w:color="auto"/>
                      <w:lang w:val="en-US" w:eastAsia="zh-CN"/>
                      <w14:textFill>
                        <w14:solidFill>
                          <w14:schemeClr w14:val="tx1"/>
                        </w14:solidFill>
                      </w14:textFill>
                    </w:rPr>
                    <w:t>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firstLine="0" w:firstLineChars="0"/>
                    <w:jc w:val="center"/>
                    <w:textAlignment w:val="auto"/>
                    <w:rPr>
                      <w:rFonts w:hint="default" w:ascii="Times New Roman" w:hAnsi="Times New Roman" w:cs="Times New Roman"/>
                      <w:color w:val="000000" w:themeColor="text1"/>
                      <w:spacing w:val="4"/>
                      <w:sz w:val="21"/>
                      <w:szCs w:val="21"/>
                      <w:u w:val="none" w:color="auto"/>
                      <w14:textFill>
                        <w14:solidFill>
                          <w14:schemeClr w14:val="tx1"/>
                        </w14:solidFill>
                      </w14:textFill>
                    </w:rPr>
                  </w:pPr>
                  <w:r>
                    <w:rPr>
                      <w:rFonts w:hint="default" w:ascii="Times New Roman" w:hAnsi="Times New Roman" w:cs="Times New Roman"/>
                      <w:color w:val="000000" w:themeColor="text1"/>
                      <w:spacing w:val="4"/>
                      <w:sz w:val="21"/>
                      <w:szCs w:val="21"/>
                      <w:u w:val="none" w:color="auto"/>
                      <w:lang w:val="en-US" w:eastAsia="zh-CN"/>
                      <w14:textFill>
                        <w14:solidFill>
                          <w14:schemeClr w14:val="tx1"/>
                        </w14:solidFill>
                      </w14:textFill>
                    </w:rPr>
                    <w:t>6</w:t>
                  </w:r>
                </w:p>
              </w:tc>
              <w:tc>
                <w:tcPr>
                  <w:tcW w:w="8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leftChars="0" w:firstLine="0" w:firstLineChars="0"/>
                    <w:jc w:val="center"/>
                    <w:textAlignment w:val="auto"/>
                    <w:rPr>
                      <w:rFonts w:hint="default" w:ascii="Times New Roman" w:hAnsi="Times New Roman" w:cs="Times New Roman"/>
                      <w:color w:val="000000" w:themeColor="text1"/>
                      <w:spacing w:val="4"/>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pacing w:val="4"/>
                      <w:sz w:val="21"/>
                      <w:szCs w:val="21"/>
                      <w:u w:val="none" w:color="auto"/>
                      <w14:textFill>
                        <w14:solidFill>
                          <w14:schemeClr w14:val="tx1"/>
                        </w14:solidFill>
                      </w14:textFill>
                    </w:rPr>
                    <w:t>噪声</w:t>
                  </w:r>
                </w:p>
              </w:tc>
              <w:tc>
                <w:tcPr>
                  <w:tcW w:w="29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leftChars="0" w:firstLine="0" w:firstLineChars="0"/>
                    <w:jc w:val="center"/>
                    <w:textAlignment w:val="auto"/>
                    <w:rPr>
                      <w:rFonts w:hint="default" w:ascii="Times New Roman" w:hAnsi="Times New Roman" w:cs="Times New Roman"/>
                      <w:color w:val="000000" w:themeColor="text1"/>
                      <w:spacing w:val="4"/>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pacing w:val="4"/>
                      <w:sz w:val="21"/>
                      <w:szCs w:val="21"/>
                      <w:u w:val="none" w:color="auto"/>
                      <w14:textFill>
                        <w14:solidFill>
                          <w14:schemeClr w14:val="tx1"/>
                        </w14:solidFill>
                      </w14:textFill>
                    </w:rPr>
                    <w:t>选用低噪声设备，合理布局设备、</w:t>
                  </w:r>
                  <w:r>
                    <w:rPr>
                      <w:rFonts w:hint="default" w:ascii="Times New Roman" w:hAnsi="Times New Roman" w:cs="Times New Roman"/>
                      <w:color w:val="000000" w:themeColor="text1"/>
                      <w:spacing w:val="4"/>
                      <w:sz w:val="21"/>
                      <w:szCs w:val="21"/>
                      <w:u w:val="none" w:color="auto"/>
                      <w:lang w:eastAsia="zh-CN"/>
                      <w14:textFill>
                        <w14:solidFill>
                          <w14:schemeClr w14:val="tx1"/>
                        </w14:solidFill>
                      </w14:textFill>
                    </w:rPr>
                    <w:t>减振</w:t>
                  </w:r>
                  <w:r>
                    <w:rPr>
                      <w:rFonts w:hint="default" w:ascii="Times New Roman" w:hAnsi="Times New Roman" w:cs="Times New Roman"/>
                      <w:color w:val="000000" w:themeColor="text1"/>
                      <w:spacing w:val="4"/>
                      <w:sz w:val="21"/>
                      <w:szCs w:val="21"/>
                      <w:u w:val="none" w:color="auto"/>
                      <w14:textFill>
                        <w14:solidFill>
                          <w14:schemeClr w14:val="tx1"/>
                        </w14:solidFill>
                      </w14:textFill>
                    </w:rPr>
                    <w:t>隔声等</w:t>
                  </w:r>
                </w:p>
              </w:tc>
              <w:tc>
                <w:tcPr>
                  <w:tcW w:w="8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leftChars="0" w:firstLine="0" w:firstLineChars="0"/>
                    <w:jc w:val="center"/>
                    <w:textAlignment w:val="auto"/>
                    <w:rPr>
                      <w:rFonts w:hint="default" w:ascii="Times New Roman" w:hAnsi="Times New Roman" w:cs="Times New Roman"/>
                      <w:color w:val="000000" w:themeColor="text1"/>
                      <w:spacing w:val="4"/>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pacing w:val="4"/>
                      <w:sz w:val="21"/>
                      <w:szCs w:val="21"/>
                      <w:u w:val="none" w:color="auto"/>
                      <w14:textFill>
                        <w14:solidFill>
                          <w14:schemeClr w14:val="tx1"/>
                        </w14:solidFill>
                      </w14:textFill>
                    </w:rPr>
                    <w:t>1.5</w:t>
                  </w:r>
                  <w:r>
                    <w:rPr>
                      <w:rFonts w:hint="default" w:ascii="Times New Roman" w:hAnsi="Times New Roman" w:cs="Times New Roman"/>
                      <w:color w:val="000000" w:themeColor="text1"/>
                      <w:spacing w:val="4"/>
                      <w:sz w:val="21"/>
                      <w:szCs w:val="21"/>
                      <w:u w:val="none" w:color="auto"/>
                      <w:lang w:val="en-US" w:eastAsia="zh-CN"/>
                      <w14:textFill>
                        <w14:solidFill>
                          <w14:schemeClr w14:val="tx1"/>
                        </w14:solidFill>
                      </w14:textFill>
                    </w:rPr>
                    <w:t>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4" w:hRule="atLeast"/>
                <w:jc w:val="center"/>
              </w:trPr>
              <w:tc>
                <w:tcPr>
                  <w:tcW w:w="39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firstLine="0" w:firstLineChars="0"/>
                    <w:jc w:val="center"/>
                    <w:textAlignment w:val="auto"/>
                    <w:rPr>
                      <w:rFonts w:hint="default" w:ascii="Times New Roman" w:hAnsi="Times New Roman" w:eastAsia="宋体" w:cs="Times New Roman"/>
                      <w:color w:val="000000" w:themeColor="text1"/>
                      <w:spacing w:val="4"/>
                      <w:sz w:val="21"/>
                      <w:szCs w:val="21"/>
                      <w:u w:val="none" w:color="auto"/>
                      <w:lang w:eastAsia="zh-CN"/>
                      <w14:textFill>
                        <w14:solidFill>
                          <w14:schemeClr w14:val="tx1"/>
                        </w14:solidFill>
                      </w14:textFill>
                    </w:rPr>
                  </w:pPr>
                  <w:r>
                    <w:rPr>
                      <w:rFonts w:hint="default" w:ascii="Times New Roman" w:hAnsi="Times New Roman" w:cs="Times New Roman"/>
                      <w:color w:val="000000" w:themeColor="text1"/>
                      <w:spacing w:val="4"/>
                      <w:sz w:val="21"/>
                      <w:szCs w:val="21"/>
                      <w:u w:val="none" w:color="auto"/>
                      <w:lang w:val="en-US" w:eastAsia="zh-CN"/>
                      <w14:textFill>
                        <w14:solidFill>
                          <w14:schemeClr w14:val="tx1"/>
                        </w14:solidFill>
                      </w14:textFill>
                    </w:rPr>
                    <w:t>7</w:t>
                  </w:r>
                </w:p>
              </w:tc>
              <w:tc>
                <w:tcPr>
                  <w:tcW w:w="8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leftChars="0" w:firstLine="0" w:firstLineChars="0"/>
                    <w:jc w:val="center"/>
                    <w:textAlignment w:val="auto"/>
                    <w:rPr>
                      <w:rFonts w:hint="default" w:ascii="Times New Roman" w:hAnsi="Times New Roman" w:cs="Times New Roman"/>
                      <w:color w:val="000000" w:themeColor="text1"/>
                      <w:spacing w:val="4"/>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pacing w:val="4"/>
                      <w:sz w:val="21"/>
                      <w:szCs w:val="21"/>
                      <w:u w:val="none" w:color="auto"/>
                      <w14:textFill>
                        <w14:solidFill>
                          <w14:schemeClr w14:val="tx1"/>
                        </w14:solidFill>
                      </w14:textFill>
                    </w:rPr>
                    <w:t>环境管理</w:t>
                  </w:r>
                </w:p>
              </w:tc>
              <w:tc>
                <w:tcPr>
                  <w:tcW w:w="29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spacing w:line="400" w:lineRule="exact"/>
                    <w:ind w:left="0" w:leftChars="0" w:firstLine="0" w:firstLineChars="0"/>
                    <w:jc w:val="center"/>
                    <w:textAlignment w:val="auto"/>
                    <w:rPr>
                      <w:rFonts w:hint="default" w:ascii="Times New Roman" w:hAnsi="Times New Roman" w:cs="Times New Roman"/>
                      <w:color w:val="000000" w:themeColor="text1"/>
                      <w:spacing w:val="4"/>
                      <w:kern w:val="2"/>
                      <w:sz w:val="21"/>
                      <w:szCs w:val="21"/>
                      <w:u w:val="none" w:color="auto"/>
                      <w:lang w:val="en-US" w:eastAsia="zh-CN" w:bidi="ar-SA"/>
                      <w14:textFill>
                        <w14:solidFill>
                          <w14:schemeClr w14:val="tx1"/>
                        </w14:solidFill>
                      </w14:textFill>
                    </w:rPr>
                  </w:pPr>
                  <w:r>
                    <w:rPr>
                      <w:rFonts w:hint="default" w:ascii="Times New Roman" w:hAnsi="Times New Roman" w:cs="Times New Roman"/>
                      <w:bCs/>
                      <w:color w:val="000000" w:themeColor="text1"/>
                      <w:sz w:val="21"/>
                      <w:szCs w:val="21"/>
                      <w:u w:val="none" w:color="auto"/>
                      <w14:textFill>
                        <w14:solidFill>
                          <w14:schemeClr w14:val="tx1"/>
                        </w14:solidFill>
                      </w14:textFill>
                    </w:rPr>
                    <w:t>完善环境管理制度，完善各类标识标牌</w:t>
                  </w:r>
                  <w:r>
                    <w:rPr>
                      <w:rFonts w:hint="default" w:ascii="Times New Roman" w:hAnsi="Times New Roman" w:cs="Times New Roman"/>
                      <w:bCs/>
                      <w:color w:val="000000" w:themeColor="text1"/>
                      <w:sz w:val="21"/>
                      <w:szCs w:val="21"/>
                      <w:u w:val="none" w:color="auto"/>
                      <w:lang w:eastAsia="zh-CN"/>
                      <w14:textFill>
                        <w14:solidFill>
                          <w14:schemeClr w14:val="tx1"/>
                        </w14:solidFill>
                      </w14:textFill>
                    </w:rPr>
                    <w:t>；</w:t>
                  </w:r>
                  <w: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t>设吸油毡、应急泵、沙袋、消防器材等应急物资；地下水监测及防治措施，风险防范措施等</w:t>
                  </w:r>
                </w:p>
              </w:tc>
              <w:tc>
                <w:tcPr>
                  <w:tcW w:w="8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leftChars="0" w:firstLine="0" w:firstLineChars="0"/>
                    <w:jc w:val="center"/>
                    <w:textAlignment w:val="auto"/>
                    <w:rPr>
                      <w:rFonts w:hint="default" w:ascii="Times New Roman" w:hAnsi="Times New Roman" w:cs="Times New Roman"/>
                      <w:color w:val="000000" w:themeColor="text1"/>
                      <w:spacing w:val="4"/>
                      <w:kern w:val="2"/>
                      <w:sz w:val="21"/>
                      <w:szCs w:val="21"/>
                      <w:u w:val="none" w:color="auto"/>
                      <w:lang w:val="en-US" w:eastAsia="zh-CN" w:bidi="ar-SA"/>
                      <w14:textFill>
                        <w14:solidFill>
                          <w14:schemeClr w14:val="tx1"/>
                        </w14:solidFill>
                      </w14:textFill>
                    </w:rPr>
                  </w:pPr>
                  <w:r>
                    <w:rPr>
                      <w:rFonts w:hint="default" w:ascii="Times New Roman" w:hAnsi="Times New Roman" w:cs="Times New Roman"/>
                      <w:color w:val="000000" w:themeColor="text1"/>
                      <w:spacing w:val="4"/>
                      <w:sz w:val="21"/>
                      <w:szCs w:val="21"/>
                      <w:u w:val="none" w:color="auto"/>
                      <w14:textFill>
                        <w14:solidFill>
                          <w14:schemeClr w14:val="tx1"/>
                        </w14:solidFill>
                      </w14:textFill>
                    </w:rPr>
                    <w:t>5</w:t>
                  </w:r>
                  <w:r>
                    <w:rPr>
                      <w:rFonts w:hint="default" w:ascii="Times New Roman" w:hAnsi="Times New Roman" w:cs="Times New Roman"/>
                      <w:color w:val="000000" w:themeColor="text1"/>
                      <w:spacing w:val="4"/>
                      <w:sz w:val="21"/>
                      <w:szCs w:val="21"/>
                      <w:u w:val="none" w:color="auto"/>
                      <w:lang w:val="en-US" w:eastAsia="zh-CN"/>
                      <w14:textFill>
                        <w14:solidFill>
                          <w14:schemeClr w14:val="tx1"/>
                        </w14:solidFill>
                      </w14:textFill>
                    </w:rPr>
                    <w:t>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4156" w:type="pct"/>
                  <w:gridSpan w:val="3"/>
                  <w:tcBorders>
                    <w:tl2br w:val="nil"/>
                    <w:tr2bl w:val="nil"/>
                  </w:tcBorders>
                  <w:noWrap w:val="0"/>
                  <w:vAlign w:val="center"/>
                </w:tcPr>
                <w:p>
                  <w:pPr>
                    <w:keepNext w:val="0"/>
                    <w:keepLines w:val="0"/>
                    <w:pageBreakBefore w:val="0"/>
                    <w:widowControl w:val="0"/>
                    <w:kinsoku/>
                    <w:wordWrap/>
                    <w:overflowPunct/>
                    <w:topLinePunct w:val="0"/>
                    <w:autoSpaceDE/>
                    <w:autoSpaceDN/>
                    <w:bidi w:val="0"/>
                    <w:snapToGrid/>
                    <w:spacing w:line="400" w:lineRule="exact"/>
                    <w:ind w:left="0" w:firstLine="0" w:firstLineChars="0"/>
                    <w:jc w:val="center"/>
                    <w:textAlignment w:val="auto"/>
                    <w:rPr>
                      <w:rFonts w:hint="default" w:ascii="Times New Roman" w:hAnsi="Times New Roman" w:eastAsia="宋体" w:cs="Times New Roman"/>
                      <w:bCs/>
                      <w:color w:val="000000" w:themeColor="text1"/>
                      <w:sz w:val="21"/>
                      <w:szCs w:val="21"/>
                      <w:u w:val="none" w:color="auto"/>
                      <w:lang w:val="en-US" w:eastAsia="zh-CN"/>
                      <w14:textFill>
                        <w14:solidFill>
                          <w14:schemeClr w14:val="tx1"/>
                        </w14:solidFill>
                      </w14:textFill>
                    </w:rPr>
                  </w:pPr>
                  <w:r>
                    <w:rPr>
                      <w:rFonts w:hint="default" w:ascii="Times New Roman" w:hAnsi="Times New Roman" w:cs="Times New Roman"/>
                      <w:bCs/>
                      <w:color w:val="000000" w:themeColor="text1"/>
                      <w:sz w:val="21"/>
                      <w:szCs w:val="21"/>
                      <w:u w:val="none" w:color="auto"/>
                      <w:lang w:val="en-US" w:eastAsia="zh-CN"/>
                      <w14:textFill>
                        <w14:solidFill>
                          <w14:schemeClr w14:val="tx1"/>
                        </w14:solidFill>
                      </w14:textFill>
                    </w:rPr>
                    <w:t>合计</w:t>
                  </w:r>
                </w:p>
              </w:tc>
              <w:tc>
                <w:tcPr>
                  <w:tcW w:w="84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spacing w:line="400" w:lineRule="exact"/>
                    <w:ind w:left="0" w:firstLine="0" w:firstLineChars="0"/>
                    <w:jc w:val="center"/>
                    <w:textAlignment w:val="auto"/>
                    <w:rPr>
                      <w:rFonts w:hint="default" w:ascii="Times New Roman" w:hAnsi="Times New Roman" w:eastAsia="宋体" w:cs="Times New Roman"/>
                      <w:color w:val="000000" w:themeColor="text1"/>
                      <w:spacing w:val="4"/>
                      <w:sz w:val="21"/>
                      <w:szCs w:val="21"/>
                      <w:u w:val="none" w:color="auto"/>
                      <w:lang w:val="en-US" w:eastAsia="zh-CN"/>
                      <w14:textFill>
                        <w14:solidFill>
                          <w14:schemeClr w14:val="tx1"/>
                        </w14:solidFill>
                      </w14:textFill>
                    </w:rPr>
                  </w:pPr>
                  <w:r>
                    <w:rPr>
                      <w:rFonts w:hint="default" w:ascii="Times New Roman" w:hAnsi="Times New Roman" w:cs="Times New Roman"/>
                      <w:color w:val="000000" w:themeColor="text1"/>
                      <w:spacing w:val="4"/>
                      <w:sz w:val="21"/>
                      <w:szCs w:val="21"/>
                      <w:u w:val="none" w:color="auto"/>
                      <w:lang w:val="en-US" w:eastAsia="zh-CN"/>
                      <w14:textFill>
                        <w14:solidFill>
                          <w14:schemeClr w14:val="tx1"/>
                        </w14:solidFill>
                      </w14:textFill>
                    </w:rPr>
                    <w:t>68.1万元</w:t>
                  </w:r>
                </w:p>
              </w:tc>
            </w:tr>
          </w:tbl>
          <w:p>
            <w:pPr>
              <w:keepNext w:val="0"/>
              <w:keepLines w:val="0"/>
              <w:pageBreakBefore w:val="0"/>
              <w:widowControl w:val="0"/>
              <w:kinsoku/>
              <w:wordWrap/>
              <w:overflowPunct/>
              <w:topLinePunct w:val="0"/>
              <w:autoSpaceDE/>
              <w:autoSpaceDN/>
              <w:bidi w:val="0"/>
              <w:adjustRightInd w:val="0"/>
              <w:snapToGrid w:val="0"/>
              <w:spacing w:line="480" w:lineRule="exact"/>
              <w:ind w:left="0" w:leftChars="0" w:firstLine="420" w:firstLineChars="200"/>
              <w:textAlignment w:val="auto"/>
              <w:rPr>
                <w:rFonts w:hint="default" w:ascii="Times New Roman" w:hAnsi="Times New Roman" w:cs="Times New Roman"/>
                <w:color w:val="000000" w:themeColor="text1"/>
                <w:szCs w:val="21"/>
                <w14:textFill>
                  <w14:solidFill>
                    <w14:schemeClr w14:val="tx1"/>
                  </w14:solidFill>
                </w14:textFill>
              </w:rPr>
            </w:pPr>
          </w:p>
        </w:tc>
      </w:tr>
    </w:tbl>
    <w:p>
      <w:pPr>
        <w:adjustRightInd w:val="0"/>
        <w:snapToGrid w:val="0"/>
        <w:spacing w:line="360" w:lineRule="auto"/>
        <w:rPr>
          <w:rFonts w:hint="default" w:ascii="Times New Roman" w:hAnsi="Times New Roman" w:cs="Times New Roman"/>
          <w:b/>
          <w:color w:val="000000" w:themeColor="text1"/>
          <w:kern w:val="0"/>
          <w:sz w:val="28"/>
          <w:szCs w:val="28"/>
          <w14:textFill>
            <w14:solidFill>
              <w14:schemeClr w14:val="tx1"/>
            </w14:solidFill>
          </w14:textFill>
        </w:rPr>
        <w:sectPr>
          <w:pgSz w:w="11905" w:h="16838"/>
          <w:pgMar w:top="1247" w:right="1247" w:bottom="1247" w:left="1247" w:header="851" w:footer="1077" w:gutter="0"/>
          <w:pgBorders>
            <w:top w:val="none" w:sz="0" w:space="0"/>
            <w:left w:val="none" w:sz="0" w:space="0"/>
            <w:bottom w:val="none" w:sz="0" w:space="0"/>
            <w:right w:val="none" w:sz="0" w:space="0"/>
          </w:pgBorders>
          <w:cols w:space="720" w:num="1"/>
          <w:rtlGutter w:val="0"/>
          <w:docGrid w:linePitch="312" w:charSpace="0"/>
        </w:sectPr>
      </w:pPr>
    </w:p>
    <w:p>
      <w:pPr>
        <w:pStyle w:val="33"/>
        <w:jc w:val="center"/>
        <w:outlineLvl w:val="0"/>
        <w:rPr>
          <w:rFonts w:hint="default" w:ascii="Times New Roman" w:hAnsi="Times New Roman" w:eastAsia="黑体" w:cs="Times New Roman"/>
          <w:snapToGrid w:val="0"/>
          <w:color w:val="000000" w:themeColor="text1"/>
          <w:sz w:val="30"/>
          <w:szCs w:val="30"/>
          <w14:textFill>
            <w14:solidFill>
              <w14:schemeClr w14:val="tx1"/>
            </w14:solidFill>
          </w14:textFill>
        </w:rPr>
      </w:pPr>
      <w:r>
        <w:rPr>
          <w:rFonts w:hint="default" w:ascii="Times New Roman" w:hAnsi="Times New Roman" w:eastAsia="黑体" w:cs="Times New Roman"/>
          <w:snapToGrid w:val="0"/>
          <w:color w:val="000000" w:themeColor="text1"/>
          <w:sz w:val="30"/>
          <w:szCs w:val="30"/>
          <w14:textFill>
            <w14:solidFill>
              <w14:schemeClr w14:val="tx1"/>
            </w14:solidFill>
          </w14:textFill>
        </w:rPr>
        <w:t>五、</w:t>
      </w:r>
      <w:bookmarkStart w:id="8" w:name="_Hlk54167917"/>
      <w:r>
        <w:rPr>
          <w:rFonts w:hint="default" w:ascii="Times New Roman" w:hAnsi="Times New Roman" w:eastAsia="黑体" w:cs="Times New Roman"/>
          <w:snapToGrid w:val="0"/>
          <w:color w:val="000000" w:themeColor="text1"/>
          <w:sz w:val="30"/>
          <w:szCs w:val="30"/>
          <w14:textFill>
            <w14:solidFill>
              <w14:schemeClr w14:val="tx1"/>
            </w14:solidFill>
          </w14:textFill>
        </w:rPr>
        <w:t>环境保护措施监督检查清单</w:t>
      </w:r>
      <w:bookmarkEnd w:id="8"/>
    </w:p>
    <w:tbl>
      <w:tblPr>
        <w:tblStyle w:val="3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74"/>
        <w:gridCol w:w="1506"/>
        <w:gridCol w:w="1044"/>
        <w:gridCol w:w="2001"/>
        <w:gridCol w:w="400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558" w:type="pct"/>
            <w:tcBorders>
              <w:tl2br w:val="single" w:color="auto"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400" w:lineRule="exact"/>
              <w:ind w:firstLine="422" w:firstLineChars="200"/>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内容</w:t>
            </w:r>
          </w:p>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要素</w:t>
            </w:r>
          </w:p>
        </w:tc>
        <w:tc>
          <w:tcPr>
            <w:tcW w:w="78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排放口(编号、名称)/污染源</w:t>
            </w:r>
          </w:p>
        </w:tc>
        <w:tc>
          <w:tcPr>
            <w:tcW w:w="54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污染物项目</w:t>
            </w:r>
          </w:p>
        </w:tc>
        <w:tc>
          <w:tcPr>
            <w:tcW w:w="1039"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环境保护措施</w:t>
            </w:r>
          </w:p>
        </w:tc>
        <w:tc>
          <w:tcPr>
            <w:tcW w:w="207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b/>
                <w:bCs/>
                <w:color w:val="000000" w:themeColor="text1"/>
                <w:sz w:val="21"/>
                <w:szCs w:val="21"/>
                <w14:textFill>
                  <w14:solidFill>
                    <w14:schemeClr w14:val="tx1"/>
                  </w14:solidFill>
                </w14:textFill>
              </w:rPr>
            </w:pPr>
            <w:r>
              <w:rPr>
                <w:rFonts w:hint="default" w:ascii="Times New Roman" w:hAnsi="Times New Roman" w:cs="Times New Roman"/>
                <w:b/>
                <w:bCs/>
                <w:color w:val="000000" w:themeColor="text1"/>
                <w:sz w:val="21"/>
                <w:szCs w:val="21"/>
                <w14:textFill>
                  <w14:solidFill>
                    <w14:schemeClr w14:val="tx1"/>
                  </w14:solidFill>
                </w14:textFill>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大气环境</w:t>
            </w:r>
          </w:p>
        </w:tc>
        <w:tc>
          <w:tcPr>
            <w:tcW w:w="78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卸油、储油、加油系统（无组织）</w:t>
            </w:r>
          </w:p>
        </w:tc>
        <w:tc>
          <w:tcPr>
            <w:tcW w:w="542" w:type="pct"/>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1039" w:type="pct"/>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采用密闭卸油方式、安装油气回收装置，按操作规范进行装卸油和加油工作</w:t>
            </w:r>
          </w:p>
        </w:tc>
        <w:tc>
          <w:tcPr>
            <w:tcW w:w="207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《加油站大气污染物排放标准》（GB20952-2020），《关于全省开展工业企业挥发性有机物专项治理工作中排放建议值的通知》豫环攻坚办</w:t>
            </w:r>
            <w:r>
              <w:rPr>
                <w:rFonts w:hint="default" w:ascii="Times New Roman" w:hAnsi="Times New Roman" w:cs="Times New Roman"/>
                <w:color w:val="000000" w:themeColor="text1"/>
                <w:sz w:val="21"/>
                <w:szCs w:val="21"/>
                <w:lang w:eastAsia="zh-CN"/>
                <w14:textFill>
                  <w14:solidFill>
                    <w14:schemeClr w14:val="tx1"/>
                  </w14:solidFill>
                </w14:textFill>
              </w:rPr>
              <w:t>[2017]162</w:t>
            </w:r>
            <w:r>
              <w:rPr>
                <w:rFonts w:hint="default" w:ascii="Times New Roman" w:hAnsi="Times New Roman" w:cs="Times New Roman"/>
                <w:color w:val="000000" w:themeColor="text1"/>
                <w:sz w:val="21"/>
                <w:szCs w:val="21"/>
                <w14:textFill>
                  <w14:solidFill>
                    <w14:schemeClr w14:val="tx1"/>
                  </w14:solidFill>
                </w14:textFill>
              </w:rPr>
              <w:t>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5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地表水环境</w:t>
            </w:r>
          </w:p>
        </w:tc>
        <w:tc>
          <w:tcPr>
            <w:tcW w:w="782"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生活污水</w:t>
            </w:r>
          </w:p>
        </w:tc>
        <w:tc>
          <w:tcPr>
            <w:tcW w:w="542" w:type="pct"/>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COD、SS、氨氮</w:t>
            </w:r>
          </w:p>
        </w:tc>
        <w:tc>
          <w:tcPr>
            <w:tcW w:w="1039" w:type="pct"/>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生活污水经化粪池处理</w:t>
            </w:r>
          </w:p>
        </w:tc>
        <w:tc>
          <w:tcPr>
            <w:tcW w:w="2077"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《污水综合排放标准》（GB8978-1996）表4</w:t>
            </w:r>
            <w:r>
              <w:rPr>
                <w:rFonts w:hint="default" w:ascii="Times New Roman" w:hAnsi="Times New Roman" w:cs="Times New Roman"/>
                <w:color w:val="000000" w:themeColor="text1"/>
                <w:kern w:val="0"/>
                <w:sz w:val="21"/>
                <w:szCs w:val="21"/>
                <w:lang w:val="en-US" w:eastAsia="zh-CN"/>
                <w14:textFill>
                  <w14:solidFill>
                    <w14:schemeClr w14:val="tx1"/>
                  </w14:solidFill>
                </w14:textFill>
              </w:rPr>
              <w:t>二</w:t>
            </w:r>
            <w:r>
              <w:rPr>
                <w:rFonts w:hint="default" w:ascii="Times New Roman" w:hAnsi="Times New Roman" w:cs="Times New Roman"/>
                <w:color w:val="000000" w:themeColor="text1"/>
                <w:kern w:val="0"/>
                <w:sz w:val="21"/>
                <w:szCs w:val="21"/>
                <w14:textFill>
                  <w14:solidFill>
                    <w14:schemeClr w14:val="tx1"/>
                  </w14:solidFill>
                </w14:textFill>
              </w:rPr>
              <w:t>级标准和漯河经济技术产业集聚区污水处理厂进水水质要求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558" w:type="pct"/>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声环境</w:t>
            </w:r>
          </w:p>
        </w:tc>
        <w:tc>
          <w:tcPr>
            <w:tcW w:w="782" w:type="pct"/>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lang w:val="en-US" w:eastAsia="zh-CN"/>
                <w14:textFill>
                  <w14:solidFill>
                    <w14:schemeClr w14:val="tx1"/>
                  </w14:solidFill>
                </w14:textFill>
              </w:rPr>
              <w:t>加油区</w:t>
            </w:r>
            <w:r>
              <w:rPr>
                <w:rFonts w:hint="default" w:ascii="Times New Roman" w:hAnsi="Times New Roman" w:cs="Times New Roman"/>
                <w:color w:val="000000" w:themeColor="text1"/>
                <w:kern w:val="0"/>
                <w:sz w:val="21"/>
                <w:szCs w:val="21"/>
                <w14:textFill>
                  <w14:solidFill>
                    <w14:schemeClr w14:val="tx1"/>
                  </w14:solidFill>
                </w14:textFill>
              </w:rPr>
              <w:t>高噪声设备</w:t>
            </w:r>
          </w:p>
        </w:tc>
        <w:tc>
          <w:tcPr>
            <w:tcW w:w="542" w:type="pct"/>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等效A声级</w:t>
            </w:r>
          </w:p>
        </w:tc>
        <w:tc>
          <w:tcPr>
            <w:tcW w:w="1039" w:type="pct"/>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基础减震，隔声</w:t>
            </w:r>
          </w:p>
        </w:tc>
        <w:tc>
          <w:tcPr>
            <w:tcW w:w="2077" w:type="pct"/>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《工业企业厂界环境噪声排放标准》（GB12348-2008）2</w:t>
            </w:r>
            <w:r>
              <w:rPr>
                <w:rFonts w:hint="default" w:ascii="Times New Roman" w:hAnsi="Times New Roman" w:cs="Times New Roman"/>
                <w:color w:val="000000" w:themeColor="text1"/>
                <w:sz w:val="21"/>
                <w:szCs w:val="21"/>
                <w:lang w:eastAsia="zh-CN"/>
                <w14:textFill>
                  <w14:solidFill>
                    <w14:schemeClr w14:val="tx1"/>
                  </w14:solidFill>
                </w14:textFill>
              </w:rPr>
              <w:t>、</w:t>
            </w:r>
            <w:r>
              <w:rPr>
                <w:rFonts w:hint="default" w:ascii="Times New Roman" w:hAnsi="Times New Roman" w:cs="Times New Roman"/>
                <w:color w:val="000000" w:themeColor="text1"/>
                <w:sz w:val="21"/>
                <w:szCs w:val="21"/>
                <w:lang w:val="en-US" w:eastAsia="zh-CN"/>
                <w14:textFill>
                  <w14:solidFill>
                    <w14:schemeClr w14:val="tx1"/>
                  </w14:solidFill>
                </w14:textFill>
              </w:rPr>
              <w:t>4</w:t>
            </w:r>
            <w:r>
              <w:rPr>
                <w:rFonts w:hint="default" w:ascii="Times New Roman" w:hAnsi="Times New Roman" w:cs="Times New Roman"/>
                <w:color w:val="000000" w:themeColor="text1"/>
                <w:sz w:val="21"/>
                <w:szCs w:val="21"/>
                <w14:textFill>
                  <w14:solidFill>
                    <w14:schemeClr w14:val="tx1"/>
                  </w14:solidFill>
                </w14:textFill>
              </w:rPr>
              <w:t>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7" w:hRule="atLeast"/>
          <w:jc w:val="center"/>
        </w:trPr>
        <w:tc>
          <w:tcPr>
            <w:tcW w:w="558" w:type="pct"/>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电磁辐射</w:t>
            </w:r>
          </w:p>
        </w:tc>
        <w:tc>
          <w:tcPr>
            <w:tcW w:w="4441" w:type="pct"/>
            <w:gridSpan w:val="4"/>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不涉及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5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固体废物</w:t>
            </w:r>
          </w:p>
        </w:tc>
        <w:tc>
          <w:tcPr>
            <w:tcW w:w="4441" w:type="pct"/>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委托有资质单位清理储油罐，产生</w:t>
            </w:r>
            <w:r>
              <w:rPr>
                <w:rFonts w:hint="default" w:ascii="Times New Roman" w:hAnsi="Times New Roman" w:cs="Times New Roman"/>
                <w:color w:val="000000" w:themeColor="text1"/>
                <w:kern w:val="0"/>
                <w:sz w:val="21"/>
                <w:szCs w:val="21"/>
                <w:lang w:val="en-US" w:eastAsia="zh-CN"/>
                <w14:textFill>
                  <w14:solidFill>
                    <w14:schemeClr w14:val="tx1"/>
                  </w14:solidFill>
                </w14:textFill>
              </w:rPr>
              <w:t>的</w:t>
            </w:r>
            <w:r>
              <w:rPr>
                <w:rFonts w:hint="default" w:ascii="Times New Roman" w:hAnsi="Times New Roman" w:cs="Times New Roman"/>
                <w:color w:val="000000" w:themeColor="text1"/>
                <w:kern w:val="0"/>
                <w:sz w:val="21"/>
                <w:szCs w:val="21"/>
                <w14:textFill>
                  <w14:solidFill>
                    <w14:schemeClr w14:val="tx1"/>
                  </w14:solidFill>
                </w14:textFill>
              </w:rPr>
              <w:t>油泥直接由资质单位带走进行处置，不在站内暂存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98" w:hRule="atLeast"/>
          <w:jc w:val="center"/>
        </w:trPr>
        <w:tc>
          <w:tcPr>
            <w:tcW w:w="5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土壤及地下水污染防治措施</w:t>
            </w:r>
          </w:p>
        </w:tc>
        <w:tc>
          <w:tcPr>
            <w:tcW w:w="4441" w:type="pct"/>
            <w:gridSpan w:val="4"/>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left"/>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lang w:eastAsia="zh-CN"/>
                <w14:textFill>
                  <w14:solidFill>
                    <w14:schemeClr w14:val="tx1"/>
                  </w14:solidFill>
                </w14:textFill>
              </w:rPr>
              <w:t>（</w:t>
            </w:r>
            <w:r>
              <w:rPr>
                <w:rFonts w:hint="default" w:ascii="Times New Roman" w:hAnsi="Times New Roman" w:cs="Times New Roman"/>
                <w:color w:val="000000" w:themeColor="text1"/>
                <w:kern w:val="0"/>
                <w:sz w:val="21"/>
                <w:szCs w:val="21"/>
                <w:lang w:val="en-US" w:eastAsia="zh-CN"/>
                <w14:textFill>
                  <w14:solidFill>
                    <w14:schemeClr w14:val="tx1"/>
                  </w14:solidFill>
                </w14:textFill>
              </w:rPr>
              <w:t>1</w:t>
            </w:r>
            <w:r>
              <w:rPr>
                <w:rFonts w:hint="default" w:ascii="Times New Roman" w:hAnsi="Times New Roman" w:cs="Times New Roman"/>
                <w:color w:val="000000" w:themeColor="text1"/>
                <w:kern w:val="0"/>
                <w:sz w:val="21"/>
                <w:szCs w:val="21"/>
                <w:lang w:eastAsia="zh-CN"/>
                <w14:textFill>
                  <w14:solidFill>
                    <w14:schemeClr w14:val="tx1"/>
                  </w14:solidFill>
                </w14:textFill>
              </w:rPr>
              <w:t>）</w:t>
            </w:r>
            <w:r>
              <w:rPr>
                <w:rFonts w:hint="default" w:ascii="Times New Roman" w:hAnsi="Times New Roman" w:cs="Times New Roman"/>
                <w:color w:val="000000" w:themeColor="text1"/>
                <w:kern w:val="0"/>
                <w:sz w:val="21"/>
                <w:szCs w:val="21"/>
                <w14:textFill>
                  <w14:solidFill>
                    <w14:schemeClr w14:val="tx1"/>
                  </w14:solidFill>
                </w14:textFill>
              </w:rPr>
              <w:t>对埋地储罐储池、输油管道、沉淀池进行重点防渗，对加油区、卸油区进行一般防渗，站房及加油区其他区域地面进行一般地面硬化。一般污染防渗区防渗层的防渗性能应不低于1.5m 厚渗透系数为1.0×10</w:t>
            </w:r>
            <w:r>
              <w:rPr>
                <w:rFonts w:hint="default" w:ascii="Times New Roman" w:hAnsi="Times New Roman" w:cs="Times New Roman"/>
                <w:color w:val="000000" w:themeColor="text1"/>
                <w:kern w:val="0"/>
                <w:sz w:val="21"/>
                <w:szCs w:val="21"/>
                <w:vertAlign w:val="superscript"/>
                <w14:textFill>
                  <w14:solidFill>
                    <w14:schemeClr w14:val="tx1"/>
                  </w14:solidFill>
                </w14:textFill>
              </w:rPr>
              <w:t>-7</w:t>
            </w:r>
            <w:r>
              <w:rPr>
                <w:rFonts w:hint="default" w:ascii="Times New Roman" w:hAnsi="Times New Roman" w:cs="Times New Roman"/>
                <w:color w:val="000000" w:themeColor="text1"/>
                <w:kern w:val="0"/>
                <w:sz w:val="21"/>
                <w:szCs w:val="21"/>
                <w14:textFill>
                  <w14:solidFill>
                    <w14:schemeClr w14:val="tx1"/>
                  </w14:solidFill>
                </w14:textFill>
              </w:rPr>
              <w:t>cm/s 的</w:t>
            </w:r>
            <w:r>
              <w:rPr>
                <w:rFonts w:hint="default" w:ascii="Times New Roman" w:hAnsi="Times New Roman" w:cs="Times New Roman"/>
                <w:color w:val="000000" w:themeColor="text1"/>
                <w:kern w:val="0"/>
                <w:sz w:val="21"/>
                <w:szCs w:val="21"/>
                <w:lang w:eastAsia="zh-CN"/>
                <w14:textFill>
                  <w14:solidFill>
                    <w14:schemeClr w14:val="tx1"/>
                  </w14:solidFill>
                </w14:textFill>
              </w:rPr>
              <w:t>黏土层</w:t>
            </w:r>
            <w:r>
              <w:rPr>
                <w:rFonts w:hint="default" w:ascii="Times New Roman" w:hAnsi="Times New Roman" w:cs="Times New Roman"/>
                <w:color w:val="000000" w:themeColor="text1"/>
                <w:kern w:val="0"/>
                <w:sz w:val="21"/>
                <w:szCs w:val="21"/>
                <w14:textFill>
                  <w14:solidFill>
                    <w14:schemeClr w14:val="tx1"/>
                  </w14:solidFill>
                </w14:textFill>
              </w:rPr>
              <w:t>的防渗性能；重点污染防治区防渗层的防渗性能应不低于 6.0m 厚渗透系数为 1.0×10</w:t>
            </w:r>
            <w:r>
              <w:rPr>
                <w:rFonts w:hint="default" w:ascii="Times New Roman" w:hAnsi="Times New Roman" w:cs="Times New Roman"/>
                <w:color w:val="000000" w:themeColor="text1"/>
                <w:kern w:val="0"/>
                <w:sz w:val="21"/>
                <w:szCs w:val="21"/>
                <w:vertAlign w:val="superscript"/>
                <w14:textFill>
                  <w14:solidFill>
                    <w14:schemeClr w14:val="tx1"/>
                  </w14:solidFill>
                </w14:textFill>
              </w:rPr>
              <w:t>-7</w:t>
            </w:r>
            <w:r>
              <w:rPr>
                <w:rFonts w:hint="default" w:ascii="Times New Roman" w:hAnsi="Times New Roman" w:cs="Times New Roman"/>
                <w:color w:val="000000" w:themeColor="text1"/>
                <w:kern w:val="0"/>
                <w:sz w:val="21"/>
                <w:szCs w:val="21"/>
                <w14:textFill>
                  <w14:solidFill>
                    <w14:schemeClr w14:val="tx1"/>
                  </w14:solidFill>
                </w14:textFill>
              </w:rPr>
              <w:t>cm/s 的</w:t>
            </w:r>
            <w:r>
              <w:rPr>
                <w:rFonts w:hint="default" w:ascii="Times New Roman" w:hAnsi="Times New Roman" w:cs="Times New Roman"/>
                <w:color w:val="000000" w:themeColor="text1"/>
                <w:kern w:val="0"/>
                <w:sz w:val="21"/>
                <w:szCs w:val="21"/>
                <w:lang w:eastAsia="zh-CN"/>
                <w14:textFill>
                  <w14:solidFill>
                    <w14:schemeClr w14:val="tx1"/>
                  </w14:solidFill>
                </w14:textFill>
              </w:rPr>
              <w:t>黏土层</w:t>
            </w:r>
            <w:r>
              <w:rPr>
                <w:rFonts w:hint="default" w:ascii="Times New Roman" w:hAnsi="Times New Roman" w:cs="Times New Roman"/>
                <w:color w:val="000000" w:themeColor="text1"/>
                <w:kern w:val="0"/>
                <w:sz w:val="21"/>
                <w:szCs w:val="21"/>
                <w14:textFill>
                  <w14:solidFill>
                    <w14:schemeClr w14:val="tx1"/>
                  </w14:solidFill>
                </w14:textFill>
              </w:rPr>
              <w:t xml:space="preserve">的防渗性能。 </w:t>
            </w:r>
          </w:p>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jc w:val="left"/>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lang w:eastAsia="zh-CN"/>
                <w14:textFill>
                  <w14:solidFill>
                    <w14:schemeClr w14:val="tx1"/>
                  </w14:solidFill>
                </w14:textFill>
              </w:rPr>
              <w:t>（</w:t>
            </w:r>
            <w:r>
              <w:rPr>
                <w:rFonts w:hint="default" w:ascii="Times New Roman" w:hAnsi="Times New Roman" w:cs="Times New Roman"/>
                <w:color w:val="000000" w:themeColor="text1"/>
                <w:kern w:val="0"/>
                <w:sz w:val="21"/>
                <w:szCs w:val="21"/>
                <w:lang w:val="en-US" w:eastAsia="zh-CN"/>
                <w14:textFill>
                  <w14:solidFill>
                    <w14:schemeClr w14:val="tx1"/>
                  </w14:solidFill>
                </w14:textFill>
              </w:rPr>
              <w:t>2</w:t>
            </w:r>
            <w:r>
              <w:rPr>
                <w:rFonts w:hint="default" w:ascii="Times New Roman" w:hAnsi="Times New Roman" w:cs="Times New Roman"/>
                <w:color w:val="000000" w:themeColor="text1"/>
                <w:kern w:val="0"/>
                <w:sz w:val="21"/>
                <w:szCs w:val="21"/>
                <w:lang w:eastAsia="zh-CN"/>
                <w14:textFill>
                  <w14:solidFill>
                    <w14:schemeClr w14:val="tx1"/>
                  </w14:solidFill>
                </w14:textFill>
              </w:rPr>
              <w:t>）</w:t>
            </w:r>
            <w:r>
              <w:rPr>
                <w:rFonts w:hint="default" w:ascii="Times New Roman" w:hAnsi="Times New Roman" w:cs="Times New Roman"/>
                <w:color w:val="000000" w:themeColor="text1"/>
                <w:kern w:val="0"/>
                <w:sz w:val="21"/>
                <w:szCs w:val="21"/>
                <w14:textFill>
                  <w14:solidFill>
                    <w14:schemeClr w14:val="tx1"/>
                  </w14:solidFill>
                </w14:textFill>
              </w:rPr>
              <w:t xml:space="preserve">地下储油罐、输油管线须安装渗漏感应设施，以便及时发现泄漏及时处理。油罐应设有高液位报警功能液位计，防止卸油超量导致油品外溢。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8" w:hRule="atLeast"/>
          <w:jc w:val="center"/>
        </w:trPr>
        <w:tc>
          <w:tcPr>
            <w:tcW w:w="5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生态保护措施</w:t>
            </w:r>
          </w:p>
        </w:tc>
        <w:tc>
          <w:tcPr>
            <w:tcW w:w="4441" w:type="pct"/>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不涉及</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32" w:hRule="atLeast"/>
          <w:jc w:val="center"/>
        </w:trPr>
        <w:tc>
          <w:tcPr>
            <w:tcW w:w="5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spacing w:val="-8"/>
                <w:sz w:val="21"/>
                <w:szCs w:val="21"/>
                <w14:textFill>
                  <w14:solidFill>
                    <w14:schemeClr w14:val="tx1"/>
                  </w14:solidFill>
                </w14:textFill>
              </w:rPr>
            </w:pPr>
            <w:r>
              <w:rPr>
                <w:rFonts w:hint="default" w:ascii="Times New Roman" w:hAnsi="Times New Roman" w:cs="Times New Roman"/>
                <w:color w:val="000000" w:themeColor="text1"/>
                <w:spacing w:val="-8"/>
                <w:sz w:val="21"/>
                <w:szCs w:val="21"/>
                <w14:textFill>
                  <w14:solidFill>
                    <w14:schemeClr w14:val="tx1"/>
                  </w14:solidFill>
                </w14:textFill>
              </w:rPr>
              <w:t>环境风险</w:t>
            </w:r>
          </w:p>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spacing w:val="-8"/>
                <w:sz w:val="21"/>
                <w:szCs w:val="21"/>
                <w14:textFill>
                  <w14:solidFill>
                    <w14:schemeClr w14:val="tx1"/>
                  </w14:solidFill>
                </w14:textFill>
              </w:rPr>
            </w:pPr>
            <w:r>
              <w:rPr>
                <w:rFonts w:hint="default" w:ascii="Times New Roman" w:hAnsi="Times New Roman" w:cs="Times New Roman"/>
                <w:color w:val="000000" w:themeColor="text1"/>
                <w:spacing w:val="-8"/>
                <w:sz w:val="21"/>
                <w:szCs w:val="21"/>
                <w14:textFill>
                  <w14:solidFill>
                    <w14:schemeClr w14:val="tx1"/>
                  </w14:solidFill>
                </w14:textFill>
              </w:rPr>
              <w:t>防范措施</w:t>
            </w:r>
          </w:p>
        </w:tc>
        <w:tc>
          <w:tcPr>
            <w:tcW w:w="4441" w:type="pct"/>
            <w:gridSpan w:val="4"/>
            <w:noWrap w:val="0"/>
            <w:vAlign w:val="center"/>
          </w:tcPr>
          <w:p>
            <w:pPr>
              <w:pStyle w:val="36"/>
              <w:keepNext w:val="0"/>
              <w:keepLines w:val="0"/>
              <w:pageBreakBefore w:val="0"/>
              <w:widowControl w:val="0"/>
              <w:numPr>
                <w:ilvl w:val="0"/>
                <w:numId w:val="6"/>
              </w:numPr>
              <w:kinsoku/>
              <w:wordWrap/>
              <w:overflowPunct/>
              <w:topLinePunct w:val="0"/>
              <w:autoSpaceDE/>
              <w:autoSpaceDN/>
              <w:bidi w:val="0"/>
              <w:spacing w:line="400" w:lineRule="exact"/>
              <w:ind w:firstLine="0" w:firstLineChars="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严格执行国家及有关法律、规范，贯彻执行“安全第一、预防为主”规 定；</w:t>
            </w:r>
          </w:p>
          <w:p>
            <w:pPr>
              <w:pStyle w:val="36"/>
              <w:keepNext w:val="0"/>
              <w:keepLines w:val="0"/>
              <w:pageBreakBefore w:val="0"/>
              <w:widowControl w:val="0"/>
              <w:numPr>
                <w:ilvl w:val="0"/>
                <w:numId w:val="6"/>
              </w:numPr>
              <w:kinsoku/>
              <w:wordWrap/>
              <w:overflowPunct/>
              <w:topLinePunct w:val="0"/>
              <w:autoSpaceDE/>
              <w:autoSpaceDN/>
              <w:bidi w:val="0"/>
              <w:spacing w:line="400" w:lineRule="exact"/>
              <w:ind w:firstLine="0" w:firstLineChars="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 xml:space="preserve">总平面布置严格执行有关防火、防爆等的有关规定； </w:t>
            </w:r>
          </w:p>
          <w:p>
            <w:pPr>
              <w:pStyle w:val="36"/>
              <w:keepNext w:val="0"/>
              <w:keepLines w:val="0"/>
              <w:pageBreakBefore w:val="0"/>
              <w:widowControl w:val="0"/>
              <w:numPr>
                <w:ilvl w:val="0"/>
                <w:numId w:val="6"/>
              </w:numPr>
              <w:kinsoku/>
              <w:wordWrap/>
              <w:overflowPunct/>
              <w:topLinePunct w:val="0"/>
              <w:autoSpaceDE/>
              <w:autoSpaceDN/>
              <w:bidi w:val="0"/>
              <w:spacing w:line="400" w:lineRule="exact"/>
              <w:ind w:firstLine="0" w:firstLineChars="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地下储油罐、输油管线安装渗漏感应设施，以便及时发现泄漏及时处理。</w:t>
            </w:r>
          </w:p>
          <w:p>
            <w:pPr>
              <w:pStyle w:val="36"/>
              <w:keepNext w:val="0"/>
              <w:keepLines w:val="0"/>
              <w:pageBreakBefore w:val="0"/>
              <w:widowControl w:val="0"/>
              <w:numPr>
                <w:ilvl w:val="0"/>
                <w:numId w:val="6"/>
              </w:numPr>
              <w:kinsoku/>
              <w:wordWrap/>
              <w:overflowPunct/>
              <w:topLinePunct w:val="0"/>
              <w:autoSpaceDE/>
              <w:autoSpaceDN/>
              <w:bidi w:val="0"/>
              <w:spacing w:line="400" w:lineRule="exact"/>
              <w:ind w:firstLine="0" w:firstLineChars="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 xml:space="preserve">各管线、储罐做防雷、防静电接地，管线法兰之间应做防静电跨接，油罐车卸油时用的卸油连通软管、油气回收连通软管，应采用导静电耐油软管，防止静电火花引起火灾。 </w:t>
            </w:r>
          </w:p>
          <w:p>
            <w:pPr>
              <w:pStyle w:val="36"/>
              <w:keepNext w:val="0"/>
              <w:keepLines w:val="0"/>
              <w:pageBreakBefore w:val="0"/>
              <w:widowControl w:val="0"/>
              <w:numPr>
                <w:ilvl w:val="0"/>
                <w:numId w:val="6"/>
              </w:numPr>
              <w:kinsoku/>
              <w:wordWrap/>
              <w:overflowPunct/>
              <w:topLinePunct w:val="0"/>
              <w:autoSpaceDE/>
              <w:autoSpaceDN/>
              <w:bidi w:val="0"/>
              <w:spacing w:line="400" w:lineRule="exact"/>
              <w:ind w:firstLine="0" w:firstLineChars="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 xml:space="preserve">站区配备灭火器等消防器材。 </w:t>
            </w:r>
          </w:p>
          <w:p>
            <w:pPr>
              <w:pStyle w:val="36"/>
              <w:keepNext w:val="0"/>
              <w:keepLines w:val="0"/>
              <w:pageBreakBefore w:val="0"/>
              <w:widowControl w:val="0"/>
              <w:numPr>
                <w:ilvl w:val="0"/>
                <w:numId w:val="6"/>
              </w:numPr>
              <w:kinsoku/>
              <w:wordWrap/>
              <w:overflowPunct/>
              <w:topLinePunct w:val="0"/>
              <w:autoSpaceDE/>
              <w:autoSpaceDN/>
              <w:bidi w:val="0"/>
              <w:spacing w:line="400" w:lineRule="exact"/>
              <w:ind w:firstLine="0" w:firstLineChars="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 xml:space="preserve">提高操作管理水平，避免操作失误引发事故。 </w:t>
            </w:r>
          </w:p>
          <w:p>
            <w:pPr>
              <w:pStyle w:val="36"/>
              <w:keepNext w:val="0"/>
              <w:keepLines w:val="0"/>
              <w:pageBreakBefore w:val="0"/>
              <w:widowControl w:val="0"/>
              <w:kinsoku/>
              <w:wordWrap/>
              <w:overflowPunct/>
              <w:topLinePunct w:val="0"/>
              <w:autoSpaceDE/>
              <w:autoSpaceDN/>
              <w:bidi w:val="0"/>
              <w:spacing w:line="400" w:lineRule="exact"/>
              <w:ind w:firstLine="0" w:firstLineChars="0"/>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（7）配备应急设备和资源，加强应急预案的演练和宣传教育，加强加油站风险管理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92" w:hRule="atLeast"/>
          <w:jc w:val="center"/>
        </w:trPr>
        <w:tc>
          <w:tcPr>
            <w:tcW w:w="558" w:type="pct"/>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spacing w:val="-8"/>
                <w:sz w:val="21"/>
                <w:szCs w:val="21"/>
                <w14:textFill>
                  <w14:solidFill>
                    <w14:schemeClr w14:val="tx1"/>
                  </w14:solidFill>
                </w14:textFill>
              </w:rPr>
            </w:pPr>
            <w:r>
              <w:rPr>
                <w:rFonts w:hint="default" w:ascii="Times New Roman" w:hAnsi="Times New Roman" w:cs="Times New Roman"/>
                <w:color w:val="000000" w:themeColor="text1"/>
                <w:spacing w:val="-8"/>
                <w:sz w:val="21"/>
                <w:szCs w:val="21"/>
                <w14:textFill>
                  <w14:solidFill>
                    <w14:schemeClr w14:val="tx1"/>
                  </w14:solidFill>
                </w14:textFill>
              </w:rPr>
              <w:t>其他环境</w:t>
            </w:r>
          </w:p>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jc w:val="center"/>
              <w:textAlignment w:val="auto"/>
              <w:rPr>
                <w:rFonts w:hint="default" w:ascii="Times New Roman" w:hAnsi="Times New Roman" w:cs="Times New Roman"/>
                <w:color w:val="000000" w:themeColor="text1"/>
                <w:spacing w:val="-8"/>
                <w:sz w:val="21"/>
                <w:szCs w:val="21"/>
                <w14:textFill>
                  <w14:solidFill>
                    <w14:schemeClr w14:val="tx1"/>
                  </w14:solidFill>
                </w14:textFill>
              </w:rPr>
            </w:pPr>
            <w:r>
              <w:rPr>
                <w:rFonts w:hint="default" w:ascii="Times New Roman" w:hAnsi="Times New Roman" w:cs="Times New Roman"/>
                <w:color w:val="000000" w:themeColor="text1"/>
                <w:spacing w:val="-8"/>
                <w:sz w:val="21"/>
                <w:szCs w:val="21"/>
                <w14:textFill>
                  <w14:solidFill>
                    <w14:schemeClr w14:val="tx1"/>
                  </w14:solidFill>
                </w14:textFill>
              </w:rPr>
              <w:t>管理要求</w:t>
            </w:r>
          </w:p>
        </w:tc>
        <w:tc>
          <w:tcPr>
            <w:tcW w:w="4441" w:type="pct"/>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（1）项目建成后按照《建设项目竣工环境保护验收暂行办法》（国环规环评[2017]4 号）要求开展项目竣工环境保护验收工作；</w:t>
            </w:r>
          </w:p>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（2）按照《排污许可管理条例》（国务院令第 736 号）的相关要求开展固定污染源排污许可证申报；</w:t>
            </w:r>
          </w:p>
          <w:p>
            <w:pPr>
              <w:keepNext w:val="0"/>
              <w:keepLines w:val="0"/>
              <w:pageBreakBefore w:val="0"/>
              <w:widowControl w:val="0"/>
              <w:kinsoku/>
              <w:wordWrap/>
              <w:overflowPunct/>
              <w:topLinePunct w:val="0"/>
              <w:autoSpaceDE/>
              <w:autoSpaceDN/>
              <w:bidi w:val="0"/>
              <w:adjustRightInd w:val="0"/>
              <w:snapToGrid w:val="0"/>
              <w:spacing w:line="400" w:lineRule="exact"/>
              <w:ind w:firstLine="0" w:firstLineChars="0"/>
              <w:textAlignment w:val="auto"/>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项目营运过程中建立环境管理台账制度，落实环境管理台账记录的责任人，明确工作职责，包括台账的记录、整理、维护和管理等。台账记录频次和内容须满足排污许可证环境管理要求，并对台账记录结果的真实性、完整性和规范性负责。台账按照电子化储存和纸质储存两种形式同步管理。</w:t>
            </w:r>
          </w:p>
        </w:tc>
      </w:tr>
    </w:tbl>
    <w:p>
      <w:pPr>
        <w:pStyle w:val="33"/>
        <w:jc w:val="center"/>
        <w:outlineLvl w:val="0"/>
        <w:rPr>
          <w:rFonts w:hint="default" w:ascii="Times New Roman" w:hAnsi="Times New Roman" w:eastAsia="黑体" w:cs="Times New Roman"/>
          <w:snapToGrid w:val="0"/>
          <w:color w:val="000000" w:themeColor="text1"/>
          <w:sz w:val="30"/>
          <w:szCs w:val="30"/>
          <w14:textFill>
            <w14:solidFill>
              <w14:schemeClr w14:val="tx1"/>
            </w14:solidFill>
          </w14:textFill>
        </w:rPr>
      </w:pPr>
      <w:r>
        <w:rPr>
          <w:rFonts w:hint="default" w:ascii="Times New Roman" w:hAnsi="Times New Roman" w:cs="Times New Roman"/>
          <w:snapToGrid w:val="0"/>
          <w:color w:val="000000" w:themeColor="text1"/>
          <w14:textFill>
            <w14:solidFill>
              <w14:schemeClr w14:val="tx1"/>
            </w14:solidFill>
          </w14:textFill>
        </w:rPr>
        <w:br w:type="page"/>
      </w:r>
      <w:r>
        <w:rPr>
          <w:rFonts w:hint="default" w:ascii="Times New Roman" w:hAnsi="Times New Roman" w:eastAsia="黑体" w:cs="Times New Roman"/>
          <w:snapToGrid w:val="0"/>
          <w:color w:val="000000" w:themeColor="text1"/>
          <w:sz w:val="30"/>
          <w:szCs w:val="30"/>
          <w14:textFill>
            <w14:solidFill>
              <w14:schemeClr w14:val="tx1"/>
            </w14:solidFill>
          </w14:textFill>
        </w:rPr>
        <w:t>六、结论</w:t>
      </w:r>
    </w:p>
    <w:tbl>
      <w:tblPr>
        <w:tblStyle w:val="3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60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9602" w:type="dxa"/>
            <w:noWrap w:val="0"/>
            <w:vAlign w:val="top"/>
          </w:tcPr>
          <w:p>
            <w:pPr>
              <w:adjustRightInd w:val="0"/>
              <w:snapToGrid w:val="0"/>
              <w:spacing w:line="360" w:lineRule="auto"/>
              <w:ind w:firstLine="420" w:firstLineChars="200"/>
              <w:jc w:val="both"/>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Cs w:val="21"/>
                <w:lang w:eastAsia="zh-CN"/>
                <w14:textFill>
                  <w14:solidFill>
                    <w14:schemeClr w14:val="tx1"/>
                  </w14:solidFill>
                </w14:textFill>
              </w:rPr>
              <w:t>中国石化销售股份有限公司河南漯河石油分公司南环路燕山加油站改造项目</w:t>
            </w:r>
            <w:r>
              <w:rPr>
                <w:rFonts w:hint="default" w:ascii="Times New Roman" w:hAnsi="Times New Roman" w:cs="Times New Roman"/>
                <w:color w:val="000000" w:themeColor="text1"/>
                <w:szCs w:val="21"/>
                <w14:textFill>
                  <w14:solidFill>
                    <w14:schemeClr w14:val="tx1"/>
                  </w14:solidFill>
                </w14:textFill>
              </w:rPr>
              <w:t>符合当前国家产业政策和环保政策。项目位于漯河市经济技术产业集聚区（含漯河经济开发区）</w:t>
            </w:r>
            <w:r>
              <w:rPr>
                <w:rFonts w:hint="default" w:ascii="Times New Roman" w:hAnsi="Times New Roman" w:cs="Times New Roman"/>
                <w:color w:val="000000" w:themeColor="text1"/>
                <w:szCs w:val="21"/>
                <w:lang w:eastAsia="zh-CN"/>
                <w14:textFill>
                  <w14:solidFill>
                    <w14:schemeClr w14:val="tx1"/>
                  </w14:solidFill>
                </w14:textFill>
              </w:rPr>
              <w:t>燕山南路与漳江东路交叉口往西北约210米</w:t>
            </w:r>
            <w:r>
              <w:rPr>
                <w:rFonts w:hint="default" w:ascii="Times New Roman" w:hAnsi="Times New Roman" w:cs="Times New Roman"/>
                <w:color w:val="000000" w:themeColor="text1"/>
                <w:szCs w:val="21"/>
                <w14:textFill>
                  <w14:solidFill>
                    <w14:schemeClr w14:val="tx1"/>
                  </w14:solidFill>
                </w14:textFill>
              </w:rPr>
              <w:t>，符合园区规划，用地性质为商业用地，厂址选择合理。本项目产生的噪声、废水、固体废物经采取相应的防治措施后均可达标排放，对周围环境的影响较小。从环境保护的角度来说，该建设项目可行。</w:t>
            </w:r>
          </w:p>
        </w:tc>
      </w:tr>
    </w:tbl>
    <w:p>
      <w:pPr>
        <w:rPr>
          <w:rFonts w:hint="default" w:ascii="Times New Roman" w:hAnsi="Times New Roman" w:cs="Times New Roman"/>
          <w:color w:val="000000" w:themeColor="text1"/>
          <w14:textFill>
            <w14:solidFill>
              <w14:schemeClr w14:val="tx1"/>
            </w14:solidFill>
          </w14:textFill>
        </w:rPr>
        <w:sectPr>
          <w:pgSz w:w="11905" w:h="16838"/>
          <w:pgMar w:top="1247" w:right="1247" w:bottom="1247" w:left="1247" w:header="851" w:footer="1077" w:gutter="0"/>
          <w:pgBorders>
            <w:top w:val="none" w:sz="0" w:space="0"/>
            <w:left w:val="none" w:sz="0" w:space="0"/>
            <w:bottom w:val="none" w:sz="0" w:space="0"/>
            <w:right w:val="none" w:sz="0" w:space="0"/>
          </w:pgBorders>
          <w:cols w:space="720" w:num="1"/>
          <w:rtlGutter w:val="0"/>
          <w:docGrid w:linePitch="312" w:charSpace="0"/>
        </w:sectPr>
      </w:pPr>
    </w:p>
    <w:p>
      <w:pPr>
        <w:pStyle w:val="33"/>
        <w:adjustRightInd w:val="0"/>
        <w:snapToGrid w:val="0"/>
        <w:spacing w:before="0" w:beforeAutospacing="0" w:after="0" w:afterAutospacing="0" w:line="360" w:lineRule="auto"/>
        <w:outlineLvl w:val="0"/>
        <w:rPr>
          <w:rFonts w:hint="default" w:ascii="Times New Roman" w:hAnsi="Times New Roman" w:eastAsia="黑体" w:cs="Times New Roman"/>
          <w:snapToGrid w:val="0"/>
          <w:color w:val="000000" w:themeColor="text1"/>
          <w:sz w:val="32"/>
          <w:szCs w:val="32"/>
          <w14:textFill>
            <w14:solidFill>
              <w14:schemeClr w14:val="tx1"/>
            </w14:solidFill>
          </w14:textFill>
        </w:rPr>
      </w:pPr>
      <w:r>
        <w:rPr>
          <w:rFonts w:hint="default" w:ascii="Times New Roman" w:hAnsi="Times New Roman" w:eastAsia="黑体" w:cs="Times New Roman"/>
          <w:snapToGrid w:val="0"/>
          <w:color w:val="000000" w:themeColor="text1"/>
          <w:sz w:val="32"/>
          <w:szCs w:val="32"/>
          <w14:textFill>
            <w14:solidFill>
              <w14:schemeClr w14:val="tx1"/>
            </w14:solidFill>
          </w14:textFill>
        </w:rPr>
        <w:t>附表</w:t>
      </w:r>
    </w:p>
    <w:p>
      <w:pPr>
        <w:bidi w:val="0"/>
        <w:jc w:val="center"/>
        <w:outlineLvl w:val="0"/>
        <w:rPr>
          <w:rFonts w:hint="default" w:ascii="Times New Roman" w:hAnsi="Times New Roman" w:cs="Times New Roman"/>
          <w:b/>
          <w:bCs/>
          <w:color w:val="000000" w:themeColor="text1"/>
          <w:sz w:val="36"/>
          <w:szCs w:val="36"/>
          <w14:textFill>
            <w14:solidFill>
              <w14:schemeClr w14:val="tx1"/>
            </w14:solidFill>
          </w14:textFill>
        </w:rPr>
      </w:pPr>
      <w:bookmarkStart w:id="9" w:name="_Toc1541"/>
      <w:r>
        <w:rPr>
          <w:rFonts w:hint="default" w:ascii="Times New Roman" w:hAnsi="Times New Roman" w:cs="Times New Roman"/>
          <w:b/>
          <w:bCs/>
          <w:color w:val="000000" w:themeColor="text1"/>
          <w:sz w:val="36"/>
          <w:szCs w:val="36"/>
          <w14:textFill>
            <w14:solidFill>
              <w14:schemeClr w14:val="tx1"/>
            </w14:solidFill>
          </w14:textFill>
        </w:rPr>
        <w:t>建设项目污染物排放量汇总表</w:t>
      </w:r>
      <w:bookmarkEnd w:id="9"/>
    </w:p>
    <w:tbl>
      <w:tblPr>
        <w:tblStyle w:val="37"/>
        <w:tblW w:w="14342" w:type="dxa"/>
        <w:tblInd w:w="99"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56"/>
        <w:gridCol w:w="1550"/>
        <w:gridCol w:w="1701"/>
        <w:gridCol w:w="1276"/>
        <w:gridCol w:w="1701"/>
        <w:gridCol w:w="1559"/>
        <w:gridCol w:w="1761"/>
        <w:gridCol w:w="1742"/>
        <w:gridCol w:w="169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356" w:type="dxa"/>
            <w:tcBorders>
              <w:tl2br w:val="single" w:color="auto" w:sz="12" w:space="0"/>
            </w:tcBorders>
            <w:noWrap w:val="0"/>
            <w:tcMar>
              <w:left w:w="28" w:type="dxa"/>
              <w:right w:w="28" w:type="dxa"/>
            </w:tcMar>
            <w:vAlign w:val="center"/>
          </w:tcPr>
          <w:p>
            <w:pPr>
              <w:pStyle w:val="69"/>
              <w:keepNext w:val="0"/>
              <w:keepLines w:val="0"/>
              <w:pageBreakBefore w:val="0"/>
              <w:widowControl w:val="0"/>
              <w:kinsoku/>
              <w:wordWrap/>
              <w:overflowPunct/>
              <w:topLinePunct w:val="0"/>
              <w:autoSpaceDE/>
              <w:autoSpaceDN/>
              <w:bidi w:val="0"/>
              <w:spacing w:beforeLines="0" w:afterLines="0" w:line="440" w:lineRule="exact"/>
              <w:ind w:left="0" w:leftChars="0" w:firstLine="0" w:firstLineChars="0"/>
              <w:jc w:val="both"/>
              <w:textAlignment w:val="auto"/>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pP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t>项目</w:t>
            </w:r>
          </w:p>
          <w:p>
            <w:pPr>
              <w:pStyle w:val="69"/>
              <w:keepNext w:val="0"/>
              <w:keepLines w:val="0"/>
              <w:pageBreakBefore w:val="0"/>
              <w:widowControl w:val="0"/>
              <w:kinsoku/>
              <w:wordWrap/>
              <w:overflowPunct/>
              <w:topLinePunct w:val="0"/>
              <w:autoSpaceDE/>
              <w:autoSpaceDN/>
              <w:bidi w:val="0"/>
              <w:spacing w:beforeLines="0" w:afterLines="0" w:line="440" w:lineRule="exact"/>
              <w:ind w:left="0" w:leftChars="0" w:firstLine="0" w:firstLineChars="0"/>
              <w:jc w:val="both"/>
              <w:textAlignment w:val="auto"/>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pP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t>分类</w:t>
            </w:r>
          </w:p>
        </w:tc>
        <w:tc>
          <w:tcPr>
            <w:tcW w:w="1550" w:type="dxa"/>
            <w:tcBorders>
              <w:tl2br w:val="nil"/>
              <w:tr2bl w:val="nil"/>
            </w:tcBorders>
            <w:noWrap w:val="0"/>
            <w:tcMar>
              <w:left w:w="28" w:type="dxa"/>
              <w:right w:w="28" w:type="dxa"/>
            </w:tcMar>
            <w:vAlign w:val="center"/>
          </w:tcPr>
          <w:p>
            <w:pPr>
              <w:pStyle w:val="69"/>
              <w:keepNext w:val="0"/>
              <w:keepLines w:val="0"/>
              <w:pageBreakBefore w:val="0"/>
              <w:widowControl w:val="0"/>
              <w:kinsoku/>
              <w:wordWrap/>
              <w:overflowPunct/>
              <w:topLinePunct w:val="0"/>
              <w:autoSpaceDE/>
              <w:autoSpaceDN/>
              <w:bidi w:val="0"/>
              <w:spacing w:beforeLines="0" w:afterLines="0" w:line="440" w:lineRule="exact"/>
              <w:ind w:left="0" w:leftChars="0" w:firstLine="0" w:firstLineChars="0"/>
              <w:jc w:val="center"/>
              <w:textAlignment w:val="auto"/>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pP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t>污染物名称</w:t>
            </w:r>
          </w:p>
        </w:tc>
        <w:tc>
          <w:tcPr>
            <w:tcW w:w="1701" w:type="dxa"/>
            <w:tcBorders>
              <w:tl2br w:val="nil"/>
              <w:tr2bl w:val="nil"/>
            </w:tcBorders>
            <w:noWrap w:val="0"/>
            <w:tcMar>
              <w:left w:w="28" w:type="dxa"/>
              <w:right w:w="28" w:type="dxa"/>
            </w:tcMar>
            <w:vAlign w:val="center"/>
          </w:tcPr>
          <w:p>
            <w:pPr>
              <w:pStyle w:val="69"/>
              <w:keepNext w:val="0"/>
              <w:keepLines w:val="0"/>
              <w:pageBreakBefore w:val="0"/>
              <w:widowControl w:val="0"/>
              <w:kinsoku/>
              <w:wordWrap/>
              <w:overflowPunct/>
              <w:topLinePunct w:val="0"/>
              <w:autoSpaceDE/>
              <w:autoSpaceDN/>
              <w:bidi w:val="0"/>
              <w:spacing w:beforeLines="0" w:afterLines="0" w:line="440" w:lineRule="exact"/>
              <w:ind w:left="0" w:leftChars="0" w:firstLine="0" w:firstLineChars="0"/>
              <w:jc w:val="center"/>
              <w:textAlignment w:val="auto"/>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pP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t>现有工程</w:t>
            </w:r>
          </w:p>
          <w:p>
            <w:pPr>
              <w:pStyle w:val="69"/>
              <w:keepNext w:val="0"/>
              <w:keepLines w:val="0"/>
              <w:pageBreakBefore w:val="0"/>
              <w:widowControl w:val="0"/>
              <w:kinsoku/>
              <w:wordWrap/>
              <w:overflowPunct/>
              <w:topLinePunct w:val="0"/>
              <w:autoSpaceDE/>
              <w:autoSpaceDN/>
              <w:bidi w:val="0"/>
              <w:spacing w:beforeLines="0" w:afterLines="0" w:line="440" w:lineRule="exact"/>
              <w:ind w:left="0" w:leftChars="0" w:firstLine="0" w:firstLineChars="0"/>
              <w:jc w:val="center"/>
              <w:textAlignment w:val="auto"/>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pP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t>排放量（固体废物产生量）</w:t>
            </w: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fldChar w:fldCharType="begin"/>
            </w: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instrText xml:space="preserve"> = 1 \* GB3 \* MERGEFORMAT </w:instrText>
            </w: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fldChar w:fldCharType="separate"/>
            </w:r>
            <w:r>
              <w:rPr>
                <w:rFonts w:hint="default" w:ascii="Times New Roman" w:hAnsi="Times New Roman" w:eastAsia="宋体" w:cs="Times New Roman"/>
                <w:b/>
                <w:bCs/>
                <w:color w:val="000000" w:themeColor="text1"/>
                <w:kern w:val="2"/>
                <w:sz w:val="24"/>
                <w:szCs w:val="24"/>
                <w14:textFill>
                  <w14:solidFill>
                    <w14:schemeClr w14:val="tx1"/>
                  </w14:solidFill>
                </w14:textFill>
              </w:rPr>
              <w:t>①</w:t>
            </w: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fldChar w:fldCharType="end"/>
            </w:r>
          </w:p>
        </w:tc>
        <w:tc>
          <w:tcPr>
            <w:tcW w:w="1276" w:type="dxa"/>
            <w:tcBorders>
              <w:tl2br w:val="nil"/>
              <w:tr2bl w:val="nil"/>
            </w:tcBorders>
            <w:noWrap w:val="0"/>
            <w:tcMar>
              <w:left w:w="28" w:type="dxa"/>
              <w:right w:w="28" w:type="dxa"/>
            </w:tcMar>
            <w:vAlign w:val="center"/>
          </w:tcPr>
          <w:p>
            <w:pPr>
              <w:pStyle w:val="69"/>
              <w:keepNext w:val="0"/>
              <w:keepLines w:val="0"/>
              <w:pageBreakBefore w:val="0"/>
              <w:widowControl w:val="0"/>
              <w:kinsoku/>
              <w:wordWrap/>
              <w:overflowPunct/>
              <w:topLinePunct w:val="0"/>
              <w:autoSpaceDE/>
              <w:autoSpaceDN/>
              <w:bidi w:val="0"/>
              <w:spacing w:beforeLines="0" w:afterLines="0" w:line="440" w:lineRule="exact"/>
              <w:ind w:left="0" w:leftChars="0" w:firstLine="0" w:firstLineChars="0"/>
              <w:jc w:val="center"/>
              <w:textAlignment w:val="auto"/>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pP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t>现有工程</w:t>
            </w:r>
          </w:p>
          <w:p>
            <w:pPr>
              <w:pStyle w:val="69"/>
              <w:keepNext w:val="0"/>
              <w:keepLines w:val="0"/>
              <w:pageBreakBefore w:val="0"/>
              <w:widowControl w:val="0"/>
              <w:kinsoku/>
              <w:wordWrap/>
              <w:overflowPunct/>
              <w:topLinePunct w:val="0"/>
              <w:autoSpaceDE/>
              <w:autoSpaceDN/>
              <w:bidi w:val="0"/>
              <w:spacing w:beforeLines="0" w:afterLines="0" w:line="440" w:lineRule="exact"/>
              <w:ind w:left="0" w:leftChars="0" w:firstLine="0" w:firstLineChars="0"/>
              <w:jc w:val="center"/>
              <w:textAlignment w:val="auto"/>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pP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t>许可排放量</w:t>
            </w:r>
          </w:p>
          <w:p>
            <w:pPr>
              <w:pStyle w:val="69"/>
              <w:keepNext w:val="0"/>
              <w:keepLines w:val="0"/>
              <w:pageBreakBefore w:val="0"/>
              <w:widowControl w:val="0"/>
              <w:kinsoku/>
              <w:wordWrap/>
              <w:overflowPunct/>
              <w:topLinePunct w:val="0"/>
              <w:autoSpaceDE/>
              <w:autoSpaceDN/>
              <w:bidi w:val="0"/>
              <w:spacing w:beforeLines="0" w:afterLines="0" w:line="440" w:lineRule="exact"/>
              <w:ind w:left="0" w:leftChars="0" w:firstLine="0" w:firstLineChars="0"/>
              <w:jc w:val="center"/>
              <w:textAlignment w:val="auto"/>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pP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fldChar w:fldCharType="begin"/>
            </w: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instrText xml:space="preserve"> = 2 \* GB3 \* MERGEFORMAT </w:instrText>
            </w: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fldChar w:fldCharType="separate"/>
            </w: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t>②</w:t>
            </w: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fldChar w:fldCharType="end"/>
            </w:r>
          </w:p>
        </w:tc>
        <w:tc>
          <w:tcPr>
            <w:tcW w:w="1701" w:type="dxa"/>
            <w:tcBorders>
              <w:tl2br w:val="nil"/>
              <w:tr2bl w:val="nil"/>
            </w:tcBorders>
            <w:noWrap w:val="0"/>
            <w:tcMar>
              <w:left w:w="28" w:type="dxa"/>
              <w:right w:w="28" w:type="dxa"/>
            </w:tcMar>
            <w:vAlign w:val="center"/>
          </w:tcPr>
          <w:p>
            <w:pPr>
              <w:pStyle w:val="69"/>
              <w:keepNext w:val="0"/>
              <w:keepLines w:val="0"/>
              <w:pageBreakBefore w:val="0"/>
              <w:widowControl w:val="0"/>
              <w:kinsoku/>
              <w:wordWrap/>
              <w:overflowPunct/>
              <w:topLinePunct w:val="0"/>
              <w:autoSpaceDE/>
              <w:autoSpaceDN/>
              <w:bidi w:val="0"/>
              <w:spacing w:beforeLines="0" w:afterLines="0" w:line="440" w:lineRule="exact"/>
              <w:ind w:left="0" w:leftChars="0" w:firstLine="0" w:firstLineChars="0"/>
              <w:jc w:val="center"/>
              <w:textAlignment w:val="auto"/>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pP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t>在建工程</w:t>
            </w:r>
          </w:p>
          <w:p>
            <w:pPr>
              <w:pStyle w:val="69"/>
              <w:keepNext w:val="0"/>
              <w:keepLines w:val="0"/>
              <w:pageBreakBefore w:val="0"/>
              <w:widowControl w:val="0"/>
              <w:kinsoku/>
              <w:wordWrap/>
              <w:overflowPunct/>
              <w:topLinePunct w:val="0"/>
              <w:autoSpaceDE/>
              <w:autoSpaceDN/>
              <w:bidi w:val="0"/>
              <w:spacing w:beforeLines="0" w:afterLines="0" w:line="440" w:lineRule="exact"/>
              <w:ind w:left="0" w:leftChars="0" w:firstLine="0" w:firstLineChars="0"/>
              <w:jc w:val="center"/>
              <w:textAlignment w:val="auto"/>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pP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t>排放量（固体废物产生量）</w:t>
            </w: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fldChar w:fldCharType="begin"/>
            </w: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instrText xml:space="preserve"> = 3 \* GB3 \* MERGEFORMAT </w:instrText>
            </w: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fldChar w:fldCharType="separate"/>
            </w:r>
            <w:r>
              <w:rPr>
                <w:rFonts w:hint="default" w:ascii="Times New Roman" w:hAnsi="Times New Roman" w:eastAsia="宋体" w:cs="Times New Roman"/>
                <w:b/>
                <w:bCs/>
                <w:color w:val="000000" w:themeColor="text1"/>
                <w:kern w:val="2"/>
                <w:sz w:val="24"/>
                <w:szCs w:val="24"/>
                <w14:textFill>
                  <w14:solidFill>
                    <w14:schemeClr w14:val="tx1"/>
                  </w14:solidFill>
                </w14:textFill>
              </w:rPr>
              <w:t>③</w:t>
            </w: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fldChar w:fldCharType="end"/>
            </w:r>
          </w:p>
        </w:tc>
        <w:tc>
          <w:tcPr>
            <w:tcW w:w="1559" w:type="dxa"/>
            <w:tcBorders>
              <w:tl2br w:val="nil"/>
              <w:tr2bl w:val="nil"/>
            </w:tcBorders>
            <w:noWrap w:val="0"/>
            <w:tcMar>
              <w:left w:w="28" w:type="dxa"/>
              <w:right w:w="28" w:type="dxa"/>
            </w:tcMar>
            <w:vAlign w:val="center"/>
          </w:tcPr>
          <w:p>
            <w:pPr>
              <w:pStyle w:val="69"/>
              <w:keepNext w:val="0"/>
              <w:keepLines w:val="0"/>
              <w:pageBreakBefore w:val="0"/>
              <w:widowControl w:val="0"/>
              <w:kinsoku/>
              <w:wordWrap/>
              <w:overflowPunct/>
              <w:topLinePunct w:val="0"/>
              <w:autoSpaceDE/>
              <w:autoSpaceDN/>
              <w:bidi w:val="0"/>
              <w:spacing w:beforeLines="0" w:afterLines="0" w:line="440" w:lineRule="exact"/>
              <w:ind w:left="0" w:leftChars="0" w:firstLine="0" w:firstLineChars="0"/>
              <w:jc w:val="center"/>
              <w:textAlignment w:val="auto"/>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pP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t>本项目排放量（固体废物产生量）</w:t>
            </w: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fldChar w:fldCharType="begin"/>
            </w: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instrText xml:space="preserve"> = 4 \* GB3 \* MERGEFORMAT </w:instrText>
            </w: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fldChar w:fldCharType="separate"/>
            </w:r>
            <w:r>
              <w:rPr>
                <w:rFonts w:hint="default" w:ascii="Times New Roman" w:hAnsi="Times New Roman" w:eastAsia="宋体" w:cs="Times New Roman"/>
                <w:b/>
                <w:bCs/>
                <w:color w:val="000000" w:themeColor="text1"/>
                <w:kern w:val="2"/>
                <w:sz w:val="24"/>
                <w:szCs w:val="24"/>
                <w14:textFill>
                  <w14:solidFill>
                    <w14:schemeClr w14:val="tx1"/>
                  </w14:solidFill>
                </w14:textFill>
              </w:rPr>
              <w:t>④</w:t>
            </w: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fldChar w:fldCharType="end"/>
            </w:r>
          </w:p>
        </w:tc>
        <w:tc>
          <w:tcPr>
            <w:tcW w:w="1761" w:type="dxa"/>
            <w:tcBorders>
              <w:tl2br w:val="nil"/>
              <w:tr2bl w:val="nil"/>
            </w:tcBorders>
            <w:noWrap w:val="0"/>
            <w:tcMar>
              <w:left w:w="28" w:type="dxa"/>
              <w:right w:w="28" w:type="dxa"/>
            </w:tcMar>
            <w:vAlign w:val="center"/>
          </w:tcPr>
          <w:p>
            <w:pPr>
              <w:pStyle w:val="69"/>
              <w:keepNext w:val="0"/>
              <w:keepLines w:val="0"/>
              <w:pageBreakBefore w:val="0"/>
              <w:widowControl w:val="0"/>
              <w:kinsoku/>
              <w:wordWrap/>
              <w:overflowPunct/>
              <w:topLinePunct w:val="0"/>
              <w:autoSpaceDE/>
              <w:autoSpaceDN/>
              <w:bidi w:val="0"/>
              <w:spacing w:beforeLines="0" w:afterLines="0" w:line="440" w:lineRule="exact"/>
              <w:ind w:left="0" w:leftChars="0" w:firstLine="0" w:firstLineChars="0"/>
              <w:jc w:val="center"/>
              <w:textAlignment w:val="auto"/>
              <w:rPr>
                <w:rFonts w:hint="default" w:ascii="Times New Roman" w:hAnsi="Times New Roman" w:eastAsia="宋体" w:cs="Times New Roman"/>
                <w:b/>
                <w:bCs/>
                <w:snapToGrid w:val="0"/>
                <w:color w:val="000000" w:themeColor="text1"/>
                <w:spacing w:val="-16"/>
                <w:kern w:val="21"/>
                <w:sz w:val="24"/>
                <w:szCs w:val="24"/>
                <w14:textFill>
                  <w14:solidFill>
                    <w14:schemeClr w14:val="tx1"/>
                  </w14:solidFill>
                </w14:textFill>
              </w:rPr>
            </w:pPr>
            <w:r>
              <w:rPr>
                <w:rFonts w:hint="default" w:ascii="Times New Roman" w:hAnsi="Times New Roman" w:eastAsia="宋体" w:cs="Times New Roman"/>
                <w:b/>
                <w:bCs/>
                <w:snapToGrid w:val="0"/>
                <w:color w:val="000000" w:themeColor="text1"/>
                <w:spacing w:val="-16"/>
                <w:kern w:val="21"/>
                <w:sz w:val="24"/>
                <w:szCs w:val="24"/>
                <w14:textFill>
                  <w14:solidFill>
                    <w14:schemeClr w14:val="tx1"/>
                  </w14:solidFill>
                </w14:textFill>
              </w:rPr>
              <w:t>以新带老削减量</w:t>
            </w:r>
          </w:p>
          <w:p>
            <w:pPr>
              <w:pStyle w:val="69"/>
              <w:keepNext w:val="0"/>
              <w:keepLines w:val="0"/>
              <w:pageBreakBefore w:val="0"/>
              <w:widowControl w:val="0"/>
              <w:kinsoku/>
              <w:wordWrap/>
              <w:overflowPunct/>
              <w:topLinePunct w:val="0"/>
              <w:autoSpaceDE/>
              <w:autoSpaceDN/>
              <w:bidi w:val="0"/>
              <w:spacing w:beforeLines="0" w:afterLines="0" w:line="440" w:lineRule="exact"/>
              <w:ind w:left="0" w:leftChars="0" w:firstLine="0" w:firstLineChars="0"/>
              <w:jc w:val="center"/>
              <w:textAlignment w:val="auto"/>
              <w:rPr>
                <w:rFonts w:hint="default" w:ascii="Times New Roman" w:hAnsi="Times New Roman" w:eastAsia="宋体" w:cs="Times New Roman"/>
                <w:b/>
                <w:bCs/>
                <w:snapToGrid w:val="0"/>
                <w:color w:val="000000" w:themeColor="text1"/>
                <w:spacing w:val="-16"/>
                <w:kern w:val="21"/>
                <w:sz w:val="24"/>
                <w:szCs w:val="24"/>
                <w14:textFill>
                  <w14:solidFill>
                    <w14:schemeClr w14:val="tx1"/>
                  </w14:solidFill>
                </w14:textFill>
              </w:rPr>
            </w:pPr>
            <w:r>
              <w:rPr>
                <w:rFonts w:hint="default" w:ascii="Times New Roman" w:hAnsi="Times New Roman" w:eastAsia="宋体" w:cs="Times New Roman"/>
                <w:b/>
                <w:bCs/>
                <w:snapToGrid w:val="0"/>
                <w:color w:val="000000" w:themeColor="text1"/>
                <w:spacing w:val="-16"/>
                <w:kern w:val="21"/>
                <w:sz w:val="24"/>
                <w:szCs w:val="24"/>
                <w14:textFill>
                  <w14:solidFill>
                    <w14:schemeClr w14:val="tx1"/>
                  </w14:solidFill>
                </w14:textFill>
              </w:rPr>
              <w:t>（新建项目不填）</w:t>
            </w:r>
            <w:r>
              <w:rPr>
                <w:rFonts w:hint="default" w:ascii="Times New Roman" w:hAnsi="Times New Roman" w:eastAsia="宋体" w:cs="Times New Roman"/>
                <w:b/>
                <w:bCs/>
                <w:snapToGrid w:val="0"/>
                <w:color w:val="000000" w:themeColor="text1"/>
                <w:spacing w:val="-16"/>
                <w:kern w:val="21"/>
                <w:sz w:val="24"/>
                <w:szCs w:val="24"/>
                <w14:textFill>
                  <w14:solidFill>
                    <w14:schemeClr w14:val="tx1"/>
                  </w14:solidFill>
                </w14:textFill>
              </w:rPr>
              <w:fldChar w:fldCharType="begin"/>
            </w:r>
            <w:r>
              <w:rPr>
                <w:rFonts w:hint="default" w:ascii="Times New Roman" w:hAnsi="Times New Roman" w:eastAsia="宋体" w:cs="Times New Roman"/>
                <w:b/>
                <w:bCs/>
                <w:snapToGrid w:val="0"/>
                <w:color w:val="000000" w:themeColor="text1"/>
                <w:spacing w:val="-16"/>
                <w:kern w:val="21"/>
                <w:sz w:val="24"/>
                <w:szCs w:val="24"/>
                <w14:textFill>
                  <w14:solidFill>
                    <w14:schemeClr w14:val="tx1"/>
                  </w14:solidFill>
                </w14:textFill>
              </w:rPr>
              <w:instrText xml:space="preserve"> = 5 \* GB3 \* MERGEFORMAT </w:instrText>
            </w:r>
            <w:r>
              <w:rPr>
                <w:rFonts w:hint="default" w:ascii="Times New Roman" w:hAnsi="Times New Roman" w:eastAsia="宋体" w:cs="Times New Roman"/>
                <w:b/>
                <w:bCs/>
                <w:snapToGrid w:val="0"/>
                <w:color w:val="000000" w:themeColor="text1"/>
                <w:spacing w:val="-16"/>
                <w:kern w:val="21"/>
                <w:sz w:val="24"/>
                <w:szCs w:val="24"/>
                <w14:textFill>
                  <w14:solidFill>
                    <w14:schemeClr w14:val="tx1"/>
                  </w14:solidFill>
                </w14:textFill>
              </w:rPr>
              <w:fldChar w:fldCharType="separate"/>
            </w:r>
            <w:r>
              <w:rPr>
                <w:rFonts w:hint="default" w:ascii="Times New Roman" w:hAnsi="Times New Roman" w:eastAsia="宋体" w:cs="Times New Roman"/>
                <w:b/>
                <w:bCs/>
                <w:color w:val="000000" w:themeColor="text1"/>
                <w:kern w:val="2"/>
                <w:sz w:val="24"/>
                <w:szCs w:val="24"/>
                <w14:textFill>
                  <w14:solidFill>
                    <w14:schemeClr w14:val="tx1"/>
                  </w14:solidFill>
                </w14:textFill>
              </w:rPr>
              <w:t>⑤</w:t>
            </w:r>
            <w:r>
              <w:rPr>
                <w:rFonts w:hint="default" w:ascii="Times New Roman" w:hAnsi="Times New Roman" w:eastAsia="宋体" w:cs="Times New Roman"/>
                <w:b/>
                <w:bCs/>
                <w:snapToGrid w:val="0"/>
                <w:color w:val="000000" w:themeColor="text1"/>
                <w:spacing w:val="-16"/>
                <w:kern w:val="21"/>
                <w:sz w:val="24"/>
                <w:szCs w:val="24"/>
                <w14:textFill>
                  <w14:solidFill>
                    <w14:schemeClr w14:val="tx1"/>
                  </w14:solidFill>
                </w14:textFill>
              </w:rPr>
              <w:fldChar w:fldCharType="end"/>
            </w:r>
          </w:p>
        </w:tc>
        <w:tc>
          <w:tcPr>
            <w:tcW w:w="1742" w:type="dxa"/>
            <w:tcBorders>
              <w:tl2br w:val="nil"/>
              <w:tr2bl w:val="nil"/>
            </w:tcBorders>
            <w:noWrap w:val="0"/>
            <w:tcMar>
              <w:left w:w="28" w:type="dxa"/>
              <w:right w:w="28" w:type="dxa"/>
            </w:tcMar>
            <w:vAlign w:val="center"/>
          </w:tcPr>
          <w:p>
            <w:pPr>
              <w:pStyle w:val="69"/>
              <w:keepNext w:val="0"/>
              <w:keepLines w:val="0"/>
              <w:pageBreakBefore w:val="0"/>
              <w:widowControl w:val="0"/>
              <w:kinsoku/>
              <w:wordWrap/>
              <w:overflowPunct/>
              <w:topLinePunct w:val="0"/>
              <w:autoSpaceDE/>
              <w:autoSpaceDN/>
              <w:bidi w:val="0"/>
              <w:spacing w:beforeLines="0" w:afterLines="0" w:line="440" w:lineRule="exact"/>
              <w:ind w:left="0" w:leftChars="0" w:firstLine="0" w:firstLineChars="0"/>
              <w:jc w:val="center"/>
              <w:textAlignment w:val="auto"/>
              <w:rPr>
                <w:rFonts w:hint="default" w:ascii="Times New Roman" w:hAnsi="Times New Roman" w:eastAsia="宋体" w:cs="Times New Roman"/>
                <w:b/>
                <w:bCs/>
                <w:snapToGrid w:val="0"/>
                <w:color w:val="000000" w:themeColor="text1"/>
                <w:spacing w:val="-16"/>
                <w:kern w:val="21"/>
                <w:sz w:val="24"/>
                <w:szCs w:val="24"/>
                <w14:textFill>
                  <w14:solidFill>
                    <w14:schemeClr w14:val="tx1"/>
                  </w14:solidFill>
                </w14:textFill>
              </w:rPr>
            </w:pPr>
            <w:r>
              <w:rPr>
                <w:rFonts w:hint="default" w:ascii="Times New Roman" w:hAnsi="Times New Roman" w:eastAsia="宋体" w:cs="Times New Roman"/>
                <w:b/>
                <w:bCs/>
                <w:snapToGrid w:val="0"/>
                <w:color w:val="000000" w:themeColor="text1"/>
                <w:spacing w:val="-16"/>
                <w:kern w:val="21"/>
                <w:sz w:val="24"/>
                <w:szCs w:val="24"/>
                <w14:textFill>
                  <w14:solidFill>
                    <w14:schemeClr w14:val="tx1"/>
                  </w14:solidFill>
                </w14:textFill>
              </w:rPr>
              <w:t>本项目建成后</w:t>
            </w:r>
          </w:p>
          <w:p>
            <w:pPr>
              <w:pStyle w:val="69"/>
              <w:keepNext w:val="0"/>
              <w:keepLines w:val="0"/>
              <w:pageBreakBefore w:val="0"/>
              <w:widowControl w:val="0"/>
              <w:kinsoku/>
              <w:wordWrap/>
              <w:overflowPunct/>
              <w:topLinePunct w:val="0"/>
              <w:autoSpaceDE/>
              <w:autoSpaceDN/>
              <w:bidi w:val="0"/>
              <w:spacing w:beforeLines="0" w:afterLines="0" w:line="440" w:lineRule="exact"/>
              <w:ind w:left="0" w:leftChars="0" w:firstLine="0" w:firstLineChars="0"/>
              <w:jc w:val="center"/>
              <w:textAlignment w:val="auto"/>
              <w:rPr>
                <w:rFonts w:hint="default" w:ascii="Times New Roman" w:hAnsi="Times New Roman" w:eastAsia="宋体" w:cs="Times New Roman"/>
                <w:b/>
                <w:bCs/>
                <w:snapToGrid w:val="0"/>
                <w:color w:val="000000" w:themeColor="text1"/>
                <w:spacing w:val="-16"/>
                <w:kern w:val="21"/>
                <w:sz w:val="24"/>
                <w:szCs w:val="24"/>
                <w14:textFill>
                  <w14:solidFill>
                    <w14:schemeClr w14:val="tx1"/>
                  </w14:solidFill>
                </w14:textFill>
              </w:rPr>
            </w:pPr>
            <w:r>
              <w:rPr>
                <w:rFonts w:hint="default" w:ascii="Times New Roman" w:hAnsi="Times New Roman" w:eastAsia="宋体" w:cs="Times New Roman"/>
                <w:b/>
                <w:bCs/>
                <w:snapToGrid w:val="0"/>
                <w:color w:val="000000" w:themeColor="text1"/>
                <w:spacing w:val="-16"/>
                <w:kern w:val="21"/>
                <w:sz w:val="24"/>
                <w:szCs w:val="24"/>
                <w14:textFill>
                  <w14:solidFill>
                    <w14:schemeClr w14:val="tx1"/>
                  </w14:solidFill>
                </w14:textFill>
              </w:rPr>
              <w:t>全厂排放量（固体废物产生量）</w:t>
            </w:r>
            <w:r>
              <w:rPr>
                <w:rFonts w:hint="default" w:ascii="Times New Roman" w:hAnsi="Times New Roman" w:eastAsia="宋体" w:cs="Times New Roman"/>
                <w:b/>
                <w:bCs/>
                <w:snapToGrid w:val="0"/>
                <w:color w:val="000000" w:themeColor="text1"/>
                <w:spacing w:val="-16"/>
                <w:kern w:val="21"/>
                <w:sz w:val="24"/>
                <w:szCs w:val="24"/>
                <w14:textFill>
                  <w14:solidFill>
                    <w14:schemeClr w14:val="tx1"/>
                  </w14:solidFill>
                </w14:textFill>
              </w:rPr>
              <w:fldChar w:fldCharType="begin"/>
            </w:r>
            <w:r>
              <w:rPr>
                <w:rFonts w:hint="default" w:ascii="Times New Roman" w:hAnsi="Times New Roman" w:eastAsia="宋体" w:cs="Times New Roman"/>
                <w:b/>
                <w:bCs/>
                <w:snapToGrid w:val="0"/>
                <w:color w:val="000000" w:themeColor="text1"/>
                <w:spacing w:val="-16"/>
                <w:kern w:val="21"/>
                <w:sz w:val="24"/>
                <w:szCs w:val="24"/>
                <w14:textFill>
                  <w14:solidFill>
                    <w14:schemeClr w14:val="tx1"/>
                  </w14:solidFill>
                </w14:textFill>
              </w:rPr>
              <w:instrText xml:space="preserve"> = 6 \* GB3 \* MERGEFORMAT </w:instrText>
            </w:r>
            <w:r>
              <w:rPr>
                <w:rFonts w:hint="default" w:ascii="Times New Roman" w:hAnsi="Times New Roman" w:eastAsia="宋体" w:cs="Times New Roman"/>
                <w:b/>
                <w:bCs/>
                <w:snapToGrid w:val="0"/>
                <w:color w:val="000000" w:themeColor="text1"/>
                <w:spacing w:val="-16"/>
                <w:kern w:val="21"/>
                <w:sz w:val="24"/>
                <w:szCs w:val="24"/>
                <w14:textFill>
                  <w14:solidFill>
                    <w14:schemeClr w14:val="tx1"/>
                  </w14:solidFill>
                </w14:textFill>
              </w:rPr>
              <w:fldChar w:fldCharType="separate"/>
            </w:r>
            <w:r>
              <w:rPr>
                <w:rFonts w:hint="default" w:ascii="Times New Roman" w:hAnsi="Times New Roman" w:eastAsia="宋体" w:cs="Times New Roman"/>
                <w:b/>
                <w:bCs/>
                <w:color w:val="000000" w:themeColor="text1"/>
                <w:kern w:val="2"/>
                <w:sz w:val="24"/>
                <w:szCs w:val="24"/>
                <w14:textFill>
                  <w14:solidFill>
                    <w14:schemeClr w14:val="tx1"/>
                  </w14:solidFill>
                </w14:textFill>
              </w:rPr>
              <w:t>⑥</w:t>
            </w:r>
            <w:r>
              <w:rPr>
                <w:rFonts w:hint="default" w:ascii="Times New Roman" w:hAnsi="Times New Roman" w:eastAsia="宋体" w:cs="Times New Roman"/>
                <w:b/>
                <w:bCs/>
                <w:snapToGrid w:val="0"/>
                <w:color w:val="000000" w:themeColor="text1"/>
                <w:spacing w:val="-16"/>
                <w:kern w:val="21"/>
                <w:sz w:val="24"/>
                <w:szCs w:val="24"/>
                <w14:textFill>
                  <w14:solidFill>
                    <w14:schemeClr w14:val="tx1"/>
                  </w14:solidFill>
                </w14:textFill>
              </w:rPr>
              <w:fldChar w:fldCharType="end"/>
            </w:r>
          </w:p>
        </w:tc>
        <w:tc>
          <w:tcPr>
            <w:tcW w:w="1696" w:type="dxa"/>
            <w:tcBorders>
              <w:tl2br w:val="nil"/>
              <w:tr2bl w:val="nil"/>
            </w:tcBorders>
            <w:noWrap w:val="0"/>
            <w:tcMar>
              <w:left w:w="28" w:type="dxa"/>
              <w:right w:w="28" w:type="dxa"/>
            </w:tcMar>
            <w:vAlign w:val="center"/>
          </w:tcPr>
          <w:p>
            <w:pPr>
              <w:pStyle w:val="69"/>
              <w:keepNext w:val="0"/>
              <w:keepLines w:val="0"/>
              <w:pageBreakBefore w:val="0"/>
              <w:widowControl w:val="0"/>
              <w:kinsoku/>
              <w:wordWrap/>
              <w:overflowPunct/>
              <w:topLinePunct w:val="0"/>
              <w:autoSpaceDE/>
              <w:autoSpaceDN/>
              <w:bidi w:val="0"/>
              <w:spacing w:beforeLines="0" w:afterLines="0" w:line="440" w:lineRule="exact"/>
              <w:ind w:left="0" w:leftChars="0" w:firstLine="0" w:firstLineChars="0"/>
              <w:jc w:val="center"/>
              <w:textAlignment w:val="auto"/>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pP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t>变化量</w:t>
            </w:r>
          </w:p>
          <w:p>
            <w:pPr>
              <w:pStyle w:val="69"/>
              <w:keepNext w:val="0"/>
              <w:keepLines w:val="0"/>
              <w:pageBreakBefore w:val="0"/>
              <w:widowControl w:val="0"/>
              <w:kinsoku/>
              <w:wordWrap/>
              <w:overflowPunct/>
              <w:topLinePunct w:val="0"/>
              <w:autoSpaceDE/>
              <w:autoSpaceDN/>
              <w:bidi w:val="0"/>
              <w:spacing w:beforeLines="0" w:afterLines="0" w:line="440" w:lineRule="exact"/>
              <w:ind w:left="0" w:leftChars="0" w:firstLine="0" w:firstLineChars="0"/>
              <w:jc w:val="center"/>
              <w:textAlignment w:val="auto"/>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pP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fldChar w:fldCharType="begin"/>
            </w: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instrText xml:space="preserve"> = 7 \* GB3 \* MERGEFORMAT </w:instrText>
            </w: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fldChar w:fldCharType="separate"/>
            </w:r>
            <w:r>
              <w:rPr>
                <w:rFonts w:hint="default" w:ascii="Times New Roman" w:hAnsi="Times New Roman" w:eastAsia="宋体" w:cs="Times New Roman"/>
                <w:b/>
                <w:bCs/>
                <w:color w:val="000000" w:themeColor="text1"/>
                <w:kern w:val="2"/>
                <w:sz w:val="24"/>
                <w:szCs w:val="24"/>
                <w14:textFill>
                  <w14:solidFill>
                    <w14:schemeClr w14:val="tx1"/>
                  </w14:solidFill>
                </w14:textFill>
              </w:rPr>
              <w:t>⑦</w:t>
            </w:r>
            <w:r>
              <w:rPr>
                <w:rFonts w:hint="default" w:ascii="Times New Roman" w:hAnsi="Times New Roman" w:eastAsia="宋体" w:cs="Times New Roman"/>
                <w:b/>
                <w:bCs/>
                <w:snapToGrid w:val="0"/>
                <w:color w:val="000000" w:themeColor="text1"/>
                <w:spacing w:val="-6"/>
                <w:kern w:val="21"/>
                <w:sz w:val="24"/>
                <w:szCs w:val="24"/>
                <w14:textFill>
                  <w14:solidFill>
                    <w14:schemeClr w14:val="tx1"/>
                  </w14:solidFill>
                </w14:textFill>
              </w:rP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56" w:type="dxa"/>
            <w:tcBorders>
              <w:tl2br w:val="nil"/>
              <w:tr2bl w:val="nil"/>
            </w:tcBorders>
            <w:noWrap w:val="0"/>
            <w:vAlign w:val="center"/>
          </w:tcPr>
          <w:p>
            <w:pPr>
              <w:pStyle w:val="69"/>
              <w:keepNext w:val="0"/>
              <w:keepLines w:val="0"/>
              <w:pageBreakBefore w:val="0"/>
              <w:widowControl w:val="0"/>
              <w:kinsoku/>
              <w:wordWrap/>
              <w:overflowPunct/>
              <w:topLinePunct w:val="0"/>
              <w:autoSpaceDE/>
              <w:autoSpaceDN/>
              <w:bidi w:val="0"/>
              <w:spacing w:beforeLines="0" w:afterLines="0" w:line="440" w:lineRule="exact"/>
              <w:ind w:left="0" w:leftChars="0" w:firstLine="0" w:firstLineChars="0"/>
              <w:jc w:val="center"/>
              <w:textAlignment w:val="auto"/>
              <w:rPr>
                <w:rFonts w:hint="default" w:ascii="Times New Roman" w:hAnsi="Times New Roman" w:eastAsia="宋体" w:cs="Times New Roman"/>
                <w:b/>
                <w:bCs/>
                <w:snapToGrid w:val="0"/>
                <w:color w:val="000000" w:themeColor="text1"/>
                <w:kern w:val="21"/>
                <w:sz w:val="24"/>
                <w:szCs w:val="24"/>
                <w14:textFill>
                  <w14:solidFill>
                    <w14:schemeClr w14:val="tx1"/>
                  </w14:solidFill>
                </w14:textFill>
              </w:rPr>
            </w:pPr>
            <w:r>
              <w:rPr>
                <w:rFonts w:hint="default" w:ascii="Times New Roman" w:hAnsi="Times New Roman" w:eastAsia="宋体" w:cs="Times New Roman"/>
                <w:b/>
                <w:bCs/>
                <w:snapToGrid w:val="0"/>
                <w:color w:val="000000" w:themeColor="text1"/>
                <w:kern w:val="21"/>
                <w:sz w:val="24"/>
                <w:szCs w:val="24"/>
                <w14:textFill>
                  <w14:solidFill>
                    <w14:schemeClr w14:val="tx1"/>
                  </w14:solidFill>
                </w14:textFill>
              </w:rPr>
              <w:t>废气</w:t>
            </w:r>
          </w:p>
        </w:tc>
        <w:tc>
          <w:tcPr>
            <w:tcW w:w="15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非甲烷总烃</w:t>
            </w:r>
          </w:p>
        </w:tc>
        <w:tc>
          <w:tcPr>
            <w:tcW w:w="1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0.276t/a</w:t>
            </w:r>
          </w:p>
        </w:tc>
        <w:tc>
          <w:tcPr>
            <w:tcW w:w="127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p>
        </w:tc>
        <w:tc>
          <w:tcPr>
            <w:tcW w:w="1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p>
        </w:tc>
        <w:tc>
          <w:tcPr>
            <w:tcW w:w="15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0.1035t/a</w:t>
            </w:r>
          </w:p>
        </w:tc>
        <w:tc>
          <w:tcPr>
            <w:tcW w:w="17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p>
        </w:tc>
        <w:tc>
          <w:tcPr>
            <w:tcW w:w="17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0.3795t/a</w:t>
            </w:r>
          </w:p>
        </w:tc>
        <w:tc>
          <w:tcPr>
            <w:tcW w:w="16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+0.1035t/a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56" w:type="dxa"/>
            <w:vMerge w:val="restart"/>
            <w:tcBorders>
              <w:tl2br w:val="nil"/>
              <w:tr2bl w:val="nil"/>
            </w:tcBorders>
            <w:noWrap w:val="0"/>
            <w:vAlign w:val="center"/>
          </w:tcPr>
          <w:p>
            <w:pPr>
              <w:pStyle w:val="69"/>
              <w:keepNext w:val="0"/>
              <w:keepLines w:val="0"/>
              <w:pageBreakBefore w:val="0"/>
              <w:widowControl w:val="0"/>
              <w:kinsoku/>
              <w:wordWrap/>
              <w:overflowPunct/>
              <w:topLinePunct w:val="0"/>
              <w:autoSpaceDE/>
              <w:autoSpaceDN/>
              <w:bidi w:val="0"/>
              <w:spacing w:beforeLines="0" w:afterLines="0" w:line="440" w:lineRule="exact"/>
              <w:ind w:left="0" w:leftChars="0" w:firstLine="0" w:firstLineChars="0"/>
              <w:jc w:val="center"/>
              <w:textAlignment w:val="auto"/>
              <w:rPr>
                <w:rFonts w:hint="default" w:ascii="Times New Roman" w:hAnsi="Times New Roman" w:eastAsia="宋体" w:cs="Times New Roman"/>
                <w:b/>
                <w:bCs/>
                <w:snapToGrid w:val="0"/>
                <w:color w:val="000000" w:themeColor="text1"/>
                <w:kern w:val="21"/>
                <w:sz w:val="24"/>
                <w:szCs w:val="24"/>
                <w14:textFill>
                  <w14:solidFill>
                    <w14:schemeClr w14:val="tx1"/>
                  </w14:solidFill>
                </w14:textFill>
              </w:rPr>
            </w:pPr>
            <w:r>
              <w:rPr>
                <w:rFonts w:hint="default" w:ascii="Times New Roman" w:hAnsi="Times New Roman" w:eastAsia="宋体" w:cs="Times New Roman"/>
                <w:b/>
                <w:bCs/>
                <w:snapToGrid w:val="0"/>
                <w:color w:val="000000" w:themeColor="text1"/>
                <w:kern w:val="21"/>
                <w:sz w:val="24"/>
                <w:szCs w:val="24"/>
                <w14:textFill>
                  <w14:solidFill>
                    <w14:schemeClr w14:val="tx1"/>
                  </w14:solidFill>
                </w14:textFill>
              </w:rPr>
              <w:t>废水</w:t>
            </w:r>
          </w:p>
        </w:tc>
        <w:tc>
          <w:tcPr>
            <w:tcW w:w="15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COD</w:t>
            </w:r>
          </w:p>
        </w:tc>
        <w:tc>
          <w:tcPr>
            <w:tcW w:w="1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0.0241t/a</w:t>
            </w:r>
          </w:p>
        </w:tc>
        <w:tc>
          <w:tcPr>
            <w:tcW w:w="127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p>
        </w:tc>
        <w:tc>
          <w:tcPr>
            <w:tcW w:w="1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p>
        </w:tc>
        <w:tc>
          <w:tcPr>
            <w:tcW w:w="15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0.0068t/a</w:t>
            </w:r>
          </w:p>
        </w:tc>
        <w:tc>
          <w:tcPr>
            <w:tcW w:w="17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p>
        </w:tc>
        <w:tc>
          <w:tcPr>
            <w:tcW w:w="17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0.0309t/a</w:t>
            </w:r>
          </w:p>
        </w:tc>
        <w:tc>
          <w:tcPr>
            <w:tcW w:w="16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 xml:space="preserve">+0.0068t/a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56" w:type="dxa"/>
            <w:vMerge w:val="continue"/>
            <w:tcBorders>
              <w:tl2br w:val="nil"/>
              <w:tr2bl w:val="nil"/>
            </w:tcBorders>
            <w:noWrap w:val="0"/>
            <w:vAlign w:val="center"/>
          </w:tcPr>
          <w:p>
            <w:pPr>
              <w:pStyle w:val="69"/>
              <w:keepNext w:val="0"/>
              <w:keepLines w:val="0"/>
              <w:pageBreakBefore w:val="0"/>
              <w:widowControl w:val="0"/>
              <w:kinsoku/>
              <w:wordWrap/>
              <w:overflowPunct/>
              <w:topLinePunct w:val="0"/>
              <w:autoSpaceDE/>
              <w:autoSpaceDN/>
              <w:bidi w:val="0"/>
              <w:spacing w:beforeLines="0" w:afterLines="0" w:line="440" w:lineRule="exact"/>
              <w:ind w:left="0" w:leftChars="0" w:firstLine="0" w:firstLineChars="0"/>
              <w:jc w:val="center"/>
              <w:textAlignment w:val="auto"/>
              <w:rPr>
                <w:rFonts w:hint="default" w:ascii="Times New Roman" w:hAnsi="Times New Roman" w:eastAsia="宋体" w:cs="Times New Roman"/>
                <w:b/>
                <w:bCs/>
                <w:snapToGrid w:val="0"/>
                <w:color w:val="000000" w:themeColor="text1"/>
                <w:kern w:val="21"/>
                <w:sz w:val="24"/>
                <w:szCs w:val="24"/>
                <w14:textFill>
                  <w14:solidFill>
                    <w14:schemeClr w14:val="tx1"/>
                  </w14:solidFill>
                </w14:textFill>
              </w:rPr>
            </w:pPr>
          </w:p>
        </w:tc>
        <w:tc>
          <w:tcPr>
            <w:tcW w:w="15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NH</w:t>
            </w:r>
            <w:r>
              <w:rPr>
                <w:rFonts w:hint="default" w:ascii="Times New Roman" w:hAnsi="Times New Roman" w:eastAsia="宋体" w:cs="Times New Roman"/>
                <w:color w:val="000000" w:themeColor="text1"/>
                <w:sz w:val="24"/>
                <w:szCs w:val="24"/>
                <w:u w:val="none" w:color="auto"/>
                <w:shd w:val="clear" w:color="auto" w:fill="FFFFFF"/>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-N</w:t>
            </w:r>
          </w:p>
        </w:tc>
        <w:tc>
          <w:tcPr>
            <w:tcW w:w="1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0.0020t/a</w:t>
            </w:r>
          </w:p>
        </w:tc>
        <w:tc>
          <w:tcPr>
            <w:tcW w:w="127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p>
        </w:tc>
        <w:tc>
          <w:tcPr>
            <w:tcW w:w="1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p>
        </w:tc>
        <w:tc>
          <w:tcPr>
            <w:tcW w:w="15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 xml:space="preserve">0.0011t/a </w:t>
            </w:r>
          </w:p>
        </w:tc>
        <w:tc>
          <w:tcPr>
            <w:tcW w:w="17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p>
        </w:tc>
        <w:tc>
          <w:tcPr>
            <w:tcW w:w="17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0.0031t/a</w:t>
            </w:r>
          </w:p>
        </w:tc>
        <w:tc>
          <w:tcPr>
            <w:tcW w:w="16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 xml:space="preserve">+0.0011t/a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56" w:type="dxa"/>
            <w:tcBorders>
              <w:tl2br w:val="nil"/>
              <w:tr2bl w:val="nil"/>
            </w:tcBorders>
            <w:noWrap w:val="0"/>
            <w:vAlign w:val="center"/>
          </w:tcPr>
          <w:p>
            <w:pPr>
              <w:pStyle w:val="69"/>
              <w:keepNext w:val="0"/>
              <w:keepLines w:val="0"/>
              <w:pageBreakBefore w:val="0"/>
              <w:widowControl w:val="0"/>
              <w:kinsoku/>
              <w:wordWrap/>
              <w:overflowPunct/>
              <w:topLinePunct w:val="0"/>
              <w:autoSpaceDE/>
              <w:autoSpaceDN/>
              <w:bidi w:val="0"/>
              <w:spacing w:beforeLines="0" w:afterLines="0" w:line="440" w:lineRule="exact"/>
              <w:ind w:left="0" w:leftChars="0" w:firstLine="0" w:firstLineChars="0"/>
              <w:jc w:val="center"/>
              <w:textAlignment w:val="auto"/>
              <w:rPr>
                <w:rFonts w:hint="default" w:ascii="Times New Roman" w:hAnsi="Times New Roman" w:eastAsia="宋体" w:cs="Times New Roman"/>
                <w:b/>
                <w:bCs/>
                <w:snapToGrid w:val="0"/>
                <w:color w:val="000000" w:themeColor="text1"/>
                <w:kern w:val="21"/>
                <w:sz w:val="24"/>
                <w:szCs w:val="24"/>
                <w14:textFill>
                  <w14:solidFill>
                    <w14:schemeClr w14:val="tx1"/>
                  </w14:solidFill>
                </w14:textFill>
              </w:rPr>
            </w:pPr>
            <w:r>
              <w:rPr>
                <w:rFonts w:hint="default" w:ascii="Times New Roman" w:hAnsi="Times New Roman" w:eastAsia="宋体" w:cs="Times New Roman"/>
                <w:b/>
                <w:bCs/>
                <w:snapToGrid w:val="0"/>
                <w:color w:val="000000" w:themeColor="text1"/>
                <w:kern w:val="21"/>
                <w:sz w:val="24"/>
                <w:szCs w:val="24"/>
                <w14:textFill>
                  <w14:solidFill>
                    <w14:schemeClr w14:val="tx1"/>
                  </w14:solidFill>
                </w14:textFill>
              </w:rPr>
              <w:t>一般工业</w:t>
            </w:r>
          </w:p>
          <w:p>
            <w:pPr>
              <w:pStyle w:val="69"/>
              <w:keepNext w:val="0"/>
              <w:keepLines w:val="0"/>
              <w:pageBreakBefore w:val="0"/>
              <w:widowControl w:val="0"/>
              <w:kinsoku/>
              <w:wordWrap/>
              <w:overflowPunct/>
              <w:topLinePunct w:val="0"/>
              <w:autoSpaceDE/>
              <w:autoSpaceDN/>
              <w:bidi w:val="0"/>
              <w:spacing w:beforeLines="0" w:afterLines="0" w:line="440" w:lineRule="exact"/>
              <w:ind w:left="0" w:leftChars="0" w:firstLine="0" w:firstLineChars="0"/>
              <w:jc w:val="center"/>
              <w:textAlignment w:val="auto"/>
              <w:rPr>
                <w:rFonts w:hint="default" w:ascii="Times New Roman" w:hAnsi="Times New Roman" w:eastAsia="宋体" w:cs="Times New Roman"/>
                <w:b/>
                <w:bCs/>
                <w:snapToGrid w:val="0"/>
                <w:color w:val="000000" w:themeColor="text1"/>
                <w:kern w:val="21"/>
                <w:sz w:val="24"/>
                <w:szCs w:val="24"/>
                <w14:textFill>
                  <w14:solidFill>
                    <w14:schemeClr w14:val="tx1"/>
                  </w14:solidFill>
                </w14:textFill>
              </w:rPr>
            </w:pPr>
            <w:r>
              <w:rPr>
                <w:rFonts w:hint="default" w:ascii="Times New Roman" w:hAnsi="Times New Roman" w:eastAsia="宋体" w:cs="Times New Roman"/>
                <w:b/>
                <w:bCs/>
                <w:snapToGrid w:val="0"/>
                <w:color w:val="000000" w:themeColor="text1"/>
                <w:kern w:val="21"/>
                <w:sz w:val="24"/>
                <w:szCs w:val="24"/>
                <w14:textFill>
                  <w14:solidFill>
                    <w14:schemeClr w14:val="tx1"/>
                  </w14:solidFill>
                </w14:textFill>
              </w:rPr>
              <w:t>固体废物</w:t>
            </w:r>
          </w:p>
        </w:tc>
        <w:tc>
          <w:tcPr>
            <w:tcW w:w="15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生活垃圾</w:t>
            </w:r>
          </w:p>
        </w:tc>
        <w:tc>
          <w:tcPr>
            <w:tcW w:w="1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3.2t/a</w:t>
            </w:r>
          </w:p>
        </w:tc>
        <w:tc>
          <w:tcPr>
            <w:tcW w:w="127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p>
        </w:tc>
        <w:tc>
          <w:tcPr>
            <w:tcW w:w="1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p>
        </w:tc>
        <w:tc>
          <w:tcPr>
            <w:tcW w:w="15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4.745t/a</w:t>
            </w:r>
          </w:p>
        </w:tc>
        <w:tc>
          <w:tcPr>
            <w:tcW w:w="17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p>
        </w:tc>
        <w:tc>
          <w:tcPr>
            <w:tcW w:w="17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7.945t/a</w:t>
            </w:r>
          </w:p>
        </w:tc>
        <w:tc>
          <w:tcPr>
            <w:tcW w:w="16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+4.745t/a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356" w:type="dxa"/>
            <w:tcBorders>
              <w:tl2br w:val="nil"/>
              <w:tr2bl w:val="nil"/>
            </w:tcBorders>
            <w:noWrap w:val="0"/>
            <w:vAlign w:val="center"/>
          </w:tcPr>
          <w:p>
            <w:pPr>
              <w:pStyle w:val="69"/>
              <w:keepNext w:val="0"/>
              <w:keepLines w:val="0"/>
              <w:pageBreakBefore w:val="0"/>
              <w:widowControl w:val="0"/>
              <w:kinsoku/>
              <w:wordWrap/>
              <w:overflowPunct/>
              <w:topLinePunct w:val="0"/>
              <w:autoSpaceDE/>
              <w:autoSpaceDN/>
              <w:bidi w:val="0"/>
              <w:spacing w:beforeLines="0" w:afterLines="0" w:line="440" w:lineRule="exact"/>
              <w:ind w:left="0" w:leftChars="0" w:firstLine="0" w:firstLineChars="0"/>
              <w:jc w:val="center"/>
              <w:textAlignment w:val="auto"/>
              <w:rPr>
                <w:rFonts w:hint="default" w:ascii="Times New Roman" w:hAnsi="Times New Roman" w:eastAsia="宋体" w:cs="Times New Roman"/>
                <w:b/>
                <w:bCs/>
                <w:snapToGrid w:val="0"/>
                <w:color w:val="000000" w:themeColor="text1"/>
                <w:kern w:val="21"/>
                <w:sz w:val="24"/>
                <w:szCs w:val="24"/>
                <w14:textFill>
                  <w14:solidFill>
                    <w14:schemeClr w14:val="tx1"/>
                  </w14:solidFill>
                </w14:textFill>
              </w:rPr>
            </w:pPr>
            <w:r>
              <w:rPr>
                <w:rFonts w:hint="default" w:ascii="Times New Roman" w:hAnsi="Times New Roman" w:eastAsia="宋体" w:cs="Times New Roman"/>
                <w:b/>
                <w:bCs/>
                <w:snapToGrid w:val="0"/>
                <w:color w:val="000000" w:themeColor="text1"/>
                <w:kern w:val="21"/>
                <w:sz w:val="24"/>
                <w:szCs w:val="24"/>
                <w14:textFill>
                  <w14:solidFill>
                    <w14:schemeClr w14:val="tx1"/>
                  </w14:solidFill>
                </w14:textFill>
              </w:rPr>
              <w:t>危险废物</w:t>
            </w:r>
          </w:p>
        </w:tc>
        <w:tc>
          <w:tcPr>
            <w:tcW w:w="1550"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隔油池油泥</w:t>
            </w:r>
          </w:p>
        </w:tc>
        <w:tc>
          <w:tcPr>
            <w:tcW w:w="1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0.7t/5a（0.14t/a）</w:t>
            </w:r>
          </w:p>
        </w:tc>
        <w:tc>
          <w:tcPr>
            <w:tcW w:w="127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p>
        </w:tc>
        <w:tc>
          <w:tcPr>
            <w:tcW w:w="1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p>
        </w:tc>
        <w:tc>
          <w:tcPr>
            <w:tcW w:w="1559"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0.8t/5a（0.16t/a）</w:t>
            </w:r>
          </w:p>
        </w:tc>
        <w:tc>
          <w:tcPr>
            <w:tcW w:w="1761"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0.7t/5a（0.14t/a）</w:t>
            </w:r>
          </w:p>
        </w:tc>
        <w:tc>
          <w:tcPr>
            <w:tcW w:w="1742"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0.8t/5a（0.16t/a）</w:t>
            </w:r>
          </w:p>
        </w:tc>
        <w:tc>
          <w:tcPr>
            <w:tcW w:w="1696" w:type="dxa"/>
            <w:tcBorders>
              <w:tl2br w:val="nil"/>
              <w:tr2bl w:val="nil"/>
            </w:tcBorders>
            <w:noWrap w:val="0"/>
            <w:vAlign w:val="center"/>
          </w:tcPr>
          <w:p>
            <w:pPr>
              <w:keepNext w:val="0"/>
              <w:keepLines w:val="0"/>
              <w:pageBreakBefore w:val="0"/>
              <w:widowControl w:val="0"/>
              <w:kinsoku/>
              <w:wordWrap/>
              <w:overflowPunct/>
              <w:topLinePunct w:val="0"/>
              <w:autoSpaceDE/>
              <w:autoSpaceDN/>
              <w:bidi w:val="0"/>
              <w:spacing w:line="440" w:lineRule="exact"/>
              <w:ind w:left="0" w:leftChars="0" w:firstLine="0" w:firstLineChars="0"/>
              <w:jc w:val="center"/>
              <w:textAlignment w:val="auto"/>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u w:val="none" w:color="auto"/>
                <w:shd w:val="clear" w:color="auto" w:fill="FFFFFF"/>
                <w:lang w:val="en-US" w:eastAsia="zh-CN"/>
                <w14:textFill>
                  <w14:solidFill>
                    <w14:schemeClr w14:val="tx1"/>
                  </w14:solidFill>
                </w14:textFill>
              </w:rPr>
              <w:t>+0.1t/5a（0.02t/a）</w:t>
            </w:r>
          </w:p>
        </w:tc>
      </w:tr>
    </w:tbl>
    <w:p>
      <w:pPr>
        <w:pStyle w:val="2"/>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snapToGrid w:val="0"/>
          <w:color w:val="000000" w:themeColor="text1"/>
          <w:kern w:val="21"/>
          <w:szCs w:val="21"/>
          <w14:textFill>
            <w14:solidFill>
              <w14:schemeClr w14:val="tx1"/>
            </w14:solidFill>
          </w14:textFill>
        </w:rPr>
        <w:t>注：</w: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instrText xml:space="preserve"> = 6 \* GB3 \* MERGEFORMAT </w:instrTex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⑥</w: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instrText xml:space="preserve"> = 1 \* GB3 \* MERGEFORMAT </w:instrTex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①</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instrText xml:space="preserve"> = 3 \* GB3 \* MERGEFORMAT </w:instrTex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③</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instrText xml:space="preserve"> = 4 \* GB3 \* MERGEFORMAT </w:instrTex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④</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instrText xml:space="preserve"> = 5 \* GB3 \* MERGEFORMAT </w:instrTex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⑤</w: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instrText xml:space="preserve"> = 7 \* GB3 \* MERGEFORMAT </w:instrTex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⑦</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instrText xml:space="preserve"> = 6 \* GB3 \* MERGEFORMAT </w:instrTex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⑥</w:t>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16"/>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instrText xml:space="preserve"> = 1 \* GB3 \* MERGEFORMAT </w:instrTex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zCs w:val="21"/>
          <w14:textFill>
            <w14:solidFill>
              <w14:schemeClr w14:val="tx1"/>
            </w14:solidFill>
          </w14:textFill>
        </w:rPr>
        <w:t>①</w:t>
      </w:r>
      <w:r>
        <w:rPr>
          <w:rFonts w:hint="default" w:ascii="Times New Roman" w:hAnsi="Times New Roman" w:eastAsia="宋体" w:cs="Times New Roman"/>
          <w:snapToGrid w:val="0"/>
          <w:color w:val="000000" w:themeColor="text1"/>
          <w:spacing w:val="-6"/>
          <w:kern w:val="21"/>
          <w:szCs w:val="21"/>
          <w14:textFill>
            <w14:solidFill>
              <w14:schemeClr w14:val="tx1"/>
            </w14:solidFill>
          </w14:textFill>
        </w:rPr>
        <w:fldChar w:fldCharType="end"/>
      </w:r>
    </w:p>
    <w:p>
      <w:pPr>
        <w:pStyle w:val="35"/>
        <w:spacing w:line="360" w:lineRule="auto"/>
        <w:ind w:firstLine="0" w:firstLineChars="0"/>
        <w:rPr>
          <w:rFonts w:hint="default" w:ascii="Times New Roman" w:hAnsi="Times New Roman" w:eastAsia="黑体" w:cs="Times New Roman"/>
          <w:color w:val="000000" w:themeColor="text1"/>
          <w:szCs w:val="21"/>
          <w14:textFill>
            <w14:solidFill>
              <w14:schemeClr w14:val="tx1"/>
            </w14:solidFill>
          </w14:textFill>
        </w:rPr>
        <w:sectPr>
          <w:headerReference r:id="rId6" w:type="default"/>
          <w:footerReference r:id="rId7" w:type="default"/>
          <w:pgSz w:w="16838" w:h="11905" w:orient="landscape"/>
          <w:pgMar w:top="1247" w:right="1247" w:bottom="1247" w:left="1247" w:header="851" w:footer="1077" w:gutter="0"/>
          <w:pgBorders>
            <w:top w:val="none" w:sz="0" w:space="0"/>
            <w:left w:val="none" w:sz="0" w:space="0"/>
            <w:bottom w:val="none" w:sz="0" w:space="0"/>
            <w:right w:val="none" w:sz="0" w:space="0"/>
          </w:pgBorders>
          <w:cols w:space="720" w:num="1"/>
          <w:rtlGutter w:val="0"/>
          <w:docGrid w:linePitch="312" w:charSpace="0"/>
        </w:sectPr>
      </w:pPr>
    </w:p>
    <w:p>
      <w:pPr>
        <w:jc w:val="center"/>
        <w:rPr>
          <w:rFonts w:hint="default" w:ascii="Times New Roman" w:hAnsi="Times New Roman" w:cs="Times New Roman" w:eastAsiaTheme="minorEastAsia"/>
          <w:lang w:eastAsia="zh-CN"/>
        </w:rPr>
        <w:sectPr>
          <w:footerReference r:id="rId8" w:type="default"/>
          <w:pgSz w:w="16838" w:h="11906" w:orient="landscape"/>
          <w:pgMar w:top="1236" w:right="1440" w:bottom="1236" w:left="1440" w:header="851" w:footer="992" w:gutter="0"/>
          <w:cols w:space="425" w:num="1"/>
          <w:docGrid w:type="lines" w:linePitch="312" w:charSpace="0"/>
        </w:sectPr>
      </w:pPr>
      <w:r>
        <w:rPr>
          <w:rFonts w:hint="default" w:ascii="Times New Roman" w:hAnsi="Times New Roman" w:cs="Times New Roman"/>
          <w:sz w:val="24"/>
        </w:rPr>
        <mc:AlternateContent>
          <mc:Choice Requires="wps">
            <w:drawing>
              <wp:anchor distT="0" distB="0" distL="114300" distR="114300" simplePos="0" relativeHeight="251661312" behindDoc="0" locked="0" layoutInCell="1" allowOverlap="1">
                <wp:simplePos x="0" y="0"/>
                <wp:positionH relativeFrom="column">
                  <wp:posOffset>3389630</wp:posOffset>
                </wp:positionH>
                <wp:positionV relativeFrom="paragraph">
                  <wp:posOffset>5790565</wp:posOffset>
                </wp:positionV>
                <wp:extent cx="2554605" cy="39116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2554605" cy="391160"/>
                        </a:xfrm>
                        <a:prstGeom prst="rect">
                          <a:avLst/>
                        </a:prstGeom>
                        <a:noFill/>
                        <a:ln w="6350">
                          <a:noFill/>
                        </a:ln>
                        <a:effectLst/>
                      </wps:spPr>
                      <wps:txbx>
                        <w:txbxContent>
                          <w:p>
                            <w:pPr>
                              <w:rPr>
                                <w:rFonts w:hint="default" w:ascii="Times New Roman" w:hAnsi="Times New Roman" w:eastAsia="黑体" w:cs="Times New Roman"/>
                                <w:sz w:val="28"/>
                                <w:szCs w:val="28"/>
                                <w:lang w:val="en-US" w:eastAsia="zh-CN"/>
                              </w:rPr>
                            </w:pPr>
                            <w:r>
                              <w:rPr>
                                <w:rFonts w:hint="default" w:ascii="Times New Roman" w:hAnsi="Times New Roman" w:eastAsia="黑体" w:cs="Times New Roman"/>
                                <w:sz w:val="28"/>
                                <w:szCs w:val="28"/>
                                <w:lang w:val="en-US" w:eastAsia="zh-CN"/>
                              </w:rPr>
                              <w:t>附图1  项目地理位置图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6.9pt;margin-top:455.95pt;height:30.8pt;width:201.15pt;z-index:251661312;mso-width-relative:page;mso-height-relative:page;" filled="f" stroked="f" coordsize="21600,21600" o:gfxdata="UEsDBAoAAAAAAIdO4kAAAAAAAAAAAAAAAAAEAAAAZHJzL1BLAwQUAAAACACHTuJAZuh4ctwAAAAL&#10;AQAADwAAAGRycy9kb3ducmV2LnhtbE2PS0/DMBCE70j8B2srcaOOG6U0IU6FIlVICA4tvXDbxG4S&#10;1Y8Quw/49SwnuO1oRzPflOurNeyspzB4J0HME2DatV4NrpOwf9/cr4CFiE6h8U5L+NIB1tXtTYmF&#10;8he31edd7BiFuFCghD7GseA8tL22GOZ+1I5+Bz9ZjCSnjqsJLxRuDV8kyZJbHBw19DjqutftcXey&#10;El7qzRtum4VdfZv6+fXwNH7uPzIp72YieQQW9TX+meEXn9ChIqbGn5wKzEjI0pTQo4RciBwYOfJ0&#10;KYA1dDykGfCq5P83VD9QSwMEFAAAAAgAh07iQBnSpIVDAgAAdgQAAA4AAABkcnMvZTJvRG9jLnht&#10;bK1UwW4TMRC9I/EPlu90kzQJNOqmCq2KkCpaqSDOjtfbXcn2GNvpbvkA+ANOXLjzXf0Onr1JWhUO&#10;PXDZjGfGM/PePOf4pDea3SofWrIlHx+MOFNWUtXam5J/+nj+6g1nIQpbCU1WlfxOBX6yfPniuHML&#10;NaGGdKU8QxEbFp0reROjWxRFkI0yIhyQUxbBmrwREUd/U1RedKhudDEZjeZFR75ynqQKAd6zIci3&#10;Ff1zClJdt1KdkdwYZeNQ1SstIiCFpnWBL/O0da1kvKzroCLTJQfSmL9oAnudvsXyWCxuvHBNK7cj&#10;iOeM8ASTEa1F032pMxEF2/j2r1KmlZ4C1fFAkikGIJkRoBiPnnBz3QinMhZQHdye9PD/ysoPt1ee&#10;tRWUMOPMCoON3//4fv/z9/2vbww+ENS5sEDetUNm7N9Sj+SdP8CZcPe1N+kXiBjioPduT6/qI5Nw&#10;Tmaz6XyENhKxw6PxeJ75Lx5uOx/iO0WGJaPkHuvLrIrbixAxCVJ3KamZpfNW67xCbVlX8vnhbJQv&#10;7CO4oW3KVVkM2zIJ0TB5smK/7rcw11TdAaWnQSjByfMWo1yIEK+EhzIADG8nXuJTa0JL2lqcNeS/&#10;/suf8rEwRDnroLSShy8b4RVn+r3FKo/G02mSZj5MZ68nOPjHkfXjiN2YU4KYx3ilTmYz5Ue9M2tP&#10;5jOe2Cp1RUhYid4ljzvzNA76xxOVarXKSRCjE/HCXjuZSg/krjaR6jbznmgauMES0gFyzOvYPp2k&#10;98fnnPXwd7H8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GboeHLcAAAACwEAAA8AAAAAAAAAAQAg&#10;AAAAIgAAAGRycy9kb3ducmV2LnhtbFBLAQIUABQAAAAIAIdO4kAZ0qSFQwIAAHYEAAAOAAAAAAAA&#10;AAEAIAAAACsBAABkcnMvZTJvRG9jLnhtbFBLBQYAAAAABgAGAFkBAADgBQAAAAA=&#10;">
                <v:fill on="f" focussize="0,0"/>
                <v:stroke on="f" weight="0.5pt"/>
                <v:imagedata o:title=""/>
                <o:lock v:ext="edit" aspectratio="f"/>
                <v:textbox>
                  <w:txbxContent>
                    <w:p>
                      <w:pPr>
                        <w:rPr>
                          <w:rFonts w:hint="default" w:ascii="Times New Roman" w:hAnsi="Times New Roman" w:eastAsia="黑体" w:cs="Times New Roman"/>
                          <w:sz w:val="28"/>
                          <w:szCs w:val="28"/>
                          <w:lang w:val="en-US" w:eastAsia="zh-CN"/>
                        </w:rPr>
                      </w:pPr>
                      <w:r>
                        <w:rPr>
                          <w:rFonts w:hint="default" w:ascii="Times New Roman" w:hAnsi="Times New Roman" w:eastAsia="黑体" w:cs="Times New Roman"/>
                          <w:sz w:val="28"/>
                          <w:szCs w:val="28"/>
                          <w:lang w:val="en-US" w:eastAsia="zh-CN"/>
                        </w:rPr>
                        <w:t>附图1  项目地理位置图</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700224" behindDoc="0" locked="0" layoutInCell="1" allowOverlap="1">
                <wp:simplePos x="0" y="0"/>
                <wp:positionH relativeFrom="column">
                  <wp:posOffset>4772025</wp:posOffset>
                </wp:positionH>
                <wp:positionV relativeFrom="paragraph">
                  <wp:posOffset>4375785</wp:posOffset>
                </wp:positionV>
                <wp:extent cx="1162050" cy="452120"/>
                <wp:effectExtent l="4445" t="717550" r="14605" b="11430"/>
                <wp:wrapNone/>
                <wp:docPr id="24" name="矩形标注 24"/>
                <wp:cNvGraphicFramePr/>
                <a:graphic xmlns:a="http://schemas.openxmlformats.org/drawingml/2006/main">
                  <a:graphicData uri="http://schemas.microsoft.com/office/word/2010/wordprocessingShape">
                    <wps:wsp>
                      <wps:cNvSpPr/>
                      <wps:spPr>
                        <a:xfrm flipV="1">
                          <a:off x="0" y="0"/>
                          <a:ext cx="1162050" cy="452120"/>
                        </a:xfrm>
                        <a:prstGeom prst="wedgeRectCallout">
                          <a:avLst>
                            <a:gd name="adj1" fmla="val -16284"/>
                            <a:gd name="adj2" fmla="val 203511"/>
                          </a:avLst>
                        </a:prstGeom>
                        <a:solidFill>
                          <a:srgbClr val="FFFFFF"/>
                        </a:solidFill>
                        <a:ln w="9525" cap="flat" cmpd="sng">
                          <a:solidFill>
                            <a:srgbClr val="000000"/>
                          </a:solidFill>
                          <a:prstDash val="solid"/>
                          <a:miter/>
                          <a:headEnd type="none" w="med" len="med"/>
                          <a:tailEnd type="none" w="med" len="med"/>
                        </a:ln>
                      </wps:spPr>
                      <wps:txbx>
                        <w:txbxContent>
                          <w:p>
                            <w:pPr>
                              <w:jc w:val="left"/>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E</w:t>
                            </w:r>
                            <w:r>
                              <w:rPr>
                                <w:rFonts w:hint="default" w:ascii="Times New Roman" w:hAnsi="Times New Roman" w:cs="Times New Roman"/>
                                <w:color w:val="000000" w:themeColor="text1"/>
                                <w:lang w:val="en-US" w:eastAsia="zh-CN"/>
                                <w14:textFill>
                                  <w14:solidFill>
                                    <w14:schemeClr w14:val="tx1"/>
                                  </w14:solidFill>
                                </w14:textFill>
                              </w:rPr>
                              <w:t>11</w:t>
                            </w:r>
                            <w:r>
                              <w:rPr>
                                <w:rFonts w:hint="eastAsia"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17.855</w:t>
                            </w:r>
                            <w:r>
                              <w:rPr>
                                <w:rFonts w:hint="default" w:ascii="Times New Roman" w:hAnsi="Times New Roman" w:cs="Times New Roman"/>
                                <w:color w:val="000000" w:themeColor="text1"/>
                                <w:lang w:val="en-US" w:eastAsia="zh-CN"/>
                                <w14:textFill>
                                  <w14:solidFill>
                                    <w14:schemeClr w14:val="tx1"/>
                                  </w14:solidFill>
                                </w14:textFill>
                              </w:rPr>
                              <w:t>″</w:t>
                            </w:r>
                          </w:p>
                          <w:p>
                            <w:pPr>
                              <w:jc w:val="left"/>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N</w:t>
                            </w:r>
                            <w:r>
                              <w:rPr>
                                <w:rFonts w:hint="default" w:ascii="Times New Roman" w:hAnsi="Times New Roman" w:cs="Times New Roman"/>
                                <w:color w:val="000000" w:themeColor="text1"/>
                                <w:lang w:val="en-US" w:eastAsia="zh-CN"/>
                                <w14:textFill>
                                  <w14:solidFill>
                                    <w14:schemeClr w14:val="tx1"/>
                                  </w14:solidFill>
                                </w14:textFill>
                              </w:rPr>
                              <w:t>33°</w:t>
                            </w:r>
                            <w:r>
                              <w:rPr>
                                <w:rFonts w:hint="eastAsia" w:ascii="Times New Roman" w:hAnsi="Times New Roman" w:cs="Times New Roman"/>
                                <w:color w:val="000000" w:themeColor="text1"/>
                                <w:lang w:val="en-US" w:eastAsia="zh-CN"/>
                                <w14:textFill>
                                  <w14:solidFill>
                                    <w14:schemeClr w14:val="tx1"/>
                                  </w14:solidFill>
                                </w14:textFill>
                              </w:rPr>
                              <w:t>33</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2.287</w:t>
                            </w:r>
                            <w:r>
                              <w:rPr>
                                <w:rFonts w:hint="default" w:ascii="Times New Roman" w:hAnsi="Times New Roman" w:cs="Times New Roman"/>
                                <w:color w:val="000000" w:themeColor="text1"/>
                                <w:lang w:val="en-US" w:eastAsia="zh-CN"/>
                                <w14:textFill>
                                  <w14:solidFill>
                                    <w14:schemeClr w14:val="tx1"/>
                                  </w14:solidFill>
                                </w14:textFill>
                              </w:rPr>
                              <w:t>″</w:t>
                            </w:r>
                          </w:p>
                        </w:txbxContent>
                      </wps:txbx>
                      <wps:bodyPr upright="1"/>
                    </wps:wsp>
                  </a:graphicData>
                </a:graphic>
              </wp:anchor>
            </w:drawing>
          </mc:Choice>
          <mc:Fallback>
            <w:pict>
              <v:shape id="_x0000_s1026" o:spid="_x0000_s1026" o:spt="61" type="#_x0000_t61" style="position:absolute;left:0pt;flip:y;margin-left:375.75pt;margin-top:344.55pt;height:35.6pt;width:91.5pt;z-index:251700224;mso-width-relative:page;mso-height-relative:page;" fillcolor="#FFFFFF" filled="t" stroked="t" coordsize="21600,21600" o:gfxdata="UEsDBAoAAAAAAIdO4kAAAAAAAAAAAAAAAAAEAAAAZHJzL1BLAwQUAAAACACHTuJAbqt3UdkAAAAL&#10;AQAADwAAAGRycy9kb3ducmV2LnhtbE2PTU/DMAyG70j8h8hI3FiSjZWtNN1hiAMIJlHQzmlj2orG&#10;qZrsg3+POcHRfh+9flxszn4QR5xiH8iAnikQSE1wPbUGPt4fb1YgYrLk7BAIDXxjhE15eVHY3IUT&#10;veGxSq3gEoq5NdClNOZSxqZDb+MsjEicfYbJ28Tj1Eo32ROX+0HOlcqktz3xhc6OuO2w+aoO3sDD&#10;HjW99k/1Fud6V03PL7t2H425vtLqHkTCc/qD4Vef1aFkpzocyEUxGLhb6iWjBrLVWoNgYr245U3N&#10;UaYWIMtC/v+h/AFQSwMEFAAAAAgAh07iQKU9hwtCAgAAmgQAAA4AAABkcnMvZTJvRG9jLnhtbK1U&#10;zY7TMBC+I/EOlu/b/LBdLVHTPWwpFwQrFri7sZ0Y+U+226RPwGOAOMGZM4/D8hqMnVC6C4ceyMEa&#10;2+Nv5vtmJourQUm0Y84Lo2tczHKMmG4MFbqt8ds367NLjHwgmhJpNKvxnnl8tXz8aNHbipWmM5Iy&#10;hwBE+6q3Ne5CsFWW+aZjiviZsUzDJTdOkQBb12bUkR7QlczKPL/IeuOodaZh3sPparzEE6I7BdBw&#10;Lhq2Ms1WMR1GVMckCUDJd8J6vEzZcs6a8IpzzwKSNQamIa0QBOxNXLPlglStI7YTzZQCOSWFB5wU&#10;ERqCHqBWJBC0deIvKCUaZ7zhYdYYlY1EkiLAosgfaHPbEcsSF5Da24Po/v/BNi93Nw4JWuPyHCNN&#10;FFT858evP75/vvv04e7bFwTHoFFvfQWut/bGTTsPZiQ8cKcQl8K+g2ZKEgApNCSF9weF2RBQA4dF&#10;cVHmcxC/gbvzeVmUqQTZiBPxrPPhOTMKRaPGPaMtew1lvCZSmm1IEcjuhQ9JbTqlTOj7AiOuJBRv&#10;RyQ6gziXKXMoyZFTeexU5k/mRRHpQfwJE6zfGcQA3khB10LKtHHt5lo6BAFqvE7f9Piem9Sor/HT&#10;eTkHmgQmhENngqksqOx1myjce+GPgfP0/Qs4JrYivhsTSAjRjVRKBOaS1TFCn2mKwt5CITUMMI7J&#10;KEYxkgzmPVrJMxAhT/EEQaQGhWIHjDWPVhg2A8BEc2PoHlpoa51oO6jYKGi8gZZN0k7jFWfieJ9A&#10;//xSlr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bqt3UdkAAAALAQAADwAAAAAAAAABACAAAAAi&#10;AAAAZHJzL2Rvd25yZXYueG1sUEsBAhQAFAAAAAgAh07iQKU9hwtCAgAAmgQAAA4AAAAAAAAAAQAg&#10;AAAAKAEAAGRycy9lMm9Eb2MueG1sUEsFBgAAAAAGAAYAWQEAANwFAAAAAA==&#10;" adj="7283,54758">
                <v:fill on="t" focussize="0,0"/>
                <v:stroke color="#000000" joinstyle="miter"/>
                <v:imagedata o:title=""/>
                <o:lock v:ext="edit" aspectratio="f"/>
                <v:textbox>
                  <w:txbxContent>
                    <w:p>
                      <w:pPr>
                        <w:jc w:val="left"/>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E</w:t>
                      </w:r>
                      <w:r>
                        <w:rPr>
                          <w:rFonts w:hint="default" w:ascii="Times New Roman" w:hAnsi="Times New Roman" w:cs="Times New Roman"/>
                          <w:color w:val="000000" w:themeColor="text1"/>
                          <w:lang w:val="en-US" w:eastAsia="zh-CN"/>
                          <w14:textFill>
                            <w14:solidFill>
                              <w14:schemeClr w14:val="tx1"/>
                            </w14:solidFill>
                          </w14:textFill>
                        </w:rPr>
                        <w:t>11</w:t>
                      </w:r>
                      <w:r>
                        <w:rPr>
                          <w:rFonts w:hint="eastAsia"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17.855</w:t>
                      </w:r>
                      <w:r>
                        <w:rPr>
                          <w:rFonts w:hint="default" w:ascii="Times New Roman" w:hAnsi="Times New Roman" w:cs="Times New Roman"/>
                          <w:color w:val="000000" w:themeColor="text1"/>
                          <w:lang w:val="en-US" w:eastAsia="zh-CN"/>
                          <w14:textFill>
                            <w14:solidFill>
                              <w14:schemeClr w14:val="tx1"/>
                            </w14:solidFill>
                          </w14:textFill>
                        </w:rPr>
                        <w:t>″</w:t>
                      </w:r>
                    </w:p>
                    <w:p>
                      <w:pPr>
                        <w:jc w:val="left"/>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N</w:t>
                      </w:r>
                      <w:r>
                        <w:rPr>
                          <w:rFonts w:hint="default" w:ascii="Times New Roman" w:hAnsi="Times New Roman" w:cs="Times New Roman"/>
                          <w:color w:val="000000" w:themeColor="text1"/>
                          <w:lang w:val="en-US" w:eastAsia="zh-CN"/>
                          <w14:textFill>
                            <w14:solidFill>
                              <w14:schemeClr w14:val="tx1"/>
                            </w14:solidFill>
                          </w14:textFill>
                        </w:rPr>
                        <w:t>33°</w:t>
                      </w:r>
                      <w:r>
                        <w:rPr>
                          <w:rFonts w:hint="eastAsia" w:ascii="Times New Roman" w:hAnsi="Times New Roman" w:cs="Times New Roman"/>
                          <w:color w:val="000000" w:themeColor="text1"/>
                          <w:lang w:val="en-US" w:eastAsia="zh-CN"/>
                          <w14:textFill>
                            <w14:solidFill>
                              <w14:schemeClr w14:val="tx1"/>
                            </w14:solidFill>
                          </w14:textFill>
                        </w:rPr>
                        <w:t>33</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2.287</w:t>
                      </w:r>
                      <w:r>
                        <w:rPr>
                          <w:rFonts w:hint="default" w:ascii="Times New Roman" w:hAnsi="Times New Roman" w:cs="Times New Roman"/>
                          <w:color w:val="000000" w:themeColor="text1"/>
                          <w:lang w:val="en-US" w:eastAsia="zh-CN"/>
                          <w14:textFill>
                            <w14:solidFill>
                              <w14:schemeClr w14:val="tx1"/>
                            </w14:solidFill>
                          </w14:textFill>
                        </w:rPr>
                        <w:t>″</w:t>
                      </w:r>
                    </w:p>
                  </w:txbxContent>
                </v:textbox>
              </v:shape>
            </w:pict>
          </mc:Fallback>
        </mc:AlternateContent>
      </w:r>
      <w:r>
        <w:rPr>
          <w:rFonts w:hint="default" w:ascii="Times New Roman" w:hAnsi="Times New Roman" w:cs="Times New Roman" w:eastAsiaTheme="minorEastAsia"/>
          <w:lang w:eastAsia="zh-CN"/>
        </w:rPr>
        <w:drawing>
          <wp:anchor distT="0" distB="0" distL="114935" distR="114935" simplePos="0" relativeHeight="251659264" behindDoc="0" locked="0" layoutInCell="1" allowOverlap="1">
            <wp:simplePos x="0" y="0"/>
            <wp:positionH relativeFrom="column">
              <wp:posOffset>191770</wp:posOffset>
            </wp:positionH>
            <wp:positionV relativeFrom="paragraph">
              <wp:posOffset>13970</wp:posOffset>
            </wp:positionV>
            <wp:extent cx="807720" cy="1470660"/>
            <wp:effectExtent l="0" t="0" r="11430" b="15240"/>
            <wp:wrapNone/>
            <wp:docPr id="13" name="图片 13" descr="758c258000b06c6fa103a3b8a76fc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758c258000b06c6fa103a3b8a76fc00"/>
                    <pic:cNvPicPr>
                      <a:picLocks noChangeAspect="1"/>
                    </pic:cNvPicPr>
                  </pic:nvPicPr>
                  <pic:blipFill>
                    <a:blip r:embed="rId34"/>
                    <a:stretch>
                      <a:fillRect/>
                    </a:stretch>
                  </pic:blipFill>
                  <pic:spPr>
                    <a:xfrm>
                      <a:off x="0" y="0"/>
                      <a:ext cx="807720" cy="1470660"/>
                    </a:xfrm>
                    <a:prstGeom prst="rect">
                      <a:avLst/>
                    </a:prstGeom>
                  </pic:spPr>
                </pic:pic>
              </a:graphicData>
            </a:graphic>
          </wp:anchor>
        </w:drawing>
      </w:r>
      <w:r>
        <w:rPr>
          <w:rFonts w:hint="default" w:ascii="Times New Roman" w:hAnsi="Times New Roman" w:cs="Times New Roman"/>
          <w:sz w:val="21"/>
        </w:rPr>
        <mc:AlternateContent>
          <mc:Choice Requires="wps">
            <w:drawing>
              <wp:anchor distT="0" distB="0" distL="114300" distR="114300" simplePos="0" relativeHeight="251660288" behindDoc="0" locked="0" layoutInCell="1" allowOverlap="1">
                <wp:simplePos x="0" y="0"/>
                <wp:positionH relativeFrom="column">
                  <wp:posOffset>5094605</wp:posOffset>
                </wp:positionH>
                <wp:positionV relativeFrom="paragraph">
                  <wp:posOffset>3592830</wp:posOffset>
                </wp:positionV>
                <wp:extent cx="107950" cy="107950"/>
                <wp:effectExtent l="12700" t="12700" r="12700" b="12700"/>
                <wp:wrapNone/>
                <wp:docPr id="14" name="矩形 14"/>
                <wp:cNvGraphicFramePr/>
                <a:graphic xmlns:a="http://schemas.openxmlformats.org/drawingml/2006/main">
                  <a:graphicData uri="http://schemas.microsoft.com/office/word/2010/wordprocessingShape">
                    <wps:wsp>
                      <wps:cNvSpPr/>
                      <wps:spPr>
                        <a:xfrm>
                          <a:off x="3315335" y="2807335"/>
                          <a:ext cx="107950" cy="10795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1.15pt;margin-top:282.9pt;height:8.5pt;width:8.5pt;z-index:251660288;v-text-anchor:middle;mso-width-relative:page;mso-height-relative:page;" fillcolor="#FF0000" filled="t" stroked="t" coordsize="21600,21600" o:gfxdata="UEsDBAoAAAAAAIdO4kAAAAAAAAAAAAAAAAAEAAAAZHJzL1BLAwQUAAAACACHTuJA/oWd5NgAAAAL&#10;AQAADwAAAGRycy9kb3ducmV2LnhtbE2PPU/DMBCGdyT+g3VIbNRJUIsb4nSoqBDdKAwd3fhIQuJz&#10;FDtN+fdcJxjvvUfvR7G5uF6ccQytJw3pIgGBVHnbUq3h82P3oECEaMia3hNq+MEAm/L2pjC59TO9&#10;4/kQa8EmFHKjoYlxyKUMVYPOhIUfkPj35UdnIp9jLe1oZjZ3vcySZCWdaYkTGjPgtsGqO0xOQ7dW&#10;Xfc6bV+y3ZPby+NbHb+Ps9b3d2nyDCLiJf7BcK3P1aHkTic/kQ2i16CS7JFRDcvVkjcwodI1KydW&#10;VKZAloX8v6H8BVBLAwQUAAAACACHTuJAEo4EzGgCAADqBAAADgAAAGRycy9lMm9Eb2MueG1srVTN&#10;bhMxEL4j8Q6W73Q3f7SNuqmiRkFIFa1UEGfHa2dX8h+2k015GSRuPASPg3gNPnu3v3DogRycGc/s&#10;NzPfzPjs/KAV2QsfWmsqOjoqKRGG27o124p++rh+c0JJiMzUTFkjKnorAj1fvH511rm5GNvGqlp4&#10;AhAT5p2raBOjmxdF4I3QLBxZJwyM0nrNIlS/LWrPOqBrVYzL8m3RWV87b7kIAber3kgHRP8SQCtl&#10;y8XK8p0WJvaoXigWUVJoWhfoImcrpeDxSsogIlEVRaUxnwgCeZPOYnHG5lvPXNPyIQX2khSe1aRZ&#10;axD0HmrFIiM73/4FpVvubbAyHnGri76QzAiqGJXPuLlpmBO5FlAd3D3p4f/B8g/7a0/aGpMwpcQw&#10;jY7//vbj18/vBBdgp3NhDqcbd+0HLUBMpR6k1+kfRZBDRSeT0WwymVFyW9HxSXmc5MyuOETC4TAq&#10;j09n4J3DYZBhLx6AnA/xnbCaJKGiHs3LnLL9ZYi9651Lihusaut1q1RW/HZzoTzZMzR6vS7xS9GB&#10;/sRNGdIhvdkUZsIZxldibCBqBwqC2VLC1BZ7waPPsZ98HV4WJCW5YqHpk8kIQy7KIKXEaM9hkja2&#10;vkUHvO1HMzi+bvH9JQvxmnnMIhLFtsYrHFJZZG8HiZLG+q//uk/+GBFYKekw26jsy455QYl6bzA8&#10;p6PpFLAxK9PZ8RiKf2zZPLaYnb6wYHWEd8HxLCb/qO5E6a3+jKVepqgwMcMRu+dwUC5iv3N4FrhY&#10;LrMbFsCxeGluHE/gqYvGLnfRyjZ3+4GdgTSsQO7osK5pxx7r2evhiVr8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P6FneTYAAAACwEAAA8AAAAAAAAAAQAgAAAAIgAAAGRycy9kb3ducmV2LnhtbFBL&#10;AQIUABQAAAAIAIdO4kASjgTMaAIAAOoEAAAOAAAAAAAAAAEAIAAAACcBAABkcnMvZTJvRG9jLnht&#10;bFBLBQYAAAAABgAGAFkBAAABBgAAAAA=&#10;">
                <v:fill on="t" focussize="0,0"/>
                <v:stroke weight="2pt" color="#FF0000 [3204]" joinstyle="round"/>
                <v:imagedata o:title=""/>
                <o:lock v:ext="edit" aspectratio="f"/>
              </v:rect>
            </w:pict>
          </mc:Fallback>
        </mc:AlternateContent>
      </w:r>
      <w:r>
        <w:rPr>
          <w:rFonts w:hint="default" w:ascii="Times New Roman" w:hAnsi="Times New Roman" w:cs="Times New Roman" w:eastAsiaTheme="minorEastAsia"/>
          <w:lang w:eastAsia="zh-CN"/>
        </w:rPr>
        <w:drawing>
          <wp:inline distT="0" distB="0" distL="114300" distR="114300">
            <wp:extent cx="8509635" cy="5868035"/>
            <wp:effectExtent l="12700" t="12700" r="31115" b="24765"/>
            <wp:docPr id="16" name="图片 16" descr="62c2259fad4af5f9aba7573bd7f12a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62c2259fad4af5f9aba7573bd7f12ab8"/>
                    <pic:cNvPicPr>
                      <a:picLocks noChangeAspect="1"/>
                    </pic:cNvPicPr>
                  </pic:nvPicPr>
                  <pic:blipFill>
                    <a:blip r:embed="rId35"/>
                    <a:stretch>
                      <a:fillRect/>
                    </a:stretch>
                  </pic:blipFill>
                  <pic:spPr>
                    <a:xfrm>
                      <a:off x="0" y="0"/>
                      <a:ext cx="8509635" cy="5868035"/>
                    </a:xfrm>
                    <a:prstGeom prst="rect">
                      <a:avLst/>
                    </a:prstGeom>
                    <a:ln w="12700">
                      <a:solidFill>
                        <a:schemeClr val="tx1"/>
                      </a:solidFill>
                    </a:ln>
                  </pic:spPr>
                </pic:pic>
              </a:graphicData>
            </a:graphic>
          </wp:inline>
        </w:drawing>
      </w:r>
    </w:p>
    <w:p>
      <w:pPr>
        <w:jc w:val="center"/>
        <w:rPr>
          <w:rFonts w:hint="default" w:ascii="Times New Roman" w:hAnsi="Times New Roman" w:cs="Times New Roman" w:eastAsiaTheme="minorEastAsia"/>
          <w:lang w:eastAsia="zh-CN"/>
        </w:rPr>
        <w:sectPr>
          <w:pgSz w:w="16838" w:h="11906" w:orient="landscape"/>
          <w:pgMar w:top="1417" w:right="1440" w:bottom="1417" w:left="1440" w:header="851" w:footer="992" w:gutter="0"/>
          <w:cols w:space="425" w:num="1"/>
          <w:docGrid w:type="lines" w:linePitch="312" w:charSpace="0"/>
        </w:sectPr>
      </w:pPr>
      <w:r>
        <w:rPr>
          <w:rFonts w:hint="default" w:ascii="Times New Roman" w:hAnsi="Times New Roman" w:cs="Times New Roman"/>
          <w:color w:val="auto"/>
          <w:sz w:val="21"/>
        </w:rPr>
        <mc:AlternateContent>
          <mc:Choice Requires="wps">
            <w:drawing>
              <wp:anchor distT="0" distB="0" distL="114300" distR="114300" simplePos="0" relativeHeight="251699200" behindDoc="0" locked="0" layoutInCell="1" allowOverlap="1">
                <wp:simplePos x="0" y="0"/>
                <wp:positionH relativeFrom="column">
                  <wp:posOffset>3261360</wp:posOffset>
                </wp:positionH>
                <wp:positionV relativeFrom="paragraph">
                  <wp:posOffset>3342640</wp:posOffset>
                </wp:positionV>
                <wp:extent cx="1162050" cy="452120"/>
                <wp:effectExtent l="4445" t="717550" r="14605" b="11430"/>
                <wp:wrapNone/>
                <wp:docPr id="23" name="矩形标注 23"/>
                <wp:cNvGraphicFramePr/>
                <a:graphic xmlns:a="http://schemas.openxmlformats.org/drawingml/2006/main">
                  <a:graphicData uri="http://schemas.microsoft.com/office/word/2010/wordprocessingShape">
                    <wps:wsp>
                      <wps:cNvSpPr/>
                      <wps:spPr>
                        <a:xfrm flipV="1">
                          <a:off x="0" y="0"/>
                          <a:ext cx="1162050" cy="452120"/>
                        </a:xfrm>
                        <a:prstGeom prst="wedgeRectCallout">
                          <a:avLst>
                            <a:gd name="adj1" fmla="val -16284"/>
                            <a:gd name="adj2" fmla="val 203511"/>
                          </a:avLst>
                        </a:prstGeom>
                        <a:solidFill>
                          <a:srgbClr val="FFFFFF"/>
                        </a:solidFill>
                        <a:ln w="9525" cap="flat" cmpd="sng">
                          <a:solidFill>
                            <a:srgbClr val="000000"/>
                          </a:solidFill>
                          <a:prstDash val="solid"/>
                          <a:miter/>
                          <a:headEnd type="none" w="med" len="med"/>
                          <a:tailEnd type="none" w="med" len="med"/>
                        </a:ln>
                      </wps:spPr>
                      <wps:txbx>
                        <w:txbxContent>
                          <w:p>
                            <w:pPr>
                              <w:jc w:val="left"/>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E</w:t>
                            </w:r>
                            <w:r>
                              <w:rPr>
                                <w:rFonts w:hint="default" w:ascii="Times New Roman" w:hAnsi="Times New Roman" w:cs="Times New Roman"/>
                                <w:color w:val="000000" w:themeColor="text1"/>
                                <w:lang w:val="en-US" w:eastAsia="zh-CN"/>
                                <w14:textFill>
                                  <w14:solidFill>
                                    <w14:schemeClr w14:val="tx1"/>
                                  </w14:solidFill>
                                </w14:textFill>
                              </w:rPr>
                              <w:t>11</w:t>
                            </w:r>
                            <w:r>
                              <w:rPr>
                                <w:rFonts w:hint="eastAsia"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17.855</w:t>
                            </w:r>
                            <w:r>
                              <w:rPr>
                                <w:rFonts w:hint="default" w:ascii="Times New Roman" w:hAnsi="Times New Roman" w:cs="Times New Roman"/>
                                <w:color w:val="000000" w:themeColor="text1"/>
                                <w:lang w:val="en-US" w:eastAsia="zh-CN"/>
                                <w14:textFill>
                                  <w14:solidFill>
                                    <w14:schemeClr w14:val="tx1"/>
                                  </w14:solidFill>
                                </w14:textFill>
                              </w:rPr>
                              <w:t>″</w:t>
                            </w:r>
                          </w:p>
                          <w:p>
                            <w:pPr>
                              <w:jc w:val="left"/>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N</w:t>
                            </w:r>
                            <w:r>
                              <w:rPr>
                                <w:rFonts w:hint="default" w:ascii="Times New Roman" w:hAnsi="Times New Roman" w:cs="Times New Roman"/>
                                <w:color w:val="000000" w:themeColor="text1"/>
                                <w:lang w:val="en-US" w:eastAsia="zh-CN"/>
                                <w14:textFill>
                                  <w14:solidFill>
                                    <w14:schemeClr w14:val="tx1"/>
                                  </w14:solidFill>
                                </w14:textFill>
                              </w:rPr>
                              <w:t>33°</w:t>
                            </w:r>
                            <w:r>
                              <w:rPr>
                                <w:rFonts w:hint="eastAsia" w:ascii="Times New Roman" w:hAnsi="Times New Roman" w:cs="Times New Roman"/>
                                <w:color w:val="000000" w:themeColor="text1"/>
                                <w:lang w:val="en-US" w:eastAsia="zh-CN"/>
                                <w14:textFill>
                                  <w14:solidFill>
                                    <w14:schemeClr w14:val="tx1"/>
                                  </w14:solidFill>
                                </w14:textFill>
                              </w:rPr>
                              <w:t>33</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2.287</w:t>
                            </w:r>
                            <w:r>
                              <w:rPr>
                                <w:rFonts w:hint="default" w:ascii="Times New Roman" w:hAnsi="Times New Roman" w:cs="Times New Roman"/>
                                <w:color w:val="000000" w:themeColor="text1"/>
                                <w:lang w:val="en-US" w:eastAsia="zh-CN"/>
                                <w14:textFill>
                                  <w14:solidFill>
                                    <w14:schemeClr w14:val="tx1"/>
                                  </w14:solidFill>
                                </w14:textFill>
                              </w:rPr>
                              <w:t>″</w:t>
                            </w:r>
                          </w:p>
                        </w:txbxContent>
                      </wps:txbx>
                      <wps:bodyPr upright="1"/>
                    </wps:wsp>
                  </a:graphicData>
                </a:graphic>
              </wp:anchor>
            </w:drawing>
          </mc:Choice>
          <mc:Fallback>
            <w:pict>
              <v:shape id="_x0000_s1026" o:spid="_x0000_s1026" o:spt="61" type="#_x0000_t61" style="position:absolute;left:0pt;flip:y;margin-left:256.8pt;margin-top:263.2pt;height:35.6pt;width:91.5pt;z-index:251699200;mso-width-relative:page;mso-height-relative:page;" fillcolor="#FFFFFF" filled="t" stroked="t" coordsize="21600,21600" o:gfxdata="UEsDBAoAAAAAAIdO4kAAAAAAAAAAAAAAAAAEAAAAZHJzL1BLAwQUAAAACACHTuJAC5BTt9gAAAAL&#10;AQAADwAAAGRycy9kb3ducmV2LnhtbE2PzU7EMAyE70i8Q2QkbmyaAoEtTfewiAOIXYmC9pw2pq1o&#10;nKrJ/vD2mBPc7JnR+HO5OvlRHHCOQyADapGBQGqDG6gz8PH+dHUPIiZLzo6B0MA3RlhV52elLVw4&#10;0hse6tQJLqFYWAN9SlMhZWx79DYuwoTE3meYvU28zp10sz1yuR9lnmVaejsQX+jthOse26967w08&#10;7lDRZnhu1pirbT2/vG67XTTm8kJlDyASntJfGH7xGR0qZmrCnlwUo4Fbda05ykOub0BwQi81Kw0r&#10;yzsNsirl/x+qH1BLAwQUAAAACACHTuJAMpgLa0ACAACaBAAADgAAAGRycy9lMm9Eb2MueG1srVRL&#10;chMxEN1TxR1U2ifzSZwKLo+ziDEbClIE2Mv6zIjSryTZY5+AY0CxImvWHIdwDVqawTiBhRfMQtWS&#10;Wq/7ve6e2dVWK7ThPkhrGlydlhhxQy2Tpm3wu7fLk0uMQiSGEWUNb/COB3w1f/pk1rspr21nFeMe&#10;AYgJ0941uIvRTYsi0I5rEk6t4wYuhfWaRNj6tmCe9ICuVVGX5UXRW8+ct5SHAKeL4RKPiP4YQCuE&#10;pHxh6VpzEwdUzxWJQCl00gU8z9kKwWl8LUTgEakGA9OYVwgC9iqtxXxGpq0nrpN0TIEck8IjTppI&#10;A0H3UAsSCVp7+ReUltTbYEU8pVYXA5GsCLCoykfa3HbE8cwFpA5uL3r4f7D01ebGI8kaXJ9hZIiG&#10;iv/8dPfj+5f7zx/vv31FcAwa9S5MwfXW3fhxF8BMhLfCaySUdO+hmbIEQApts8K7vcJ8GxGFw6q6&#10;qMsJiE/h7nxSV3UuQTHgJDznQ3zBrUbJaHDPWcvfQBmviVJ2HXMEsnkZYlabjSkT9qHCSGgFxdsQ&#10;hU4gzuX5WN0Dp/rQqS7PJlWVnCD+iAnW7wxSgGCVZEupVN74dnWtPIIADV7mb3z8wE0Z1Df42aSe&#10;AE0CEyKgM8HUDlQOps0UHrwIh8Bl/v4FnBJbkNANCWSEgaGWkfvcyR0n7LlhKO4cFNLAAOOUjOYM&#10;I8Vh3pOVPSOR6hhPEEQZUCh1wFDzZMXtajs2wsqyHbTQ2nnZdlCxQdDkBC2bpR3HK83E4T6D/vml&#10;zH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C5BTt9gAAAALAQAADwAAAAAAAAABACAAAAAiAAAA&#10;ZHJzL2Rvd25yZXYueG1sUEsBAhQAFAAAAAgAh07iQDKYC2tAAgAAmgQAAA4AAAAAAAAAAQAgAAAA&#10;JwEAAGRycy9lMm9Eb2MueG1sUEsFBgAAAAAGAAYAWQEAANkFAAAAAA==&#10;" adj="7283,54758">
                <v:fill on="t" focussize="0,0"/>
                <v:stroke color="#000000" joinstyle="miter"/>
                <v:imagedata o:title=""/>
                <o:lock v:ext="edit" aspectratio="f"/>
                <v:textbox>
                  <w:txbxContent>
                    <w:p>
                      <w:pPr>
                        <w:jc w:val="left"/>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E</w:t>
                      </w:r>
                      <w:r>
                        <w:rPr>
                          <w:rFonts w:hint="default" w:ascii="Times New Roman" w:hAnsi="Times New Roman" w:cs="Times New Roman"/>
                          <w:color w:val="000000" w:themeColor="text1"/>
                          <w:lang w:val="en-US" w:eastAsia="zh-CN"/>
                          <w14:textFill>
                            <w14:solidFill>
                              <w14:schemeClr w14:val="tx1"/>
                            </w14:solidFill>
                          </w14:textFill>
                        </w:rPr>
                        <w:t>11</w:t>
                      </w:r>
                      <w:r>
                        <w:rPr>
                          <w:rFonts w:hint="eastAsia"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17.855</w:t>
                      </w:r>
                      <w:r>
                        <w:rPr>
                          <w:rFonts w:hint="default" w:ascii="Times New Roman" w:hAnsi="Times New Roman" w:cs="Times New Roman"/>
                          <w:color w:val="000000" w:themeColor="text1"/>
                          <w:lang w:val="en-US" w:eastAsia="zh-CN"/>
                          <w14:textFill>
                            <w14:solidFill>
                              <w14:schemeClr w14:val="tx1"/>
                            </w14:solidFill>
                          </w14:textFill>
                        </w:rPr>
                        <w:t>″</w:t>
                      </w:r>
                    </w:p>
                    <w:p>
                      <w:pPr>
                        <w:jc w:val="left"/>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N</w:t>
                      </w:r>
                      <w:r>
                        <w:rPr>
                          <w:rFonts w:hint="default" w:ascii="Times New Roman" w:hAnsi="Times New Roman" w:cs="Times New Roman"/>
                          <w:color w:val="000000" w:themeColor="text1"/>
                          <w:lang w:val="en-US" w:eastAsia="zh-CN"/>
                          <w14:textFill>
                            <w14:solidFill>
                              <w14:schemeClr w14:val="tx1"/>
                            </w14:solidFill>
                          </w14:textFill>
                        </w:rPr>
                        <w:t>33°</w:t>
                      </w:r>
                      <w:r>
                        <w:rPr>
                          <w:rFonts w:hint="eastAsia" w:ascii="Times New Roman" w:hAnsi="Times New Roman" w:cs="Times New Roman"/>
                          <w:color w:val="000000" w:themeColor="text1"/>
                          <w:lang w:val="en-US" w:eastAsia="zh-CN"/>
                          <w14:textFill>
                            <w14:solidFill>
                              <w14:schemeClr w14:val="tx1"/>
                            </w14:solidFill>
                          </w14:textFill>
                        </w:rPr>
                        <w:t>33</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2.287</w:t>
                      </w:r>
                      <w:r>
                        <w:rPr>
                          <w:rFonts w:hint="default" w:ascii="Times New Roman" w:hAnsi="Times New Roman" w:cs="Times New Roman"/>
                          <w:color w:val="000000" w:themeColor="text1"/>
                          <w:lang w:val="en-US" w:eastAsia="zh-CN"/>
                          <w14:textFill>
                            <w14:solidFill>
                              <w14:schemeClr w14:val="tx1"/>
                            </w14:solidFill>
                          </w14:textFill>
                        </w:rPr>
                        <w:t>″</w:t>
                      </w:r>
                    </w:p>
                  </w:txbxContent>
                </v:textbox>
              </v:shape>
            </w:pict>
          </mc:Fallback>
        </mc:AlternateContent>
      </w:r>
      <w:r>
        <w:rPr>
          <w:rFonts w:hint="default" w:ascii="Times New Roman" w:hAnsi="Times New Roman" w:cs="Times New Roman"/>
          <w:sz w:val="21"/>
        </w:rPr>
        <mc:AlternateContent>
          <mc:Choice Requires="wps">
            <w:drawing>
              <wp:anchor distT="0" distB="0" distL="114300" distR="114300" simplePos="0" relativeHeight="251665408" behindDoc="0" locked="0" layoutInCell="1" allowOverlap="1">
                <wp:simplePos x="0" y="0"/>
                <wp:positionH relativeFrom="column">
                  <wp:posOffset>3180080</wp:posOffset>
                </wp:positionH>
                <wp:positionV relativeFrom="paragraph">
                  <wp:posOffset>5158740</wp:posOffset>
                </wp:positionV>
                <wp:extent cx="2606040" cy="510540"/>
                <wp:effectExtent l="0" t="0" r="3810" b="3810"/>
                <wp:wrapNone/>
                <wp:docPr id="31" name="文本框 31"/>
                <wp:cNvGraphicFramePr/>
                <a:graphic xmlns:a="http://schemas.openxmlformats.org/drawingml/2006/main">
                  <a:graphicData uri="http://schemas.microsoft.com/office/word/2010/wordprocessingShape">
                    <wps:wsp>
                      <wps:cNvSpPr txBox="1"/>
                      <wps:spPr>
                        <a:xfrm>
                          <a:off x="0" y="0"/>
                          <a:ext cx="2606040" cy="510540"/>
                        </a:xfrm>
                        <a:prstGeom prst="rect">
                          <a:avLst/>
                        </a:prstGeom>
                        <a:solidFill>
                          <a:srgbClr val="FFFFFF"/>
                        </a:solidFill>
                        <a:ln w="6350">
                          <a:noFill/>
                        </a:ln>
                        <a:effectLst/>
                      </wps:spPr>
                      <wps:txbx>
                        <w:txbxContent>
                          <w:p>
                            <w:pPr>
                              <w:rPr>
                                <w:rFonts w:hint="default" w:ascii="Times New Roman" w:hAnsi="Times New Roman" w:eastAsia="黑体" w:cs="Times New Roman"/>
                                <w:sz w:val="28"/>
                                <w:szCs w:val="28"/>
                                <w:lang w:val="en-US" w:eastAsia="zh-CN"/>
                              </w:rPr>
                            </w:pPr>
                            <w:r>
                              <w:rPr>
                                <w:rFonts w:hint="default" w:ascii="Times New Roman" w:hAnsi="Times New Roman" w:eastAsia="黑体" w:cs="Times New Roman"/>
                                <w:sz w:val="28"/>
                                <w:szCs w:val="28"/>
                                <w:lang w:val="en-US" w:eastAsia="zh-CN"/>
                              </w:rPr>
                              <w:t>附图2</w:t>
                            </w:r>
                            <w:r>
                              <w:rPr>
                                <w:rFonts w:hint="eastAsia" w:ascii="Times New Roman" w:hAnsi="Times New Roman" w:eastAsia="黑体" w:cs="Times New Roman"/>
                                <w:sz w:val="28"/>
                                <w:szCs w:val="28"/>
                                <w:lang w:val="en-US" w:eastAsia="zh-CN"/>
                              </w:rPr>
                              <w:t xml:space="preserve"> </w:t>
                            </w:r>
                            <w:r>
                              <w:rPr>
                                <w:rFonts w:hint="default" w:ascii="Times New Roman" w:hAnsi="Times New Roman" w:eastAsia="黑体" w:cs="Times New Roman"/>
                                <w:sz w:val="28"/>
                                <w:szCs w:val="28"/>
                                <w:lang w:val="en-US" w:eastAsia="zh-CN"/>
                              </w:rPr>
                              <w:t xml:space="preserve"> </w:t>
                            </w:r>
                            <w:r>
                              <w:rPr>
                                <w:rFonts w:hint="eastAsia" w:ascii="Times New Roman" w:hAnsi="Times New Roman" w:eastAsia="黑体" w:cs="Times New Roman"/>
                                <w:sz w:val="28"/>
                                <w:szCs w:val="28"/>
                                <w:lang w:val="en-US" w:eastAsia="zh-CN"/>
                              </w:rPr>
                              <w:t>环境保护目标分布图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0.4pt;margin-top:406.2pt;height:40.2pt;width:205.2pt;z-index:251665408;mso-width-relative:page;mso-height-relative:page;" fillcolor="#FFFFFF" filled="t" stroked="f" coordsize="21600,21600" o:gfxdata="UEsDBAoAAAAAAIdO4kAAAAAAAAAAAAAAAAAEAAAAZHJzL1BLAwQUAAAACACHTuJA/FDKltYAAAAL&#10;AQAADwAAAGRycy9kb3ducmV2LnhtbE2PzU7DMBCE70i8g7VI3KjtqEVpiNMDElck2tKzG2/jCHsd&#10;2e7v0+Oe4Lizo5lv2tXFO3bCmMZACuRMAEPqgxlpULDdfLzUwFLWZLQLhAqumGDVPT60ujHhTF94&#10;WueBlRBKjVZgc54azlNv0es0CxNS+R1C9DqXMw7cRH0u4d7xSohX7vVIpcHqCd8t9j/ro1ewG/xt&#10;9y2naI13c/q8XTfbMCr1/CTFG7CMl/xnhjt+QYeuMO3DkUxiTsFCiIKeFdSymgMrjqWUFbB9UZZV&#10;Dbxr+f8N3S9QSwMEFAAAAAgAh07iQPVPzLFTAgAAnwQAAA4AAABkcnMvZTJvRG9jLnhtbK1UzY7T&#10;MBC+I/EOlu80aXdboGq6KlsVIVXsSgvi7DpOY8n2GNttUh4A3oATF+48V5+DsZPuloXDHsjBmb98&#10;4/lmJrOrViuyF85LMAUdDnJKhOFQSrMt6McPqxevKPGBmZIpMKKgB+Hp1fz5s1ljp2IENahSOIIg&#10;xk8bW9A6BDvNMs9roZkfgBUGnRU4zQKqbpuVjjWIrlU2yvNJ1oArrQMuvEfrsnPSHtE9BRCqSnKx&#10;BL7TwoQO1QnFApbka2k9nafbVpXg4aaqvAhEFRQrDenEJChv4pnNZ2y6dczWkvdXYE+5wqOaNJMG&#10;k95DLVlgZOfkX1BacgceqjDgoLOukMQIVjHMH3FzVzMrUi1Itbf3pPv/B8vf728dkWVBL4aUGKax&#10;48fv344/fh1/fiVoQ4Ia66cYd2cxMrRvoMWxOdk9GmPdbeV0fGNFBP1I7+GeXtEGwtE4muST/BJd&#10;HH3jYT5GGeGzh6+t8+GtAE2iUFCH7Uussv3ahy70FBKTeVCyXEmlkuK2m2vlyJ5hq1fp6dH/CFOG&#10;NAWdXIzzhGwgft9BKxNxRJqaPl8svSsxSqHdtD0fGygPSIeDbqK85SuJd14zH26ZwxHCMnHJwg0e&#10;lQJMCb1ESQ3uy7/sMR47i15KGhzJgvrPO+YEJeqdwZ6/Hl5G9kJSLscvR6i4c8/m3GN2+hqQCmwr&#10;3i6JMT6ok1g50J9wFxcxK7qY4Zi7oOEkXoduUXCXuVgsUhBOrWVhbe4sj9CRMAOLXYBKpgZFmjpu&#10;sLFRwblNLe53LC7GuZ6iHv4r89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8UMqW1gAAAAsBAAAP&#10;AAAAAAAAAAEAIAAAACIAAABkcnMvZG93bnJldi54bWxQSwECFAAUAAAACACHTuJA9U/MsVMCAACf&#10;BAAADgAAAAAAAAABACAAAAAlAQAAZHJzL2Uyb0RvYy54bWxQSwUGAAAAAAYABgBZAQAA6gUAAAAA&#10;">
                <v:fill on="t" focussize="0,0"/>
                <v:stroke on="f" weight="0.5pt"/>
                <v:imagedata o:title=""/>
                <o:lock v:ext="edit" aspectratio="f"/>
                <v:textbox>
                  <w:txbxContent>
                    <w:p>
                      <w:pPr>
                        <w:rPr>
                          <w:rFonts w:hint="default" w:ascii="Times New Roman" w:hAnsi="Times New Roman" w:eastAsia="黑体" w:cs="Times New Roman"/>
                          <w:sz w:val="28"/>
                          <w:szCs w:val="28"/>
                          <w:lang w:val="en-US" w:eastAsia="zh-CN"/>
                        </w:rPr>
                      </w:pPr>
                      <w:r>
                        <w:rPr>
                          <w:rFonts w:hint="default" w:ascii="Times New Roman" w:hAnsi="Times New Roman" w:eastAsia="黑体" w:cs="Times New Roman"/>
                          <w:sz w:val="28"/>
                          <w:szCs w:val="28"/>
                          <w:lang w:val="en-US" w:eastAsia="zh-CN"/>
                        </w:rPr>
                        <w:t>附图2</w:t>
                      </w:r>
                      <w:r>
                        <w:rPr>
                          <w:rFonts w:hint="eastAsia" w:ascii="Times New Roman" w:hAnsi="Times New Roman" w:eastAsia="黑体" w:cs="Times New Roman"/>
                          <w:sz w:val="28"/>
                          <w:szCs w:val="28"/>
                          <w:lang w:val="en-US" w:eastAsia="zh-CN"/>
                        </w:rPr>
                        <w:t xml:space="preserve"> </w:t>
                      </w:r>
                      <w:r>
                        <w:rPr>
                          <w:rFonts w:hint="default" w:ascii="Times New Roman" w:hAnsi="Times New Roman" w:eastAsia="黑体" w:cs="Times New Roman"/>
                          <w:sz w:val="28"/>
                          <w:szCs w:val="28"/>
                          <w:lang w:val="en-US" w:eastAsia="zh-CN"/>
                        </w:rPr>
                        <w:t xml:space="preserve"> </w:t>
                      </w:r>
                      <w:r>
                        <w:rPr>
                          <w:rFonts w:hint="eastAsia" w:ascii="Times New Roman" w:hAnsi="Times New Roman" w:eastAsia="黑体" w:cs="Times New Roman"/>
                          <w:sz w:val="28"/>
                          <w:szCs w:val="28"/>
                          <w:lang w:val="en-US" w:eastAsia="zh-CN"/>
                        </w:rPr>
                        <w:t>环境保护目标分布图</w:t>
                      </w:r>
                    </w:p>
                  </w:txbxContent>
                </v:textbox>
              </v:shape>
            </w:pict>
          </mc:Fallback>
        </mc:AlternateContent>
      </w:r>
      <w:r>
        <w:rPr>
          <w:rFonts w:hint="default" w:ascii="Times New Roman" w:hAnsi="Times New Roman" w:cs="Times New Roman" w:eastAsiaTheme="minorEastAsia"/>
          <w:lang w:eastAsia="zh-CN"/>
        </w:rPr>
        <w:drawing>
          <wp:anchor distT="0" distB="0" distL="114935" distR="114935" simplePos="0" relativeHeight="251667456" behindDoc="0" locked="0" layoutInCell="1" allowOverlap="1">
            <wp:simplePos x="0" y="0"/>
            <wp:positionH relativeFrom="column">
              <wp:posOffset>8035925</wp:posOffset>
            </wp:positionH>
            <wp:positionV relativeFrom="paragraph">
              <wp:posOffset>22225</wp:posOffset>
            </wp:positionV>
            <wp:extent cx="807720" cy="1470660"/>
            <wp:effectExtent l="0" t="0" r="11430" b="15240"/>
            <wp:wrapNone/>
            <wp:docPr id="17" name="图片 17" descr="758c258000b06c6fa103a3b8a76fc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58c258000b06c6fa103a3b8a76fc00"/>
                    <pic:cNvPicPr>
                      <a:picLocks noChangeAspect="1"/>
                    </pic:cNvPicPr>
                  </pic:nvPicPr>
                  <pic:blipFill>
                    <a:blip r:embed="rId34"/>
                    <a:stretch>
                      <a:fillRect/>
                    </a:stretch>
                  </pic:blipFill>
                  <pic:spPr>
                    <a:xfrm>
                      <a:off x="0" y="0"/>
                      <a:ext cx="807720" cy="1470660"/>
                    </a:xfrm>
                    <a:prstGeom prst="rect">
                      <a:avLst/>
                    </a:prstGeom>
                  </pic:spPr>
                </pic:pic>
              </a:graphicData>
            </a:graphic>
          </wp:anchor>
        </w:drawing>
      </w:r>
      <w:r>
        <w:rPr>
          <w:rFonts w:hint="default" w:ascii="Times New Roman" w:hAnsi="Times New Roman" w:cs="Times New Roman"/>
        </w:rPr>
        <w:drawing>
          <wp:inline distT="0" distB="0" distL="114300" distR="114300">
            <wp:extent cx="8897620" cy="5683885"/>
            <wp:effectExtent l="0" t="0" r="17780" b="12065"/>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36"/>
                    <a:srcRect l="1878" r="2416"/>
                    <a:stretch>
                      <a:fillRect/>
                    </a:stretch>
                  </pic:blipFill>
                  <pic:spPr>
                    <a:xfrm>
                      <a:off x="0" y="0"/>
                      <a:ext cx="8897620" cy="5683885"/>
                    </a:xfrm>
                    <a:prstGeom prst="rect">
                      <a:avLst/>
                    </a:prstGeom>
                    <a:noFill/>
                    <a:ln>
                      <a:noFill/>
                    </a:ln>
                  </pic:spPr>
                </pic:pic>
              </a:graphicData>
            </a:graphic>
          </wp:inline>
        </w:drawing>
      </w:r>
      <w:r>
        <w:rPr>
          <w:rFonts w:hint="default" w:ascii="Times New Roman" w:hAnsi="Times New Roman" w:cs="Times New Roman"/>
          <w:sz w:val="21"/>
        </w:rPr>
        <mc:AlternateContent>
          <mc:Choice Requires="wps">
            <w:drawing>
              <wp:anchor distT="0" distB="0" distL="114300" distR="114300" simplePos="0" relativeHeight="251664384" behindDoc="0" locked="0" layoutInCell="1" allowOverlap="1">
                <wp:simplePos x="0" y="0"/>
                <wp:positionH relativeFrom="column">
                  <wp:posOffset>7606030</wp:posOffset>
                </wp:positionH>
                <wp:positionV relativeFrom="paragraph">
                  <wp:posOffset>4699000</wp:posOffset>
                </wp:positionV>
                <wp:extent cx="144145" cy="144145"/>
                <wp:effectExtent l="12700" t="12700" r="14605" b="14605"/>
                <wp:wrapNone/>
                <wp:docPr id="29" name="椭圆 29"/>
                <wp:cNvGraphicFramePr/>
                <a:graphic xmlns:a="http://schemas.openxmlformats.org/drawingml/2006/main">
                  <a:graphicData uri="http://schemas.microsoft.com/office/word/2010/wordprocessingShape">
                    <wps:wsp>
                      <wps:cNvSpPr/>
                      <wps:spPr>
                        <a:xfrm>
                          <a:off x="8992870" y="5521960"/>
                          <a:ext cx="144145" cy="1441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98.9pt;margin-top:370pt;height:11.35pt;width:11.35pt;z-index:251664384;v-text-anchor:middle;mso-width-relative:page;mso-height-relative:page;" filled="f" stroked="t" coordsize="21600,21600" o:gfxdata="UEsDBAoAAAAAAIdO4kAAAAAAAAAAAAAAAAAEAAAAZHJzL1BLAwQUAAAACACHTuJAYPPcjtkAAAAN&#10;AQAADwAAAGRycy9kb3ducmV2LnhtbE2PzU7DMBCE70i8g7VI3Kgdq2kgxKnUShyAEwVx3sZuEjVe&#10;R7H7A0/P9kSPszua+aZanv0gjm6KfSAD2UyBcNQE21Nr4Ovz5eERRExIFodAzsCPi7Csb28qLG04&#10;0Yc7blIrOIRiiQa6lMZSyth0zmOchdER/3Zh8phYTq20E5443A9SK7WQHnvihg5Ht+5cs98cPPe+&#10;r+Zaf+tVvh9+12+4y0cbXo25v8vUM4jkzunfDBd8RoeambbhQDaKgXX2VDB7MlDMFa+6WLRWOYgt&#10;nxa6AFlX8npF/QdQSwMEFAAAAAgAh07iQNoPuQZqAgAAxAQAAA4AAABkcnMvZTJvRG9jLnhtbK1U&#10;S27bMBTcF+gdCO4b2YadxELkwIjhokDQBEiLrmmKtAjwV5K2nB6gp+iy2x6rPUeHkhKnaRdZ1Av5&#10;kW80fDN8TxeXB6PJXoSonK3o+GREibDc1cpuK/rxw/rNOSUxMVsz7ayo6L2I9HLx+tVF60sxcY3T&#10;tQgEJDaWra9ok5IviyLyRhgWT5wXFknpgmEJy7At6sBasBtdTEaj06J1ofbBcREjdld9kg6M4SWE&#10;TkrFxcrxnRE29axBaJYgKTbKR7roqpVS8HQjZRSJ6IpCaeqeOATxJj+LxQUrt4H5RvGhBPaSEp5p&#10;MkxZHPpItWKJkV1Qf1EZxYOLTqYT7kzRC+kcgYrx6Jk3dw3zotMCq6N/ND3+P1r+fn8biKorOplT&#10;YpnBjf/6/uPnt68EG3Cn9bEE6M7fhmEVEWapBxlM/ocIcqjo+Xw+OT+Dr/cVnc0m4/np4K44JMIB&#10;GE+n4+mMEg7AEIOxOBL5ENNb4QzJQUWF1rjKrJ+VbH8dU49+QOVt69ZKa+yzUlvSQsRsOkIJnKEx&#10;JRoCofEQF+2WEqa36HieQkcZnVZ1fj2/HcN2c6UD2TP0yXo9wi+LR3F/wPLZKxabHtelBpi2QGev&#10;endytHH1PbwNrm+66Pla4f1rFtMtC+gyFIo5TDd4SO1QvRsiShoXvvxrP+Nx+chS0qJroezzjgVB&#10;iX5n0RZzGAva1C2ms7MJFuFpZvM0Y3fmykHwGBPveRdmfNIPoQzOfMK4LvOpSDHLcXbv4bC4Sv00&#10;YeC5WC47GFrbs3Rt7zzP5P1NLXfJSdVd4tGdwTQ0d2f2MIh5ep6uO9Tx47P4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GDz3I7ZAAAADQEAAA8AAAAAAAAAAQAgAAAAIgAAAGRycy9kb3ducmV2Lnht&#10;bFBLAQIUABQAAAAIAIdO4kDaD7kGagIAAMQEAAAOAAAAAAAAAAEAIAAAACgBAABkcnMvZTJvRG9j&#10;LnhtbFBLBQYAAAAABgAGAFkBAAAEBgAAAAA=&#10;">
                <v:fill on="f" focussize="0,0"/>
                <v:stroke weight="2pt" color="#FF0000 [3204]" joinstyle="round"/>
                <v:imagedata o:title=""/>
                <o:lock v:ext="edit" aspectratio="f"/>
              </v:shape>
            </w:pict>
          </mc:Fallback>
        </mc:AlternateContent>
      </w:r>
      <w:r>
        <w:rPr>
          <w:rFonts w:hint="default" w:ascii="Times New Roman" w:hAnsi="Times New Roman" w:cs="Times New Roman"/>
          <w:sz w:val="21"/>
        </w:rPr>
        <mc:AlternateContent>
          <mc:Choice Requires="wps">
            <w:drawing>
              <wp:anchor distT="0" distB="0" distL="114300" distR="114300" simplePos="0" relativeHeight="251663360" behindDoc="0" locked="0" layoutInCell="1" allowOverlap="1">
                <wp:simplePos x="0" y="0"/>
                <wp:positionH relativeFrom="column">
                  <wp:posOffset>7590790</wp:posOffset>
                </wp:positionH>
                <wp:positionV relativeFrom="paragraph">
                  <wp:posOffset>4401820</wp:posOffset>
                </wp:positionV>
                <wp:extent cx="168275" cy="129540"/>
                <wp:effectExtent l="12700" t="12700" r="28575" b="29210"/>
                <wp:wrapNone/>
                <wp:docPr id="28" name="矩形 28"/>
                <wp:cNvGraphicFramePr/>
                <a:graphic xmlns:a="http://schemas.openxmlformats.org/drawingml/2006/main">
                  <a:graphicData uri="http://schemas.microsoft.com/office/word/2010/wordprocessingShape">
                    <wps:wsp>
                      <wps:cNvSpPr/>
                      <wps:spPr>
                        <a:xfrm>
                          <a:off x="8566150" y="5567680"/>
                          <a:ext cx="168275" cy="1295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7.7pt;margin-top:346.6pt;height:10.2pt;width:13.25pt;z-index:251663360;v-text-anchor:middle;mso-width-relative:page;mso-height-relative:page;" filled="f" stroked="t" coordsize="21600,21600" o:gfxdata="UEsDBAoAAAAAAIdO4kAAAAAAAAAAAAAAAAAEAAAAZHJzL1BLAwQUAAAACACHTuJAWGWFodsAAAAN&#10;AQAADwAAAGRycy9kb3ducmV2LnhtbE2PMU/DMBCFdyT+g3VILIg6TiA0IU4lKtGBoRKFhc2JjyRq&#10;bEe205R/z3WC8ek+fe9dtTmbkZ3Qh8FZCWKVAEPbOj3YTsLnx+v9GliIymo1OosSfjDApr6+qlSp&#10;3WLf8XSIHSOJDaWS0Mc4lZyHtkejwspNaOn27bxRkaLvuPZqIbkZeZokOTdqsNTQqwm3PbbHw2wk&#10;NLsvv12/ZLs43+WkPnZvuF+kvL0RyTOwiOf4B8NlPk2HmjY1brY6sJGyKB4fiJWQF1kK7IKkqSiA&#10;NRKeRJYDryv+/4v6F1BLAwQUAAAACACHTuJAJnLzhWoCAADBBAAADgAAAGRycy9lMm9Eb2MueG1s&#10;rVTLbtswELwX6D8QvNeyDMtxDMuBEcNFgaAJkBY90xRlCeCrJG05/ZkCvfUj+jlFf6NDSnk07SGH&#10;+iAvteNZzuyulxcnJclRON8aXdJ8NKZEaG6qVu9L+vHD9s2cEh+Yrpg0WpT0Tnh6sXr9atnZhZiY&#10;xshKOAIS7RedLWkTgl1kmeeNUMyPjBUaydo4xQKObp9VjnVgVzKbjMezrDOuss5w4T3ebvokHRjd&#10;SwhNXbdcbAw/KKFDz+qEZAGSfNNaT1fptnUteLiuay8CkSWF0pCeKIJ4F5/ZaskWe8ds0/LhCuwl&#10;V3imSbFWo+gD1YYFRg6u/YtKtdwZb+ow4kZlvZDkCFTk42fe3DbMiqQFVnv7YLr/f7T8/fHGkbYq&#10;6QR910yh47++fv/54xvBC7jTWb8A6NbeuOHkEUapp9qp+A0R5FTSeTGb5QV8vStpUczOZvPBXXEK&#10;hAOQz+aTs4ISDkA+OS+mKZ89Elnnw1thFIlBSR2alzxlxysfUBzQe0isq822lTI1UGrSQQEoUZ8z&#10;TGWNaUCoLJR5vaeEyT3GnQeXKL2RbRV/Hom82+8upSNHhiHZbsf4ROUo9wcs1t4w3/S4lBpgUgMd&#10;jeqtidHOVHcw1pl+4rzl2xa/v2I+3DCHEcNFsYThGo9aGtzeDBEljXFf/vU+4tF5ZCnpMLJQ9vnA&#10;nKBEvtOYifN8Ck9JSIdpcTbBwT3N7J5m9EFdGgjOse6WpzDig7wPa2fUJ+zqOlZFimmO2r2Hw+Ey&#10;9KuEbedivU4wzLVl4UrfWh7J+06tD8HUbWriozuDaZjsZPawhXF1np4T6vGfZ/U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WGWFodsAAAANAQAADwAAAAAAAAABACAAAAAiAAAAZHJzL2Rvd25yZXYu&#10;eG1sUEsBAhQAFAAAAAgAh07iQCZy84VqAgAAwQQAAA4AAAAAAAAAAQAgAAAAKgEAAGRycy9lMm9E&#10;b2MueG1sUEsFBgAAAAAGAAYAWQEAAAYGAAAAAA==&#10;">
                <v:fill on="f" focussize="0,0"/>
                <v:stroke weight="2pt" color="#FF0000 [3204]" joinstyle="round"/>
                <v:imagedata o:title=""/>
                <o:lock v:ext="edit" aspectratio="f"/>
              </v:rect>
            </w:pict>
          </mc:Fallback>
        </mc:AlternateContent>
      </w:r>
      <w:r>
        <w:rPr>
          <w:rFonts w:hint="default" w:ascii="Times New Roman" w:hAnsi="Times New Roman" w:cs="Times New Roman"/>
          <w:sz w:val="21"/>
        </w:rPr>
        <mc:AlternateContent>
          <mc:Choice Requires="wps">
            <w:drawing>
              <wp:anchor distT="0" distB="0" distL="114300" distR="114300" simplePos="0" relativeHeight="251662336" behindDoc="0" locked="0" layoutInCell="1" allowOverlap="1">
                <wp:simplePos x="0" y="0"/>
                <wp:positionH relativeFrom="column">
                  <wp:posOffset>7438390</wp:posOffset>
                </wp:positionH>
                <wp:positionV relativeFrom="paragraph">
                  <wp:posOffset>3967480</wp:posOffset>
                </wp:positionV>
                <wp:extent cx="1341120" cy="993775"/>
                <wp:effectExtent l="4445" t="4445" r="6985" b="11430"/>
                <wp:wrapNone/>
                <wp:docPr id="27" name="文本框 27"/>
                <wp:cNvGraphicFramePr/>
                <a:graphic xmlns:a="http://schemas.openxmlformats.org/drawingml/2006/main">
                  <a:graphicData uri="http://schemas.microsoft.com/office/word/2010/wordprocessingShape">
                    <wps:wsp>
                      <wps:cNvSpPr txBox="1"/>
                      <wps:spPr>
                        <a:xfrm>
                          <a:off x="8291830" y="4020820"/>
                          <a:ext cx="1341120" cy="9937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360" w:lineRule="auto"/>
                              <w:rPr>
                                <w:rFonts w:hint="eastAsia"/>
                                <w:b/>
                                <w:bCs/>
                                <w:lang w:val="en-US" w:eastAsia="zh-CN"/>
                              </w:rPr>
                            </w:pPr>
                            <w:r>
                              <w:rPr>
                                <w:rFonts w:hint="eastAsia"/>
                                <w:b/>
                                <w:bCs/>
                                <w:lang w:val="en-US" w:eastAsia="zh-CN"/>
                              </w:rPr>
                              <w:t>图例</w:t>
                            </w:r>
                          </w:p>
                          <w:p>
                            <w:pPr>
                              <w:spacing w:line="360" w:lineRule="auto"/>
                              <w:ind w:firstLine="630" w:firstLineChars="300"/>
                              <w:rPr>
                                <w:rFonts w:hint="default"/>
                                <w:lang w:val="en-US" w:eastAsia="zh-CN"/>
                              </w:rPr>
                            </w:pPr>
                            <w:r>
                              <w:rPr>
                                <w:rFonts w:hint="eastAsia"/>
                                <w:lang w:val="en-US" w:eastAsia="zh-CN"/>
                              </w:rPr>
                              <w:t>项目厂界</w:t>
                            </w:r>
                          </w:p>
                          <w:p>
                            <w:pPr>
                              <w:spacing w:line="360" w:lineRule="auto"/>
                              <w:ind w:firstLine="630" w:firstLineChars="300"/>
                              <w:rPr>
                                <w:rFonts w:hint="eastAsia"/>
                                <w:lang w:val="en-US" w:eastAsia="zh-CN"/>
                              </w:rPr>
                            </w:pPr>
                            <w:r>
                              <w:rPr>
                                <w:rFonts w:hint="eastAsia"/>
                                <w:lang w:val="en-US" w:eastAsia="zh-CN"/>
                              </w:rPr>
                              <w:t>500m范围</w:t>
                            </w:r>
                          </w:p>
                          <w:p>
                            <w:pPr>
                              <w:spacing w:line="360" w:lineRule="auto"/>
                              <w:ind w:firstLine="630" w:firstLineChars="300"/>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5.7pt;margin-top:312.4pt;height:78.25pt;width:105.6pt;z-index:251662336;mso-width-relative:page;mso-height-relative:page;" fillcolor="#FFFFFF [3201]" filled="t" stroked="t" coordsize="21600,21600" o:gfxdata="UEsDBAoAAAAAAIdO4kAAAAAAAAAAAAAAAAAEAAAAZHJzL1BLAwQUAAAACACHTuJA3t5+wdgAAAAN&#10;AQAADwAAAGRycy9kb3ducmV2LnhtbE2Py2rDMBBF94X8g5hAd40sOzjGtRxooVC6a+pNdoo1sU31&#10;MJISp3/fyapdXuZw59xmf7OGXTHEyTsJYpMBQ9d7PblBQvf19lQBi0k5rYx3KOEHI+zb1UOjau0X&#10;94nXQxoYlbhYKwljSnPNeexHtCpu/IyObmcfrEoUw8B1UAuVW8PzLCu5VZOjD6Oa8XXE/vtwsRLe&#10;y5d0xE5/6CIv/NLxPpxNlPJxLbJnYAlv6Q+Guz6pQ0tOJ39xOjJDWezEllgJZb6lEXekqPIS2EnC&#10;rhIF8Lbh/1e0v1BLAwQUAAAACACHTuJA7yIRK2QCAADFBAAADgAAAGRycy9lMm9Eb2MueG1srVRL&#10;btswEN0X6B0I7htJthN/YDlwE7goEDQB3KJrmqIsoSSHJWlL6QHaG3TVTfc9l8/RISXn20UW9YIe&#10;zjw8zryZ0fy8VZLshXU16JxmJyklQnMoar3N6aePqzcTSpxnumAStMjprXD0fPH61bwxMzGACmQh&#10;LEES7WaNyWnlvZklieOVUMydgBEagyVYxTxe7TYpLGuQXclkkKZnSQO2MBa4cA69l12Q9oz2JYRQ&#10;ljUXl8B3SmjfsVohmceSXFUbRxcx27IU3F+XpROeyJxipT6e+Ajam3AmizmbbS0zVc37FNhLUnhS&#10;k2K1xkfvqC6ZZ2Rn62dUquYWHJT+hINKukKiIlhFlj7RZl0xI2ItKLUzd6K7/0fLP+xvLKmLnA7G&#10;lGimsOOHnz8Ov/4cfn8n6EOBGuNmiFsbRPr2LbQ4Nke/Q2eouy2tCv9YEcH4ZDDNJkMU+Tano3SQ&#10;Tga91KL1hAeC4SjL0Ek4IqbT4Xh8GiiTeyZjnX8nQJFg5NRiK6PCbH/lfAc9QsLDDmRdrGop48Vu&#10;NxfSkj3Dtq/ir2d/BJOaNDk9G56mkflRLHDfUWwk41+eM2C2UmPSQaBOiGD5dtP2qm2guEXRLHRz&#10;5wxf1ch7xZy/YRYHDQXAVfTXeJQSMBnoLUoqsN/+5Q947D9GKWlwcHPqvu6YFZTI9xonY5qNRkjr&#10;42V0Og4i24eRzcOI3qkLQJEyXHrDoxnwXh7N0oL6jBu7DK9iiGmOb+fUH80L360TbjwXy2UE4Wwb&#10;5q/02vBAHVqiYbnzUNaxdUGmTptePZzu2Px+E8P6PLxH1P3XZ/E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3t5+wdgAAAANAQAADwAAAAAAAAABACAAAAAiAAAAZHJzL2Rvd25yZXYueG1sUEsBAhQA&#10;FAAAAAgAh07iQO8iEStkAgAAxQQAAA4AAAAAAAAAAQAgAAAAJwEAAGRycy9lMm9Eb2MueG1sUEsF&#10;BgAAAAAGAAYAWQEAAP0FAAAAAA==&#10;">
                <v:fill on="t" focussize="0,0"/>
                <v:stroke weight="0.5pt" color="#000000 [3204]" joinstyle="round"/>
                <v:imagedata o:title=""/>
                <o:lock v:ext="edit" aspectratio="f"/>
                <v:textbox>
                  <w:txbxContent>
                    <w:p>
                      <w:pPr>
                        <w:spacing w:line="360" w:lineRule="auto"/>
                        <w:rPr>
                          <w:rFonts w:hint="eastAsia"/>
                          <w:b/>
                          <w:bCs/>
                          <w:lang w:val="en-US" w:eastAsia="zh-CN"/>
                        </w:rPr>
                      </w:pPr>
                      <w:r>
                        <w:rPr>
                          <w:rFonts w:hint="eastAsia"/>
                          <w:b/>
                          <w:bCs/>
                          <w:lang w:val="en-US" w:eastAsia="zh-CN"/>
                        </w:rPr>
                        <w:t>图例</w:t>
                      </w:r>
                    </w:p>
                    <w:p>
                      <w:pPr>
                        <w:spacing w:line="360" w:lineRule="auto"/>
                        <w:ind w:firstLine="630" w:firstLineChars="300"/>
                        <w:rPr>
                          <w:rFonts w:hint="default"/>
                          <w:lang w:val="en-US" w:eastAsia="zh-CN"/>
                        </w:rPr>
                      </w:pPr>
                      <w:r>
                        <w:rPr>
                          <w:rFonts w:hint="eastAsia"/>
                          <w:lang w:val="en-US" w:eastAsia="zh-CN"/>
                        </w:rPr>
                        <w:t>项目厂界</w:t>
                      </w:r>
                    </w:p>
                    <w:p>
                      <w:pPr>
                        <w:spacing w:line="360" w:lineRule="auto"/>
                        <w:ind w:firstLine="630" w:firstLineChars="300"/>
                        <w:rPr>
                          <w:rFonts w:hint="eastAsia"/>
                          <w:lang w:val="en-US" w:eastAsia="zh-CN"/>
                        </w:rPr>
                      </w:pPr>
                      <w:r>
                        <w:rPr>
                          <w:rFonts w:hint="eastAsia"/>
                          <w:lang w:val="en-US" w:eastAsia="zh-CN"/>
                        </w:rPr>
                        <w:t>500m范围</w:t>
                      </w:r>
                    </w:p>
                    <w:p>
                      <w:pPr>
                        <w:spacing w:line="360" w:lineRule="auto"/>
                        <w:ind w:firstLine="630" w:firstLineChars="300"/>
                        <w:rPr>
                          <w:rFonts w:hint="default"/>
                          <w:lang w:val="en-US" w:eastAsia="zh-CN"/>
                        </w:rPr>
                      </w:pPr>
                    </w:p>
                  </w:txbxContent>
                </v:textbox>
              </v:shape>
            </w:pict>
          </mc:Fallback>
        </mc:AlternateContent>
      </w:r>
    </w:p>
    <w:p>
      <w:pPr>
        <w:jc w:val="center"/>
        <w:rPr>
          <w:rFonts w:hint="default" w:ascii="Times New Roman" w:hAnsi="Times New Roman" w:cs="Times New Roman" w:eastAsiaTheme="minorEastAsia"/>
          <w:lang w:eastAsia="zh-CN"/>
        </w:rPr>
      </w:pPr>
      <w:r>
        <w:rPr>
          <w:rFonts w:hint="default" w:ascii="Times New Roman" w:hAnsi="Times New Roman" w:cs="Times New Roman"/>
          <w:sz w:val="21"/>
        </w:rPr>
        <mc:AlternateContent>
          <mc:Choice Requires="wps">
            <w:drawing>
              <wp:anchor distT="0" distB="0" distL="114300" distR="114300" simplePos="0" relativeHeight="251674624" behindDoc="0" locked="0" layoutInCell="1" allowOverlap="1">
                <wp:simplePos x="0" y="0"/>
                <wp:positionH relativeFrom="column">
                  <wp:posOffset>6581140</wp:posOffset>
                </wp:positionH>
                <wp:positionV relativeFrom="paragraph">
                  <wp:posOffset>5101590</wp:posOffset>
                </wp:positionV>
                <wp:extent cx="107950" cy="107950"/>
                <wp:effectExtent l="12700" t="12700" r="12700" b="12700"/>
                <wp:wrapNone/>
                <wp:docPr id="19" name="矩形 19"/>
                <wp:cNvGraphicFramePr/>
                <a:graphic xmlns:a="http://schemas.openxmlformats.org/drawingml/2006/main">
                  <a:graphicData uri="http://schemas.microsoft.com/office/word/2010/wordprocessingShape">
                    <wps:wsp>
                      <wps:cNvSpPr/>
                      <wps:spPr>
                        <a:xfrm>
                          <a:off x="0" y="0"/>
                          <a:ext cx="107950" cy="107950"/>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8.2pt;margin-top:401.7pt;height:8.5pt;width:8.5pt;z-index:251674624;v-text-anchor:middle;mso-width-relative:page;mso-height-relative:page;" fillcolor="#FFFF00" filled="t" stroked="t" coordsize="21600,21600" o:gfxdata="UEsDBAoAAAAAAIdO4kAAAAAAAAAAAAAAAAAEAAAAZHJzL1BLAwQUAAAACACHTuJAwOfBuNoAAAAN&#10;AQAADwAAAGRycy9kb3ducmV2LnhtbE2PQU/DMAyF70j8h8hI3FiydkxV13QSSJs0wQHG0K5Za5qK&#10;xqmabCv/HvcEt/fsp+fPxXp0nbjgEFpPGuYzBQKp8nVLjYbDx+YhAxGiodp0nlDDDwZYl7c3hclr&#10;f6V3vOxjI7iEQm402Bj7XMpQWXQmzHyPxLsvPzgT2Q6NrAdz5XLXyUSppXSmJb5gTY/PFqvv/dlp&#10;2G7s245es6c2He3xYHfbz/El0fr+bq5WICKO8S8MEz6jQ8lMJ3+mOoiOvUqXC85qyFTKYoqox0md&#10;eJSoBciykP+/KH8BUEsDBBQAAAAIAIdO4kAh03AoXAIAAN4EAAAOAAAAZHJzL2Uyb0RvYy54bWyt&#10;VM1uEzEQviPxDpbvdJMopTTqpooaBSFVtFJBnB2vnbXkP2wnm/IySNx4CB6n4jX47N2mP3DogT14&#10;Zzzjb2Y+z/jsfG802YkQlbM1HR+NKBGWu0bZTU0/f1q9eUdJTMw2TDsranorIj2fv3511vmZmLjW&#10;6UYEAhAbZ52vaZuSn1VV5K0wLB45LyyM0gXDEtSwqZrAOqAbXU1Go7dV50Ljg+MiRuwueyMdEMNL&#10;AJ2Uioul41sjbOpRg9AsoaTYKh/pvGQrpeDpSsooEtE1RaWprAgCeZ3Xan7GZpvAfKv4kAJ7SQrP&#10;ajJMWQQ9QC1ZYmQb1F9QRvHgopPpiDtT9YUURlDFePSMm5uWeVFqAdXRH0iP/w+Wf9xdB6IadMIp&#10;JZYZ3Pjv7z/vfv0g2AA7nY8zON346zBoEWIudS+DyX8UQfaF0dsDo2KfCMfmeHRyegyuOUyDDJTq&#10;4bAPMb0XzpAs1DTgwgqPbHcZU+9675JjRadVs1JaFyVs1hc6kB3D5a7wjcp9Av2Jm7akq+nkeAoz&#10;4QwtK9EqEI1H2dFuKGF6g1ngKZTYT07HlwXJSS5ZbPtkCkJmD7loi19msectS2vX3IL14Pp2jJ6v&#10;FM5fspiuWUD/IVFMaLrCIrVD9m6QKGld+Pav/eyPtoCVkg79jMq+blkQlOgPFg1zOp5OAZuKMj0+&#10;mUAJjy3rxxa7NRcOrI7xFnhexOyf9L0ogzNfMMiLHBUmZjli9xwOykXq5wxPAReLRXFD03uWLu2N&#10;5xk836J1i21yUpXbfmBnIA1tX1gcRjTP1WO9eD08S/M/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wOfBuNoAAAANAQAADwAAAAAAAAABACAAAAAiAAAAZHJzL2Rvd25yZXYueG1sUEsBAhQAFAAAAAgA&#10;h07iQCHTcChcAgAA3gQAAA4AAAAAAAAAAQAgAAAAKQEAAGRycy9lMm9Eb2MueG1sUEsFBgAAAAAG&#10;AAYAWQEAAPcFAAAAAA==&#10;">
                <v:fill on="t" focussize="0,0"/>
                <v:stroke weight="2pt" color="#FFFF00 [3204]" joinstyle="round"/>
                <v:imagedata o:title=""/>
                <o:lock v:ext="edit" aspectratio="f"/>
              </v:rect>
            </w:pict>
          </mc:Fallback>
        </mc:AlternateContent>
      </w:r>
      <w:r>
        <w:rPr>
          <w:rFonts w:hint="default" w:ascii="Times New Roman" w:hAnsi="Times New Roman" w:cs="Times New Roman"/>
          <w:sz w:val="21"/>
        </w:rPr>
        <mc:AlternateContent>
          <mc:Choice Requires="wps">
            <w:drawing>
              <wp:anchor distT="0" distB="0" distL="114300" distR="114300" simplePos="0" relativeHeight="251673600" behindDoc="0" locked="0" layoutInCell="1" allowOverlap="1">
                <wp:simplePos x="0" y="0"/>
                <wp:positionH relativeFrom="column">
                  <wp:posOffset>6581775</wp:posOffset>
                </wp:positionH>
                <wp:positionV relativeFrom="paragraph">
                  <wp:posOffset>4798060</wp:posOffset>
                </wp:positionV>
                <wp:extent cx="107950" cy="107950"/>
                <wp:effectExtent l="12700" t="12700" r="12700" b="12700"/>
                <wp:wrapNone/>
                <wp:docPr id="20" name="矩形 20"/>
                <wp:cNvGraphicFramePr/>
                <a:graphic xmlns:a="http://schemas.openxmlformats.org/drawingml/2006/main">
                  <a:graphicData uri="http://schemas.microsoft.com/office/word/2010/wordprocessingShape">
                    <wps:wsp>
                      <wps:cNvSpPr/>
                      <wps:spPr>
                        <a:xfrm>
                          <a:off x="0" y="0"/>
                          <a:ext cx="107950" cy="107950"/>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8.25pt;margin-top:377.8pt;height:8.5pt;width:8.5pt;z-index:251673600;v-text-anchor:middle;mso-width-relative:page;mso-height-relative:page;" fillcolor="#00B050" filled="t" stroked="t" coordsize="21600,21600" o:gfxdata="UEsDBAoAAAAAAIdO4kAAAAAAAAAAAAAAAAAEAAAAZHJzL1BLAwQUAAAACACHTuJAv4Vm4NkAAAAN&#10;AQAADwAAAGRycy9kb3ducmV2LnhtbE2PwU7DMBBE70j8g7VIXBC12ygpCnEqgcQNhCggrpvYJKHx&#10;OthuU/6e7QmOM/s0O1Ntjm4UBxvi4EnDcqFAWGq9GajT8Pb6cH0DIiYkg6Mnq+HHRtjU52cVlsbP&#10;9GIP29QJDqFYooY+pamUMra9dRgXfrLEt08fHCaWoZMm4MzhbpQrpQrpcCD+0ONk73vb7rZ7pyFm&#10;zeP3893sdu/Zk/zAL38Vcq/15cVS3YJI9pj+YDjV5+pQc6fG78lEMbJWWZEzq2Gd5wWIE6LyjK2G&#10;rfWqAFlX8v+K+hdQSwMEFAAAAAgAh07iQH6SgV1ZAgAA3gQAAA4AAABkcnMvZTJvRG9jLnhtbK1U&#10;zW4TMRC+I/EOlu90N1VKadRNFRoVIVW0UkCcHa+dteQ/bCeb8jJI3HgIHgfxGnz2bn/h0AOX3RnP&#10;+JuZb2Z8erY3muxEiMrZhk4OakqE5a5VdtPQTx8vXr2hJCZmW6adFQ29EZGezV++OO39TBy6zulW&#10;BAIQG2e9b2iXkp9VVeSdMCweOC8sjNIFwxLUsKnawHqgG10d1vXrqneh9cFxESNOl4ORjojhOYBO&#10;SsXF0vGtETYNqEFollBS7JSPdF6ylVLwdCVlFInohqLSVL4IAnmdv9X8lM02gflO8TEF9pwUntRk&#10;mLIIege1ZImRbVB/QRnFg4tOpgPuTDUUUhhBFZP6CTerjnlRagHV0d+RHv8fLP+wuw5EtQ09BCWW&#10;GXT897cfv35+JzgAO72PMzit/HUYtQgxl7qXweQ/iiD7wujNHaNinwjH4aQ+PjkCMIdplIFS3V/2&#10;IaZ3whmShYYGNKzwyHaXMQ2uty45VnRatRdK66KEzfpcB7Jjubn12xqRhiuP3LQlPco7mtY5EYaR&#10;lRgViMaj7Gg3lDC9wS7wFErsR7fj84LkJJcsdkMyBWHMRVsUnFkceMvS2rU3YD24YRyj5xcK9y9Z&#10;TNcsYP6QKDY0XeEjtUP2bpQo6Vz4+q/z7I+xgJWSHvOMyr5sWRCU6PcWA3MymU4Bm4oyPTrO7Q4P&#10;LeuHFrs15w6sTvAWeF7E7J/0rSiDM5+xyIscFSZmOWIPHI7KeRr2DE8BF4tFccPQe5Yu7crzDJ67&#10;aN1im5xUpdv37IykYezLvIwrmvfqoV687p+l+R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hWbg&#10;2QAAAA0BAAAPAAAAAAAAAAEAIAAAACIAAABkcnMvZG93bnJldi54bWxQSwECFAAUAAAACACHTuJA&#10;fpKBXVkCAADeBAAADgAAAAAAAAABACAAAAAoAQAAZHJzL2Uyb0RvYy54bWxQSwUGAAAAAAYABgBZ&#10;AQAA8wUAAAAA&#10;">
                <v:fill on="t" focussize="0,0"/>
                <v:stroke weight="2pt" color="#00B050 [3204]" joinstyle="round"/>
                <v:imagedata o:title=""/>
                <o:lock v:ext="edit" aspectratio="f"/>
              </v:rect>
            </w:pict>
          </mc:Fallback>
        </mc:AlternateContent>
      </w:r>
      <w:r>
        <w:rPr>
          <w:rFonts w:hint="default" w:ascii="Times New Roman" w:hAnsi="Times New Roman" w:cs="Times New Roman"/>
          <w:sz w:val="21"/>
        </w:rPr>
        <mc:AlternateContent>
          <mc:Choice Requires="wps">
            <w:drawing>
              <wp:anchor distT="0" distB="0" distL="114300" distR="114300" simplePos="0" relativeHeight="251672576" behindDoc="0" locked="0" layoutInCell="1" allowOverlap="1">
                <wp:simplePos x="0" y="0"/>
                <wp:positionH relativeFrom="column">
                  <wp:posOffset>6558280</wp:posOffset>
                </wp:positionH>
                <wp:positionV relativeFrom="paragraph">
                  <wp:posOffset>4538980</wp:posOffset>
                </wp:positionV>
                <wp:extent cx="107950" cy="107950"/>
                <wp:effectExtent l="12700" t="12700" r="12700" b="12700"/>
                <wp:wrapNone/>
                <wp:docPr id="21" name="矩形 21"/>
                <wp:cNvGraphicFramePr/>
                <a:graphic xmlns:a="http://schemas.openxmlformats.org/drawingml/2006/main">
                  <a:graphicData uri="http://schemas.microsoft.com/office/word/2010/wordprocessingShape">
                    <wps:wsp>
                      <wps:cNvSpPr/>
                      <wps:spPr>
                        <a:xfrm>
                          <a:off x="7605395" y="6080125"/>
                          <a:ext cx="107950" cy="1079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6.4pt;margin-top:357.4pt;height:8.5pt;width:8.5pt;z-index:251672576;v-text-anchor:middle;mso-width-relative:page;mso-height-relative:page;" filled="f" stroked="t" coordsize="21600,21600" o:gfxdata="UEsDBAoAAAAAAIdO4kAAAAAAAAAAAAAAAAAEAAAAZHJzL1BLAwQUAAAACACHTuJAolMAJNoAAAAN&#10;AQAADwAAAGRycy9kb3ducmV2LnhtbE2PMU/DMBCFdyT+g3VILIjaaaoSQpxKVKIDQyUKC5sTH0nU&#10;+BzFTlP+PdepbO/dPb37rticXS9OOIbOk4ZkoUAg1d521Gj4+nx7zECEaMia3hNq+MUAm/L2pjC5&#10;9TN94OkQG8ElFHKjoY1xyKUMdYvOhIUfkHj340dnItuxkXY0M5e7Xi6VWktnOuILrRlw22J9PExO&#10;Q7X7HrfZa7qL08Oaq4/NO+5nre/vEvUCIuI5XsNwwWd0KJmp8hPZIHr2Kl0ye9TwlKxYXCJq9cyq&#10;4lGaZCDLQv7/ovwDUEsDBBQAAAAIAIdO4kASTAhkaQIAAMEEAAAOAAAAZHJzL2Uyb0RvYy54bWyt&#10;VEtu2zAQ3RfoHQjuG8munY8ROTBiuCgQNAHcomuaIi0B/JWkLaeXKdBdD5HjFL1GHynl07SLLOoF&#10;PcN5fJx5M9T5xUErshc+tNZUdHRUUiIMt3VrthX99HH15pSSEJmpmbJGVPRWBHoxf/3qvHMzMbaN&#10;VbXwBCQmzDpX0SZGNyuKwBuhWTiyThgEpfWaRbh+W9SedWDXqhiX5XHRWV87b7kIAbvLPkgHRv8S&#10;Qitly8XS8p0WJvasXigWUVJoWhfoPGcrpeDxWsogIlEVRaUxr7gE9iatxfyczbaeuablQwrsJSk8&#10;q0mz1uDSB6oli4zsfPsXlW65t8HKeMStLvpCsiKoYlQ+02bdMCdyLZA6uAfRw/+j5R/2N560dUXH&#10;I0oM0+j4r28/ft59J9iAOp0LM4DW7sYPXoCZSj1Ir9M/iiCHip4cl9O3Z1NKbit6XJ6Wo/G0V1cc&#10;IuEAjMqTsyl05wAMNhiLRyLnQ3wnrCbJqKhH87KmbH8VYg+9h6R7jV21SmGfzZQhHSqYTsrEzzCV&#10;EtMAUztUFsyWEqa2GHcefaYMVrV1Op5OB7/dXCpP9gxDslqV+KXMkdkfsHT3koWmx+XQAFMG6CRU&#10;L02yNra+hbDe9hMXHF+1OH/FQrxhHiOGRPEI4zUWqSyyt4NFSWP913/tJzw6jyglHUYWlX3ZMS8o&#10;Ue8NZuJsNJmANmZnMj0Zw/FPI5unEbPTlxYFo+3ILpsJH9W9Kb3Vn/FWF+lWhJjhuLvXcHAuY/+U&#10;8Nq5WCwyDHPtWLwya8cTed+pxS5a2eYmPqoziIbJzmIPrzA9nad+Rj1+ee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KJTACTaAAAADQEAAA8AAAAAAAAAAQAgAAAAIgAAAGRycy9kb3ducmV2Lnht&#10;bFBLAQIUABQAAAAIAIdO4kASTAhkaQIAAMEEAAAOAAAAAAAAAAEAIAAAACkBAABkcnMvZTJvRG9j&#10;LnhtbFBLBQYAAAAABgAGAFkBAAAEBgAAAAA=&#10;">
                <v:fill on="f" focussize="0,0"/>
                <v:stroke weight="2pt" color="#FF0000 [3204]" joinstyle="round"/>
                <v:imagedata o:title=""/>
                <o:lock v:ext="edit" aspectratio="f"/>
              </v:rect>
            </w:pict>
          </mc:Fallback>
        </mc:AlternateContent>
      </w:r>
      <w:r>
        <w:rPr>
          <w:rFonts w:hint="default" w:ascii="Times New Roman" w:hAnsi="Times New Roman" w:cs="Times New Roman"/>
          <w:sz w:val="21"/>
        </w:rPr>
        <mc:AlternateContent>
          <mc:Choice Requires="wps">
            <w:drawing>
              <wp:anchor distT="0" distB="0" distL="114300" distR="114300" simplePos="0" relativeHeight="251671552" behindDoc="0" locked="0" layoutInCell="1" allowOverlap="1">
                <wp:simplePos x="0" y="0"/>
                <wp:positionH relativeFrom="column">
                  <wp:posOffset>6424295</wp:posOffset>
                </wp:positionH>
                <wp:positionV relativeFrom="paragraph">
                  <wp:posOffset>4069080</wp:posOffset>
                </wp:positionV>
                <wp:extent cx="2429510" cy="1630680"/>
                <wp:effectExtent l="4445" t="4445" r="23495" b="22225"/>
                <wp:wrapNone/>
                <wp:docPr id="22" name="文本框 22"/>
                <wp:cNvGraphicFramePr/>
                <a:graphic xmlns:a="http://schemas.openxmlformats.org/drawingml/2006/main">
                  <a:graphicData uri="http://schemas.microsoft.com/office/word/2010/wordprocessingShape">
                    <wps:wsp>
                      <wps:cNvSpPr txBox="1"/>
                      <wps:spPr>
                        <a:xfrm>
                          <a:off x="8474075" y="4838700"/>
                          <a:ext cx="2429510" cy="16306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360" w:lineRule="auto"/>
                              <w:rPr>
                                <w:rFonts w:hint="eastAsia"/>
                                <w:b/>
                                <w:bCs/>
                                <w:lang w:val="en-US" w:eastAsia="zh-CN"/>
                              </w:rPr>
                            </w:pPr>
                            <w:r>
                              <w:rPr>
                                <w:rFonts w:hint="eastAsia"/>
                                <w:b/>
                                <w:bCs/>
                                <w:lang w:val="en-US" w:eastAsia="zh-CN"/>
                              </w:rPr>
                              <w:t>图例</w:t>
                            </w:r>
                          </w:p>
                          <w:p>
                            <w:pPr>
                              <w:spacing w:line="360" w:lineRule="auto"/>
                              <w:ind w:firstLine="420" w:firstLineChars="200"/>
                              <w:rPr>
                                <w:rFonts w:hint="eastAsia"/>
                                <w:lang w:val="en-US" w:eastAsia="zh-CN"/>
                              </w:rPr>
                            </w:pPr>
                            <w:r>
                              <w:rPr>
                                <w:rFonts w:hint="eastAsia"/>
                                <w:lang w:val="en-US" w:eastAsia="zh-CN"/>
                              </w:rPr>
                              <w:t>加油站边界</w:t>
                            </w:r>
                          </w:p>
                          <w:p>
                            <w:pPr>
                              <w:spacing w:line="360" w:lineRule="auto"/>
                              <w:ind w:firstLine="420" w:firstLineChars="200"/>
                              <w:rPr>
                                <w:rFonts w:hint="eastAsia"/>
                                <w:lang w:val="en-US" w:eastAsia="zh-CN"/>
                              </w:rPr>
                            </w:pPr>
                            <w:r>
                              <w:rPr>
                                <w:rFonts w:hint="eastAsia"/>
                                <w:lang w:val="en-US" w:eastAsia="zh-CN"/>
                              </w:rPr>
                              <w:t>加油油气回收系统（汽油加油机）</w:t>
                            </w:r>
                          </w:p>
                          <w:p>
                            <w:pPr>
                              <w:spacing w:line="360" w:lineRule="auto"/>
                              <w:ind w:firstLine="420" w:firstLineChars="200"/>
                              <w:rPr>
                                <w:rFonts w:hint="eastAsia"/>
                                <w:lang w:val="en-US" w:eastAsia="zh-CN"/>
                              </w:rPr>
                            </w:pPr>
                            <w:r>
                              <w:rPr>
                                <w:rFonts w:hint="eastAsia"/>
                                <w:lang w:val="en-US" w:eastAsia="zh-CN"/>
                              </w:rPr>
                              <w:t>卸油油气回收系统（汽油罐）</w:t>
                            </w:r>
                          </w:p>
                          <w:p>
                            <w:pPr>
                              <w:spacing w:line="360" w:lineRule="auto"/>
                              <w:ind w:firstLine="420" w:firstLineChars="200"/>
                              <w:rPr>
                                <w:rFonts w:hint="default"/>
                                <w:lang w:val="en-US" w:eastAsia="zh-CN"/>
                              </w:rPr>
                            </w:pPr>
                            <w:r>
                              <w:rPr>
                                <w:rFonts w:hint="eastAsia"/>
                                <w:lang w:val="en-US" w:eastAsia="zh-CN"/>
                              </w:rPr>
                              <w:t>比例尺：1:400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5.85pt;margin-top:320.4pt;height:128.4pt;width:191.3pt;z-index:251671552;mso-width-relative:page;mso-height-relative:page;" fillcolor="#FFFFFF [3201]" filled="t" stroked="t" coordsize="21600,21600" o:gfxdata="UEsDBAoAAAAAAIdO4kAAAAAAAAAAAAAAAAAEAAAAZHJzL1BLAwQUAAAACACHTuJA1MxQjNkAAAAN&#10;AQAADwAAAGRycy9kb3ducmV2LnhtbE2PwU7DMBBE70j8g7VI3KidpkrbEKcSSEiIG20u3Nx4m0TE&#10;68h2m/L3bE9wHO3T7Jtqd3WjuGCIgycN2UKBQGq9HajT0BzenjYgYjJkzegJNfxghF19f1eZ0vqZ&#10;PvGyT53gEoql0dCnNJVSxrZHZ+LCT0h8O/ngTOIYOmmDmbncjXKpVCGdGYg/9GbC1x7b7/3ZaXgv&#10;XtIXNvbD5svcz41sw2mMWj8+ZOoZRMJr+oPhps/qULPT0Z/JRjFyVlm2ZlZDsVI84obk21UO4qhh&#10;s10XIOtK/l9R/wJQSwMEFAAAAAgAh07iQK1wSFRpAgAAxgQAAA4AAABkcnMvZTJvRG9jLnhtbK1U&#10;S27bMBDdF+gdCO4byYr8iRE5cBO4KBA0AdKia5qiLKEkhyVpS+kB2ht01U33PZfP0SEl59tFFvWC&#10;HnKe38y8mfHpWack2QnrGtAFHR2llAjNoWz0pqCfPq7ezChxnumSSdCioLfC0bPF61enrZmLDGqQ&#10;pbAESbSbt6agtfdmniSO10IxdwRGaHRWYBXzeLWbpLSsRXYlkyxNJ0kLtjQWuHAOXy96Jx0Y7UsI&#10;oaoaLi6Ab5XQvme1QjKPJbm6MY4uYrZVJbi/qionPJEFxUp9PDEI2utwJotTNt9YZuqGDymwl6Tw&#10;pCbFGo1B76gumGdka5tnVKrhFhxU/oiDSvpCoiJYxSh9os1NzYyItaDUztyJ7v4fLf+wu7akKQua&#10;ZZRoprDj+58/9r/+7H9/J/iGArXGzRF3YxDpu7fQ4dgc3h0+hrq7yqrwjRUR9M/yaZ5Ox5TcFjSf&#10;Hc+m6SC16DzhCMjy7GQ8wi5wRIwmx+lkFhHJPZWxzr8ToEgwCmqxl1Fitrt0HtNC6AESIjuQTblq&#10;pIwXu1mfS0t2DPu+ip+QMf7kEUxq0hZ0cjxOI/MjX+C+o1hLxr88Z0A+qZE2KNQrESzfrbtBtjWU&#10;t6iahX7wnOGrBnkvmfPXzOKkoQK4i/4Kj0oCJgODRUkN9tu/3gMeBwC9lLQ4uQV1X7fMCkrke42j&#10;cTLK8zDq8ZKPpxle7EPP+qFHb9U5oEgj3HrDoxnwXh7MyoL6jCu7DFHRxTTH2AX1B/Pc9/uEK8/F&#10;chlBONyG+Ut9Y3igDi3RsNx6qJrYuiBTr82gHo53bM+wimF/Ht4j6v7vZ/E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1MxQjNkAAAANAQAADwAAAAAAAAABACAAAAAiAAAAZHJzL2Rvd25yZXYueG1s&#10;UEsBAhQAFAAAAAgAh07iQK1wSFRpAgAAxgQAAA4AAAAAAAAAAQAgAAAAKAEAAGRycy9lMm9Eb2Mu&#10;eG1sUEsFBgAAAAAGAAYAWQEAAAMGAAAAAA==&#10;">
                <v:fill on="t" focussize="0,0"/>
                <v:stroke weight="0.5pt" color="#000000 [3204]" joinstyle="round"/>
                <v:imagedata o:title=""/>
                <o:lock v:ext="edit" aspectratio="f"/>
                <v:textbox>
                  <w:txbxContent>
                    <w:p>
                      <w:pPr>
                        <w:spacing w:line="360" w:lineRule="auto"/>
                        <w:rPr>
                          <w:rFonts w:hint="eastAsia"/>
                          <w:b/>
                          <w:bCs/>
                          <w:lang w:val="en-US" w:eastAsia="zh-CN"/>
                        </w:rPr>
                      </w:pPr>
                      <w:r>
                        <w:rPr>
                          <w:rFonts w:hint="eastAsia"/>
                          <w:b/>
                          <w:bCs/>
                          <w:lang w:val="en-US" w:eastAsia="zh-CN"/>
                        </w:rPr>
                        <w:t>图例</w:t>
                      </w:r>
                    </w:p>
                    <w:p>
                      <w:pPr>
                        <w:spacing w:line="360" w:lineRule="auto"/>
                        <w:ind w:firstLine="420" w:firstLineChars="200"/>
                        <w:rPr>
                          <w:rFonts w:hint="eastAsia"/>
                          <w:lang w:val="en-US" w:eastAsia="zh-CN"/>
                        </w:rPr>
                      </w:pPr>
                      <w:r>
                        <w:rPr>
                          <w:rFonts w:hint="eastAsia"/>
                          <w:lang w:val="en-US" w:eastAsia="zh-CN"/>
                        </w:rPr>
                        <w:t>加油站边界</w:t>
                      </w:r>
                    </w:p>
                    <w:p>
                      <w:pPr>
                        <w:spacing w:line="360" w:lineRule="auto"/>
                        <w:ind w:firstLine="420" w:firstLineChars="200"/>
                        <w:rPr>
                          <w:rFonts w:hint="eastAsia"/>
                          <w:lang w:val="en-US" w:eastAsia="zh-CN"/>
                        </w:rPr>
                      </w:pPr>
                      <w:r>
                        <w:rPr>
                          <w:rFonts w:hint="eastAsia"/>
                          <w:lang w:val="en-US" w:eastAsia="zh-CN"/>
                        </w:rPr>
                        <w:t>加油油气回收系统（汽油加油机）</w:t>
                      </w:r>
                    </w:p>
                    <w:p>
                      <w:pPr>
                        <w:spacing w:line="360" w:lineRule="auto"/>
                        <w:ind w:firstLine="420" w:firstLineChars="200"/>
                        <w:rPr>
                          <w:rFonts w:hint="eastAsia"/>
                          <w:lang w:val="en-US" w:eastAsia="zh-CN"/>
                        </w:rPr>
                      </w:pPr>
                      <w:r>
                        <w:rPr>
                          <w:rFonts w:hint="eastAsia"/>
                          <w:lang w:val="en-US" w:eastAsia="zh-CN"/>
                        </w:rPr>
                        <w:t>卸油油气回收系统（汽油罐）</w:t>
                      </w:r>
                    </w:p>
                    <w:p>
                      <w:pPr>
                        <w:spacing w:line="360" w:lineRule="auto"/>
                        <w:ind w:firstLine="420" w:firstLineChars="200"/>
                        <w:rPr>
                          <w:rFonts w:hint="default"/>
                          <w:lang w:val="en-US" w:eastAsia="zh-CN"/>
                        </w:rPr>
                      </w:pPr>
                      <w:r>
                        <w:rPr>
                          <w:rFonts w:hint="eastAsia"/>
                          <w:lang w:val="en-US" w:eastAsia="zh-CN"/>
                        </w:rPr>
                        <w:t>比例尺：1:400</w:t>
                      </w:r>
                    </w:p>
                  </w:txbxContent>
                </v:textbox>
              </v:shape>
            </w:pict>
          </mc:Fallback>
        </mc:AlternateContent>
      </w:r>
      <w:r>
        <w:rPr>
          <w:rFonts w:hint="default" w:ascii="Times New Roman" w:hAnsi="Times New Roman" w:cs="Times New Roman"/>
          <w:sz w:val="21"/>
        </w:rPr>
        <mc:AlternateContent>
          <mc:Choice Requires="wps">
            <w:drawing>
              <wp:anchor distT="0" distB="0" distL="114300" distR="114300" simplePos="0" relativeHeight="251678720" behindDoc="0" locked="0" layoutInCell="1" allowOverlap="1">
                <wp:simplePos x="0" y="0"/>
                <wp:positionH relativeFrom="column">
                  <wp:posOffset>2630805</wp:posOffset>
                </wp:positionH>
                <wp:positionV relativeFrom="paragraph">
                  <wp:posOffset>1238250</wp:posOffset>
                </wp:positionV>
                <wp:extent cx="3574415" cy="2667000"/>
                <wp:effectExtent l="12700" t="12700" r="13335" b="25400"/>
                <wp:wrapNone/>
                <wp:docPr id="25" name="矩形 25"/>
                <wp:cNvGraphicFramePr/>
                <a:graphic xmlns:a="http://schemas.openxmlformats.org/drawingml/2006/main">
                  <a:graphicData uri="http://schemas.microsoft.com/office/word/2010/wordprocessingShape">
                    <wps:wsp>
                      <wps:cNvSpPr/>
                      <wps:spPr>
                        <a:xfrm>
                          <a:off x="0" y="0"/>
                          <a:ext cx="3574415" cy="2667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7.15pt;margin-top:97.5pt;height:210pt;width:281.45pt;z-index:251678720;v-text-anchor:middle;mso-width-relative:page;mso-height-relative:page;" filled="f" stroked="t" coordsize="21600,21600" o:gfxdata="UEsDBAoAAAAAAIdO4kAAAAAAAAAAAAAAAAAEAAAAZHJzL1BLAwQUAAAACACHTuJAYKQfQdoAAAAL&#10;AQAADwAAAGRycy9kb3ducmV2LnhtbE2PwU7DMBBE70j8g7VIXFDrpC1pG+JUohI9cECi9MLNiZck&#10;aryObKcpf89yguPOPM3OFLur7cUFfegcKUjnCQik2pmOGgWnj5fZBkSImozuHaGCbwywK29vCp0b&#10;N9E7Xo6xERxCIdcK2hiHXMpQt2h1mLsBib0v562OfPpGGq8nDre9XCRJJq3uiD+0esB9i/X5OFoF&#10;1eHT7zfPy0McHzKOPjev+DYpdX+XJk8gIl7jHwy/9bk6lNypciOZIHoFq3S1ZJSN7SOPYmK7Xi9A&#10;VAqylBVZFvL/hvIHUEsDBBQAAAAIAIdO4kCKlHJkXwIAALcEAAAOAAAAZHJzL2Uyb0RvYy54bWyt&#10;VM1uEzEQviPxDpbvdJOQthB1U0WNgpAqWikgzo7XzlryH7aTTXkZJG48RB8H8Rp89m5/KBx64OKd&#10;8Yy/mflmZs/OD0aTvQhROVvT8dGIEmG5a5Td1vTTx9WrN5TExGzDtLOipjci0vP5yxdnnZ+JiWud&#10;bkQgALFx1vmatin5WVVF3grD4pHzwsIoXTAsQQ3bqgmsA7rR1WQ0Oqk6FxofHBcx4nbZG+mAGJ4D&#10;6KRUXCwd3xlhU48ahGYJJcVW+UjnJVspBU9XUkaRiK4pKk3lRBDIm3xW8zM22wbmW8WHFNhzUnhS&#10;k2HKIug91JIlRnZB/QVlFA8uOpmOuDNVX0hhBFWMR0+4WbfMi1ILqI7+nvT4/2D5h/11IKqp6eSY&#10;EssMOv7r24+ft98JLsBO5+MMTmt/HQYtQsylHmQw+YsiyKEwenPPqDgkwnH5+vh0Oh0DmcM2OTk5&#10;HY0K59XDcx9ieiecIVmoaUDLCpNsfxkTQsL1ziVHs26ltC5t05Z0Oe8pMAlnmEWJGYBoPOqJdksJ&#10;01sMOU+hQEanVZOfZ6AYtpsLHcieYTRWKyR2l9kfbjn2ksW29yumTAuy0hafTE9PSJY2rrkBncH1&#10;cxY9Xym8v2QxXbOAwUKiWL10hUNqh+zdIFHSuvD1X/fZH/2GlZIOg4rKvuxYEJTo9xaT8HY8nebJ&#10;Lsr0+HQCJTy2bB5b7M5cOBQ8xpJ7XsTsn/SdKIMzn7GhixwVJmY5YvccDspF6hcIO87FYlHcMM2e&#10;pUu79jyD951a7JKTqjTxgZ2BNMxzYXHYvbwwj/Xi9fC/mf8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YKQfQdoAAAALAQAADwAAAAAAAAABACAAAAAiAAAAZHJzL2Rvd25yZXYueG1sUEsBAhQAFAAA&#10;AAgAh07iQIqUcmRfAgAAtwQAAA4AAAAAAAAAAQAgAAAAKQEAAGRycy9lMm9Eb2MueG1sUEsFBgAA&#10;AAAGAAYAWQEAAPoFAAAAAA==&#10;">
                <v:fill on="f" focussize="0,0"/>
                <v:stroke weight="2pt" color="#FF0000 [3204]" joinstyle="round"/>
                <v:imagedata o:title=""/>
                <o:lock v:ext="edit" aspectratio="f"/>
              </v:rect>
            </w:pict>
          </mc:Fallback>
        </mc:AlternateContent>
      </w:r>
      <w:r>
        <w:rPr>
          <w:rFonts w:hint="default" w:ascii="Times New Roman" w:hAnsi="Times New Roman" w:cs="Times New Roman"/>
          <w:sz w:val="21"/>
        </w:rPr>
        <mc:AlternateContent>
          <mc:Choice Requires="wps">
            <w:drawing>
              <wp:anchor distT="0" distB="0" distL="114300" distR="114300" simplePos="0" relativeHeight="251676672" behindDoc="0" locked="0" layoutInCell="1" allowOverlap="1">
                <wp:simplePos x="0" y="0"/>
                <wp:positionH relativeFrom="column">
                  <wp:posOffset>2610485</wp:posOffset>
                </wp:positionH>
                <wp:positionV relativeFrom="paragraph">
                  <wp:posOffset>5310505</wp:posOffset>
                </wp:positionV>
                <wp:extent cx="2736215" cy="396240"/>
                <wp:effectExtent l="0" t="0" r="0" b="0"/>
                <wp:wrapNone/>
                <wp:docPr id="26" name="文本框 26"/>
                <wp:cNvGraphicFramePr/>
                <a:graphic xmlns:a="http://schemas.openxmlformats.org/drawingml/2006/main">
                  <a:graphicData uri="http://schemas.microsoft.com/office/word/2010/wordprocessingShape">
                    <wps:wsp>
                      <wps:cNvSpPr txBox="1"/>
                      <wps:spPr>
                        <a:xfrm>
                          <a:off x="3856355" y="7122795"/>
                          <a:ext cx="2736215" cy="3962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黑体" w:cs="Times New Roman"/>
                                <w:sz w:val="28"/>
                                <w:szCs w:val="28"/>
                                <w:lang w:val="en-US" w:eastAsia="zh-CN"/>
                              </w:rPr>
                            </w:pPr>
                            <w:r>
                              <w:rPr>
                                <w:rFonts w:hint="default" w:ascii="Times New Roman" w:hAnsi="Times New Roman" w:eastAsia="黑体" w:cs="Times New Roman"/>
                                <w:sz w:val="28"/>
                                <w:szCs w:val="28"/>
                                <w:lang w:val="en-US" w:eastAsia="zh-CN"/>
                              </w:rPr>
                              <w:t>附图3 加油站现状平面布置图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5.55pt;margin-top:418.15pt;height:31.2pt;width:215.45pt;z-index:251676672;mso-width-relative:page;mso-height-relative:page;" filled="f" stroked="f" coordsize="21600,21600" o:gfxdata="UEsDBAoAAAAAAIdO4kAAAAAAAAAAAAAAAAAEAAAAZHJzL1BLAwQUAAAACACHTuJAapXQLtwAAAAL&#10;AQAADwAAAGRycy9kb3ducmV2LnhtbE2Py07DMBBF90j8gzVI7KjjtBQT4lQoUoWEYNHSDTsnniYR&#10;foTYfcDXM6xgN6M5unNuuTo7y444xSF4BWKWAUPfBjP4TsHubX0jgcWkvdE2eFTwhRFW1eVFqQsT&#10;Tn6Dx23qGIX4WGgFfUpjwXlse3Q6zsKInm77MDmdaJ06biZ9onBneZ5lS+704OlDr0ese2w/tgen&#10;4Llev+pNkzv5beunl/3j+Ll7v1Xq+kpkD8ASntMfDL/6pA4VOTXh4E1kVsFCCEGoAjlfzoERIRc5&#10;tWtouJd3wKuS/+9Q/QBQSwMEFAAAAAgAh07iQC9iwP9LAgAAdAQAAA4AAABkcnMvZTJvRG9jLnht&#10;bK1US27bMBDdF+gdCO5r2XJsx0bkwE2QokDQBHCLrmmKigTwV5K2lB6gvUFX3XTfc+UcfaRsJ0i7&#10;yKIbash5nOF7M6Oz805JshPON0YXdDQYUiI0N2Wj7wr66ePVm1NKfGC6ZNJoUdB74en58vWrs9Yu&#10;RG5qI0vhCIJov2htQesQ7CLLPK+FYn5grNBwVsYpFrB1d1npWIvoSmb5cDjNWuNK6wwX3uP0snfS&#10;fUT3koCmqhouLg3fKqFDH9UJyQIo+bqxni7Ta6tK8HBTVV4EIgsKpiGtSAJ7E9dsecYWd47ZuuH7&#10;J7CXPOEZJ8UajaTHUJcsMLJ1zV+hVMOd8aYKA25U1hNJioDFaPhMm3XNrEhcILW3R9H9/wvLP+xu&#10;HWnKguZTSjRTqPjDj+8PP38//PpGcAaBWusXwK0tkKF7azq0zeHc4zDy7iqn4heMCPzj08l0PJlQ&#10;cl/Q2SjPZ/NJL7XoAuEA5LPxNB8BwIEYz6f5SapF9hjJOh/eCaNINArqUMqkMNtd+4BXAXqAxMTa&#10;XDVSpnJKTdqCIv8wXTh6cENqXIx8+ndHK3Sbbk9yY8p7cHSmbxNv+VWD5NfMh1vm0BfoGkxOuMFS&#10;SYMkZm9RUhv39V/nEY9ywUtJiz4rqP+yZU5QIt9rFHI+OgF1EtLmZDLLsXFPPZunHr1VFwatPMKM&#10;Wp7MiA/yYFbOqM8YsFXMChfTHLkLGg7mRei7HwPKxWqVQGhFy8K1XlseQ/dyrrbBVE1SOsrUa7NX&#10;D82YCrAfnNjtT/cJ9fizWP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apXQLtwAAAALAQAADwAA&#10;AAAAAAABACAAAAAiAAAAZHJzL2Rvd25yZXYueG1sUEsBAhQAFAAAAAgAh07iQC9iwP9LAgAAdAQA&#10;AA4AAAAAAAAAAQAgAAAAKwEAAGRycy9lMm9Eb2MueG1sUEsFBgAAAAAGAAYAWQEAAOgFAAAAAA==&#10;">
                <v:fill on="f" focussize="0,0"/>
                <v:stroke on="f" weight="0.5pt"/>
                <v:imagedata o:title=""/>
                <o:lock v:ext="edit" aspectratio="f"/>
                <v:textbox>
                  <w:txbxContent>
                    <w:p>
                      <w:pPr>
                        <w:rPr>
                          <w:rFonts w:hint="default" w:ascii="Times New Roman" w:hAnsi="Times New Roman" w:eastAsia="黑体" w:cs="Times New Roman"/>
                          <w:sz w:val="28"/>
                          <w:szCs w:val="28"/>
                          <w:lang w:val="en-US" w:eastAsia="zh-CN"/>
                        </w:rPr>
                      </w:pPr>
                      <w:r>
                        <w:rPr>
                          <w:rFonts w:hint="default" w:ascii="Times New Roman" w:hAnsi="Times New Roman" w:eastAsia="黑体" w:cs="Times New Roman"/>
                          <w:sz w:val="28"/>
                          <w:szCs w:val="28"/>
                          <w:lang w:val="en-US" w:eastAsia="zh-CN"/>
                        </w:rPr>
                        <w:t>附图3 加油站现状平面布置图</w:t>
                      </w:r>
                    </w:p>
                  </w:txbxContent>
                </v:textbox>
              </v:shape>
            </w:pict>
          </mc:Fallback>
        </mc:AlternateContent>
      </w:r>
      <w:r>
        <w:rPr>
          <w:rFonts w:hint="default" w:ascii="Times New Roman" w:hAnsi="Times New Roman" w:cs="Times New Roman"/>
          <w:sz w:val="21"/>
        </w:rPr>
        <mc:AlternateContent>
          <mc:Choice Requires="wps">
            <w:drawing>
              <wp:anchor distT="0" distB="0" distL="114300" distR="114300" simplePos="0" relativeHeight="251677696" behindDoc="0" locked="0" layoutInCell="1" allowOverlap="1">
                <wp:simplePos x="0" y="0"/>
                <wp:positionH relativeFrom="column">
                  <wp:posOffset>4694555</wp:posOffset>
                </wp:positionH>
                <wp:positionV relativeFrom="paragraph">
                  <wp:posOffset>2693670</wp:posOffset>
                </wp:positionV>
                <wp:extent cx="36195" cy="36195"/>
                <wp:effectExtent l="12700" t="12700" r="27305" b="27305"/>
                <wp:wrapNone/>
                <wp:docPr id="30" name="矩形 30"/>
                <wp:cNvGraphicFramePr/>
                <a:graphic xmlns:a="http://schemas.openxmlformats.org/drawingml/2006/main">
                  <a:graphicData uri="http://schemas.microsoft.com/office/word/2010/wordprocessingShape">
                    <wps:wsp>
                      <wps:cNvSpPr/>
                      <wps:spPr>
                        <a:xfrm>
                          <a:off x="0" y="0"/>
                          <a:ext cx="36195" cy="3619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9.65pt;margin-top:212.1pt;height:2.85pt;width:2.85pt;z-index:251677696;v-text-anchor:middle;mso-width-relative:page;mso-height-relative:page;" fillcolor="#00B050" filled="t" stroked="t" coordsize="21600,21600" o:gfxdata="UEsDBAoAAAAAAIdO4kAAAAAAAAAAAAAAAAAEAAAAZHJzL1BLAwQUAAAACACHTuJA817G39oAAAAL&#10;AQAADwAAAGRycy9kb3ducmV2LnhtbE2PwU7DMAyG70i8Q2QkLmhL13YbLU0ngcQNNDFAXNPWtGWN&#10;U5JsHW+Pd4Kj7U+/v7/YnMwgjuh8b0nBYh6BQKpt01Or4O31cXYLwgdNjR4soYIf9LApLy8KnTd2&#10;ohc87kIrOIR8rhV0IYy5lL7u0Gg/tyMS3z6tMzrw6FrZOD1xuBlkHEUraXRP/KHTIz50WO93B6PA&#10;J9XT9/Z+Mvv35Fl+6C9745ZWqeurRXQHIuAp/MFw1md1KNmpsgdqvBgUrJMsYVRBGqcxCCbW6ZLb&#10;VedNloEsC/m/Q/kLUEsDBBQAAAAIAIdO4kA7PhmNXQIAANwEAAAOAAAAZHJzL2Uyb0RvYy54bWyt&#10;VM1uEzEQviPxDpbvdDdpUmiUTRUaFSFVtFJBnB2vnV3Jf9hONuVlkLjxEDwO4jX47N22aeHQAxd7&#10;xjP+ZubzjOdne63ITvjQWlPR0VFJiTDc1q3ZVPTTx4tXbygJkZmaKWtERW9FoGeLly/mnZuJsW2s&#10;qoUnADFh1rmKNjG6WVEE3gjNwpF1wsAordcsQvWbovasA7pWxbgsT4rO+tp5y0UIOF31Rjog+ucA&#10;WilbLlaWb7UwsUf1QrGIkkLTukAXOVspBY9XUgYRiaooKo15RRDI67QWizmbbTxzTcuHFNhzUnhS&#10;k2atQdB7qBWLjGx9+xeUbrm3wcp4xK0u+kIyI6hiVD7h5qZhTuRaQHVw96SH/wfLP+yuPWnrih6D&#10;EsM0Xvz3tx+/fn4nOAA7nQszON24az9oAWIqdS+9TjuKIPvM6O09o2IfCcfh8cnodEoJh6UXgVE8&#10;XHU+xHfCapKEino8V2aR7S5D7F3vXFKkYFVbX7RKZcVv1ufKkx1LT1u+Lac5X6A/clOGdBUdTycl&#10;6uMMDSvRKBC1Q9HBbChhaoNJ4NHn2I9uh+cFSUmuWGj6ZDJC4g65KIMtcdizlqS1rW/Bubd9MwbH&#10;L1rcv2QhXjOP7kOimM94hUUqi+ztIFHSWP/1X+fJH00BKyUduhmVfdkyLyhR7w3a5XQ0mQA2ZmUy&#10;fT2G4g8t60OL2epzC1ZH+Akcz2Lyj+pOlN7qzxjjZYoKEzMcsXsOB+U89lOGj4CL5TK7oeUdi5fm&#10;xvEEnl7R2OU2Wtnm135gZyANTZ9ZHAY0TdWhnr0ePqXF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PNext/aAAAACwEAAA8AAAAAAAAAAQAgAAAAIgAAAGRycy9kb3ducmV2LnhtbFBLAQIUABQAAAAI&#10;AIdO4kA7PhmNXQIAANwEAAAOAAAAAAAAAAEAIAAAACkBAABkcnMvZTJvRG9jLnhtbFBLBQYAAAAA&#10;BgAGAFkBAAD4BQAAAAA=&#10;">
                <v:fill on="t" focussize="0,0"/>
                <v:stroke weight="2pt" color="#00B050 [3204]" joinstyle="round"/>
                <v:imagedata o:title=""/>
                <o:lock v:ext="edit" aspectratio="f"/>
              </v:rect>
            </w:pict>
          </mc:Fallback>
        </mc:AlternateContent>
      </w:r>
      <w:r>
        <w:rPr>
          <w:rFonts w:hint="default" w:ascii="Times New Roman" w:hAnsi="Times New Roman" w:cs="Times New Roman"/>
          <w:sz w:val="21"/>
        </w:rPr>
        <mc:AlternateContent>
          <mc:Choice Requires="wps">
            <w:drawing>
              <wp:anchor distT="0" distB="0" distL="114300" distR="114300" simplePos="0" relativeHeight="251668480" behindDoc="0" locked="0" layoutInCell="1" allowOverlap="1">
                <wp:simplePos x="0" y="0"/>
                <wp:positionH relativeFrom="column">
                  <wp:posOffset>4027170</wp:posOffset>
                </wp:positionH>
                <wp:positionV relativeFrom="paragraph">
                  <wp:posOffset>2689225</wp:posOffset>
                </wp:positionV>
                <wp:extent cx="36195" cy="36195"/>
                <wp:effectExtent l="12700" t="12700" r="27305" b="27305"/>
                <wp:wrapNone/>
                <wp:docPr id="32" name="矩形 32"/>
                <wp:cNvGraphicFramePr/>
                <a:graphic xmlns:a="http://schemas.openxmlformats.org/drawingml/2006/main">
                  <a:graphicData uri="http://schemas.microsoft.com/office/word/2010/wordprocessingShape">
                    <wps:wsp>
                      <wps:cNvSpPr/>
                      <wps:spPr>
                        <a:xfrm>
                          <a:off x="0" y="0"/>
                          <a:ext cx="36195" cy="3619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7.1pt;margin-top:211.75pt;height:2.85pt;width:2.85pt;z-index:251668480;v-text-anchor:middle;mso-width-relative:page;mso-height-relative:page;" fillcolor="#00B050" filled="t" stroked="t" coordsize="21600,21600" o:gfxdata="UEsDBAoAAAAAAIdO4kAAAAAAAAAAAAAAAAAEAAAAZHJzL1BLAwQUAAAACACHTuJA2WFhA9kAAAAL&#10;AQAADwAAAGRycy9kb3ducmV2LnhtbE2PwU7DMAyG70i8Q2QkLoila7aKlqaTQOIGQgwQV7c1bVnj&#10;lCRbx9uTneBo+9Pv7y83RzOKAzk/WNawXCQgiBvbDtxpeHt9uL4B4QNyi6Nl0vBDHjbV+VmJRWtn&#10;fqHDNnQihrAvUEMfwlRI6ZueDPqFnYjj7dM6gyGOrpOtwzmGm1GmSZJJgwPHDz1OdN9Ts9vujQav&#10;6sfv57vZ7N7Vk/zAL3vl1lbry4tlcgsi0DH8wXDSj+pQRafa7rn1YtSQqVUaUQ2rVK1BRCJTeQ6i&#10;Pm3yFGRVyv8dql9QSwMEFAAAAAgAh07iQMRyrPlfAgAA3AQAAA4AAABkcnMvZTJvRG9jLnhtbK1U&#10;zW4TMRC+I/EOlu90N2lSaJRNFRoVIVW0UkGcHa+dXcl/2E425WWQuPEQPA7iNfjs3bZp4dADl90Z&#10;z/ibmW9mPD/ba0V2wofWmoqOjkpKhOG2bs2mop8+Xrx6Q0mIzNRMWSMqeisCPVu8fDHv3EyMbWNV&#10;LTwBiAmzzlW0idHNiiLwRmgWjqwTBkZpvWYRqt8UtWcd0LUqxmV5UnTW185bLkLA6ao30gHRPwfQ&#10;StlysbJ8q4WJPaoXikWUFJrWBbrI2UopeLySMohIVEVRacxfBIG8Tt9iMWezjWeuafmQAntOCk9q&#10;0qw1CHoPtWKRka1v/4LSLfc2WBmPuNVFX0hmBFWMyifc3DTMiVwLqA7unvTw/2D5h921J21d0eMx&#10;JYZpdPz3tx+/fn4nOAA7nQszON24az9oAWIqdS+9Tn8UQfaZ0dt7RsU+Eo7D45PR6ZQSDksvAqN4&#10;uOp8iO+E1SQJFfVoV2aR7S5D7F3vXFKkYFVbX7RKZcVv1ufKkx1LrS3fltPcTaA/clOGdBUdTycl&#10;Ws4ZBlZiUCBqh6KD2VDC1AabwKPPsR/dDs8LkpJcsdD0yWSExB1yUQa/xGHPWpLWtr4F5972wxgc&#10;v2hx/5KFeM08pg+JYj/jFT5SWWRvB4mSxvqv/zpP/hgKWCnpMM2o7MuWeUGJem8wLqejySSNf1Ym&#10;09djKP7Qsj60mK0+t2B1hJfA8Swm/6juROmt/ow1XqaoMDHDEbvncFDOY79leAi4WC6zG0besXhp&#10;bhxP4KmLxi630co2d/uBnYE0DH1mcVjQtFWHevZ6eJQWf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ZYWED2QAAAAsBAAAPAAAAAAAAAAEAIAAAACIAAABkcnMvZG93bnJldi54bWxQSwECFAAUAAAA&#10;CACHTuJAxHKs+V8CAADcBAAADgAAAAAAAAABACAAAAAoAQAAZHJzL2Uyb0RvYy54bWxQSwUGAAAA&#10;AAYABgBZAQAA+QUAAAAA&#10;">
                <v:fill on="t" focussize="0,0"/>
                <v:stroke weight="2pt" color="#00B050 [3204]" joinstyle="round"/>
                <v:imagedata o:title=""/>
                <o:lock v:ext="edit" aspectratio="f"/>
              </v:rect>
            </w:pict>
          </mc:Fallback>
        </mc:AlternateContent>
      </w:r>
      <w:r>
        <w:rPr>
          <w:rFonts w:hint="default" w:ascii="Times New Roman" w:hAnsi="Times New Roman" w:cs="Times New Roman"/>
          <w:sz w:val="21"/>
        </w:rPr>
        <mc:AlternateContent>
          <mc:Choice Requires="wps">
            <w:drawing>
              <wp:anchor distT="0" distB="0" distL="114300" distR="114300" simplePos="0" relativeHeight="251670528" behindDoc="0" locked="0" layoutInCell="1" allowOverlap="1">
                <wp:simplePos x="0" y="0"/>
                <wp:positionH relativeFrom="column">
                  <wp:posOffset>4399915</wp:posOffset>
                </wp:positionH>
                <wp:positionV relativeFrom="paragraph">
                  <wp:posOffset>1659890</wp:posOffset>
                </wp:positionV>
                <wp:extent cx="36195" cy="36195"/>
                <wp:effectExtent l="12700" t="12700" r="27305" b="27305"/>
                <wp:wrapNone/>
                <wp:docPr id="33" name="矩形 33"/>
                <wp:cNvGraphicFramePr/>
                <a:graphic xmlns:a="http://schemas.openxmlformats.org/drawingml/2006/main">
                  <a:graphicData uri="http://schemas.microsoft.com/office/word/2010/wordprocessingShape">
                    <wps:wsp>
                      <wps:cNvSpPr/>
                      <wps:spPr>
                        <a:xfrm>
                          <a:off x="0" y="0"/>
                          <a:ext cx="36195" cy="36195"/>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6.45pt;margin-top:130.7pt;height:2.85pt;width:2.85pt;z-index:251670528;v-text-anchor:middle;mso-width-relative:page;mso-height-relative:page;" fillcolor="#FFFF00" filled="t" stroked="t" coordsize="21600,21600" o:gfxdata="UEsDBAoAAAAAAIdO4kAAAAAAAAAAAAAAAAAEAAAAZHJzL1BLAwQUAAAACACHTuJAwS2R1dsAAAAL&#10;AQAADwAAAGRycy9kb3ducmV2LnhtbE2PwU7DMAyG70h7h8iTuLG0BYW2NJ00pE2a4ABjiGvWmKZa&#10;41RNtpW3JzvB0fan399fLSfbszOOvnMkIV0kwJAapztqJew/1nc5MB8UadU7Qgk/6GFZz24qVWp3&#10;oXc870LLYgj5UkkwIQwl574xaJVfuAEp3r7daFWI49hyPapLDLc9z5JEcKs6ih+MGvDZYHPcnayE&#10;zdq8bek1X3X3k/nam+3mc3rJpLydp8kTsIBT+IPhqh/VoY5OB3ci7VkvQRRZEVEJmUgfgEVCFLkA&#10;drhuHlPgdcX/d6h/AVBLAwQUAAAACACHTuJA8gAIslwCAADcBAAADgAAAGRycy9lMm9Eb2MueG1s&#10;rVTNbhMxEL4j8Q6W73STNC006qaKGgUhVbRSQZwdr5215D9sJ5vyMkjceIg+DuI1+Ozd/sKhB/bg&#10;nfGMv5n5POPTs73RZCdCVM7WdHwwokRY7hplNzX9/Gn15h0lMTHbMO2sqOmNiPRs/vrVaednYuJa&#10;pxsRCEBsnHW+pm1KflZVkbfCsHjgvLAwShcMS1DDpmoC64BudDUZjY6rzoXGB8dFjNhd9kY6IIaX&#10;ADopFRdLx7dG2NSjBqFZQkmxVT7SeclWSsHTpZRRJKJrikpTWREE8jqv1fyUzTaB+VbxIQX2khSe&#10;1WSYsgh6D7VkiZFtUH9BGcWDi06mA+5M1RdSGEEV49Ezbq5b5kWpBVRHf096/H+w/OPuKhDV1PTw&#10;kBLLDG789/efv25/EGyAnc7HGZyu/VUYtAgxl7qXweQ/iiD7wujNPaNinwjH5uHx+OSIEg5LLwKj&#10;ejjqQ0zvhTMkCzUNuK7CIttdxNS73rnkSNFp1ayU1kUJm/W5DmTHcLUrfKNym0B/4qYt6Wo6OZrC&#10;TDhDw0o0CkTjUXS0G0qY3mASeAol9pPT8WVBcpJLFts+mYKQuUMu2uKXOexZy9LaNTfgPLi+GaPn&#10;K4XzFyymKxbQfUgU85kusUjtkL0bJEpaF779az/7oylgpaRDN6Oyr1sWBCX6g0W7nIyn09z+RZke&#10;vZ1ACY8t68cWuzXnDqyO8RJ4XsTsn/SdKIMzXzDGixwVJmY5YvccDsp56qcMDwEXi0VxQ8t7li7s&#10;tecZPN+idYttclKV235gZyANTV9YHAY0T9VjvXg9PErz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MEtkdXbAAAACwEAAA8AAAAAAAAAAQAgAAAAIgAAAGRycy9kb3ducmV2LnhtbFBLAQIUABQAAAAI&#10;AIdO4kDyAAiyXAIAANwEAAAOAAAAAAAAAAEAIAAAACoBAABkcnMvZTJvRG9jLnhtbFBLBQYAAAAA&#10;BgAGAFkBAAD4BQAAAAA=&#10;">
                <v:fill on="t" focussize="0,0"/>
                <v:stroke weight="2pt" color="#FFFF00 [3204]" joinstyle="round"/>
                <v:imagedata o:title=""/>
                <o:lock v:ext="edit" aspectratio="f"/>
              </v:rect>
            </w:pict>
          </mc:Fallback>
        </mc:AlternateContent>
      </w:r>
      <w:r>
        <w:rPr>
          <w:rFonts w:hint="default" w:ascii="Times New Roman" w:hAnsi="Times New Roman" w:cs="Times New Roman"/>
          <w:sz w:val="21"/>
        </w:rPr>
        <mc:AlternateContent>
          <mc:Choice Requires="wps">
            <w:drawing>
              <wp:anchor distT="0" distB="0" distL="114300" distR="114300" simplePos="0" relativeHeight="251669504" behindDoc="0" locked="0" layoutInCell="1" allowOverlap="1">
                <wp:simplePos x="0" y="0"/>
                <wp:positionH relativeFrom="column">
                  <wp:posOffset>4347210</wp:posOffset>
                </wp:positionH>
                <wp:positionV relativeFrom="paragraph">
                  <wp:posOffset>1657985</wp:posOffset>
                </wp:positionV>
                <wp:extent cx="36195" cy="36195"/>
                <wp:effectExtent l="12700" t="12700" r="27305" b="27305"/>
                <wp:wrapNone/>
                <wp:docPr id="34" name="矩形 34"/>
                <wp:cNvGraphicFramePr/>
                <a:graphic xmlns:a="http://schemas.openxmlformats.org/drawingml/2006/main">
                  <a:graphicData uri="http://schemas.microsoft.com/office/word/2010/wordprocessingShape">
                    <wps:wsp>
                      <wps:cNvSpPr/>
                      <wps:spPr>
                        <a:xfrm>
                          <a:off x="0" y="0"/>
                          <a:ext cx="36195" cy="36195"/>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2.3pt;margin-top:130.55pt;height:2.85pt;width:2.85pt;z-index:251669504;v-text-anchor:middle;mso-width-relative:page;mso-height-relative:page;" fillcolor="#FFFF00" filled="t" stroked="t" coordsize="21600,21600" o:gfxdata="UEsDBAoAAAAAAIdO4kAAAAAAAAAAAAAAAAAEAAAAZHJzL1BLAwQUAAAACACHTuJAUMPdVNoAAAAL&#10;AQAADwAAAGRycy9kb3ducmV2LnhtbE2PwU7DMAyG70i8Q2Qkbixph6LSNZ0E0iZNcIAxtGvWmKai&#10;caom28rbk53Y0fan399fLSfXsxOOofOkIJsJYEiNNx21Cnafq4cCWIiajO49oYJfDLCsb28qXRp/&#10;pg88bWPLUgiFUiuwMQ4l56Gx6HSY+QEp3b796HRM49hyM+pzCnc9z4WQ3OmO0gerB3yx2Pxsj07B&#10;emXfN/RWPHfzye53drP+ml5zpe7vMrEAFnGK/zBc9JM61Mnp4I9kAusVyOJRJlRBLrMMWCLkk5gD&#10;O1w2sgBeV/y6Q/0HUEsDBBQAAAAIAIdO4kCs8DX4XAIAANwEAAAOAAAAZHJzL2Uyb0RvYy54bWyt&#10;VM1uEzEQviPxDpbvdJM0LTTqpooaBSFVtFJBnB2vnbXkP2wnm/IySNx4iD4O4jX47N3+wqEH9uCd&#10;8Yy/mfk849OzvdFkJ0JUztZ0fDCiRFjuGmU3Nf38afXmHSUxMdsw7ayo6Y2I9Gz++tVp52di4lqn&#10;GxEIQGycdb6mbUp+VlWRt8KweOC8sDBKFwxLUMOmagLrgG50NRmNjqvOhcYHx0WM2F32RjoghpcA&#10;OikVF0vHt0bY1KMGoVlCSbFVPtJ5yVZKwdOllFEkomuKSlNZEQTyOq/V/JTNNoH5VvEhBfaSFJ7V&#10;ZJiyCHoPtWSJkW1Qf0EZxYOLTqYD7kzVF1IYQRXj0TNurlvmRakFVEd/T3r8f7D84+4qENXU9HBK&#10;iWUGN/77+89ftz8INsBO5+MMTtf+KgxahJhL3ctg8h9FkH1h9OaeUbFPhGPz8Hh8ckQJh6UXgVE9&#10;HPUhpvfCGZKFmgZcV2GR7S5i6l3vXHKk6LRqVkrrooTN+lwHsmO42hW+UblNoD9x05Z0NZ0cTWEm&#10;nKFhJRoFovEoOtoNJUxvMAk8hRL7yen4siA5ySWLbZ9MQcjcIRdt8csc9qxlae2aG3AeXN+M0fOV&#10;wvkLFtMVC+g+JIr5TJdYpHbI3g0SJa0L3/61n/3RFLBS0qGbUdnXLQuCEv3Bol1OxtNpbv+iTI/e&#10;TqCEx5b1Y4vdmnMHVsd4CTwvYvZP+k6UwZkvGONFjgoTsxyxew4H5Tz1U4aHgIvForih5T1LF/ba&#10;8wyeb9G6xTY5qcptP7AzkIamLywOA5qn6rFevB4epfk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UMPdVNoAAAALAQAADwAAAAAAAAABACAAAAAiAAAAZHJzL2Rvd25yZXYueG1sUEsBAhQAFAAAAAgA&#10;h07iQKzwNfhcAgAA3AQAAA4AAAAAAAAAAQAgAAAAKQEAAGRycy9lMm9Eb2MueG1sUEsFBgAAAAAG&#10;AAYAWQEAAPcFAAAAAA==&#10;">
                <v:fill on="t" focussize="0,0"/>
                <v:stroke weight="2pt" color="#FFFF00 [3204]" joinstyle="round"/>
                <v:imagedata o:title=""/>
                <o:lock v:ext="edit" aspectratio="f"/>
              </v:rect>
            </w:pict>
          </mc:Fallback>
        </mc:AlternateContent>
      </w:r>
      <w:r>
        <w:rPr>
          <w:rFonts w:hint="default" w:ascii="Times New Roman" w:hAnsi="Times New Roman" w:cs="Times New Roman"/>
        </w:rPr>
        <w:drawing>
          <wp:inline distT="0" distB="0" distL="114300" distR="114300">
            <wp:extent cx="8855075" cy="5671185"/>
            <wp:effectExtent l="0" t="0" r="3175" b="571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7"/>
                    <a:stretch>
                      <a:fillRect/>
                    </a:stretch>
                  </pic:blipFill>
                  <pic:spPr>
                    <a:xfrm>
                      <a:off x="0" y="0"/>
                      <a:ext cx="8855075" cy="5671185"/>
                    </a:xfrm>
                    <a:prstGeom prst="rect">
                      <a:avLst/>
                    </a:prstGeom>
                    <a:noFill/>
                    <a:ln>
                      <a:noFill/>
                    </a:ln>
                  </pic:spPr>
                </pic:pic>
              </a:graphicData>
            </a:graphic>
          </wp:inline>
        </w:drawing>
      </w:r>
      <w:r>
        <w:rPr>
          <w:rFonts w:hint="default" w:ascii="Times New Roman" w:hAnsi="Times New Roman" w:cs="Times New Roman"/>
          <w:sz w:val="21"/>
        </w:rPr>
        <mc:AlternateContent>
          <mc:Choice Requires="wps">
            <w:drawing>
              <wp:anchor distT="0" distB="0" distL="114300" distR="114300" simplePos="0" relativeHeight="251675648" behindDoc="0" locked="0" layoutInCell="1" allowOverlap="1">
                <wp:simplePos x="0" y="0"/>
                <wp:positionH relativeFrom="column">
                  <wp:posOffset>8255</wp:posOffset>
                </wp:positionH>
                <wp:positionV relativeFrom="paragraph">
                  <wp:posOffset>-8890</wp:posOffset>
                </wp:positionV>
                <wp:extent cx="8861425" cy="5724525"/>
                <wp:effectExtent l="12700" t="12700" r="22225" b="15875"/>
                <wp:wrapNone/>
                <wp:docPr id="36" name="矩形 36"/>
                <wp:cNvGraphicFramePr/>
                <a:graphic xmlns:a="http://schemas.openxmlformats.org/drawingml/2006/main">
                  <a:graphicData uri="http://schemas.microsoft.com/office/word/2010/wordprocessingShape">
                    <wps:wsp>
                      <wps:cNvSpPr/>
                      <wps:spPr>
                        <a:xfrm>
                          <a:off x="1021715" y="2266315"/>
                          <a:ext cx="8861425" cy="57245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65pt;margin-top:-0.7pt;height:450.75pt;width:697.75pt;z-index:251675648;v-text-anchor:middle;mso-width-relative:page;mso-height-relative:page;" filled="f" stroked="t" coordsize="21600,21600" o:gfxdata="UEsDBAoAAAAAAIdO4kAAAAAAAAAAAAAAAAAEAAAAZHJzL1BLAwQUAAAACACHTuJAI1BSwtgAAAAJ&#10;AQAADwAAAGRycy9kb3ducmV2LnhtbE2PwU7DMBBE70j8g7VIXFBrmyYVDXF6QOoRCQoIcXPjJQmN&#10;1yF20/L3bE9wHM1o5k25PvleTDjGLpABPVcgkOrgOmoMvL5sZncgYrLkbB8IDfxghHV1eVHawoUj&#10;PeO0TY3gEoqFNdCmNBRSxrpFb+M8DEjsfYbR28RybKQb7ZHLfS9vlVpKbzvihdYO+NBivd8evIGn&#10;TO6z5uYtV4/6/Tv/2uSdnD6Mub7S6h5EwlP6C8MZn9GhYqZdOJCLome94KCBmc5AnO3FaslXdgZW&#10;SmmQVSn/P6h+AVBLAwQUAAAACACHTuJAhuLj22cCAADDBAAADgAAAGRycy9lMm9Eb2MueG1srVTL&#10;bhMxFN0j8Q+W93Qy0yQtUSdV1KgIqYJKBbF2PJ6MJb+wnUzKzyCx4yP4HMRvcOyZPigsuiAL5965&#10;Z+7j+Nw5Oz9oRfbCB2lNTcujCSXCcNtIs63pxw+Xr04pCZGZhilrRE1vRaDny5cvznq3EJXtrGqE&#10;J0hiwqJ3Ne1idIuiCLwTmoUj64RBsLVeswjXb4vGsx7ZtSqqyWRe9NY3zlsuQsDT9RCkY0b/nIS2&#10;bSUXa8t3Wpg4ZPVCsYiRQiddoMvcbdsKHt+3bRCRqJpi0phPFIG9SWexPGOLrWeuk3xsgT2nhScz&#10;aSYNit6nWrPIyM7Lv1Jpyb0Nto1H3OpiGCQzginKyRNubjrmRJ4FVAd3T3r4f2n5u/21J7Kp6fGc&#10;EsM0bvzX1+8/f3wjeAB2ehcWAN24az96AWYa9dB6nf4xBDlASZOqPClnlNzWtKrm82PYmV1xiIQD&#10;cHo6L6cVAByI2Uk1ncEBonhI5XyIb4TVJBk19bi+zCrbX4U4QO8gqbKxl1KpXEQZ0qPubDrBzXIG&#10;XbbQA0ztMFswW0qY2kLwPPqcMlglm/R6ShT8dnOhPNmzJJP8Gzv7A5Zqr1noBlwOjTBlMEeiaiAn&#10;WRvb3IJabwfNBccvJd6/YiFeMw+RoVGsYXyPo1UW3dvRoqSz/su/nic87h5RSnqIFpN93jEvKFFv&#10;DVTxupxOk8qzMwXHcPzjyOZxxOz0hcXAJRbe8WwmfFR3Zuut/oRtXaWqCDHDUXvgcHQu4rBM2Hcu&#10;VqsMg7Idi1fmxvGUfLip1S7aVuZLfGBnJA3azjIY9zAtz2M/ox6+Pc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I1BSwtgAAAAJAQAADwAAAAAAAAABACAAAAAiAAAAZHJzL2Rvd25yZXYueG1sUEsB&#10;AhQAFAAAAAgAh07iQIbi49tnAgAAwwQAAA4AAAAAAAAAAQAgAAAAJwEAAGRycy9lMm9Eb2MueG1s&#10;UEsFBgAAAAAGAAYAWQEAAAAGAAAAAA==&#10;">
                <v:fill on="f" focussize="0,0"/>
                <v:stroke weight="2pt" color="#000000 [3213]" joinstyle="round"/>
                <v:imagedata o:title=""/>
                <o:lock v:ext="edit" aspectratio="f"/>
              </v:rect>
            </w:pict>
          </mc:Fallback>
        </mc:AlternateContent>
      </w:r>
    </w:p>
    <w:p>
      <w:pPr>
        <w:rPr>
          <w:rFonts w:hint="default" w:ascii="Times New Roman" w:hAnsi="Times New Roman" w:cs="Times New Roman" w:eastAsiaTheme="minorEastAsia"/>
          <w:lang w:eastAsia="zh-CN"/>
        </w:rPr>
        <w:sectPr>
          <w:pgSz w:w="16838" w:h="11906" w:orient="landscape"/>
          <w:pgMar w:top="1417" w:right="1440" w:bottom="1417" w:left="1440" w:header="851" w:footer="992" w:gutter="0"/>
          <w:cols w:space="425" w:num="1"/>
          <w:docGrid w:type="lines" w:linePitch="312" w:charSpace="0"/>
        </w:sectPr>
      </w:pPr>
      <w:r>
        <w:rPr>
          <w:rFonts w:hint="default" w:ascii="Times New Roman" w:hAnsi="Times New Roman" w:cs="Times New Roman" w:eastAsiaTheme="minorEastAsia"/>
          <w:lang w:eastAsia="zh-CN"/>
        </w:rPr>
        <w:drawing>
          <wp:anchor distT="0" distB="0" distL="114935" distR="114935" simplePos="0" relativeHeight="251679744" behindDoc="0" locked="0" layoutInCell="1" allowOverlap="1">
            <wp:simplePos x="0" y="0"/>
            <wp:positionH relativeFrom="column">
              <wp:posOffset>8035925</wp:posOffset>
            </wp:positionH>
            <wp:positionV relativeFrom="paragraph">
              <wp:posOffset>-5723255</wp:posOffset>
            </wp:positionV>
            <wp:extent cx="807720" cy="1470660"/>
            <wp:effectExtent l="0" t="0" r="11430" b="15240"/>
            <wp:wrapNone/>
            <wp:docPr id="37" name="图片 37" descr="758c258000b06c6fa103a3b8a76fc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758c258000b06c6fa103a3b8a76fc00"/>
                    <pic:cNvPicPr>
                      <a:picLocks noChangeAspect="1"/>
                    </pic:cNvPicPr>
                  </pic:nvPicPr>
                  <pic:blipFill>
                    <a:blip r:embed="rId34"/>
                    <a:stretch>
                      <a:fillRect/>
                    </a:stretch>
                  </pic:blipFill>
                  <pic:spPr>
                    <a:xfrm>
                      <a:off x="0" y="0"/>
                      <a:ext cx="807720" cy="1470660"/>
                    </a:xfrm>
                    <a:prstGeom prst="rect">
                      <a:avLst/>
                    </a:prstGeom>
                  </pic:spPr>
                </pic:pic>
              </a:graphicData>
            </a:graphic>
          </wp:anchor>
        </w:drawing>
      </w:r>
    </w:p>
    <w:p>
      <w:pPr>
        <w:jc w:val="center"/>
        <w:rPr>
          <w:rFonts w:hint="default" w:ascii="Times New Roman" w:hAnsi="Times New Roman" w:cs="Times New Roman" w:eastAsiaTheme="minorEastAsia"/>
          <w:lang w:eastAsia="zh-CN"/>
        </w:rPr>
      </w:pPr>
      <w:r>
        <w:rPr>
          <w:rFonts w:hint="default" w:ascii="Times New Roman" w:hAnsi="Times New Roman" w:cs="Times New Roman"/>
          <w:sz w:val="21"/>
        </w:rPr>
        <mc:AlternateContent>
          <mc:Choice Requires="wps">
            <w:drawing>
              <wp:anchor distT="0" distB="0" distL="114300" distR="114300" simplePos="0" relativeHeight="251689984" behindDoc="0" locked="0" layoutInCell="1" allowOverlap="1">
                <wp:simplePos x="0" y="0"/>
                <wp:positionH relativeFrom="column">
                  <wp:posOffset>2738120</wp:posOffset>
                </wp:positionH>
                <wp:positionV relativeFrom="paragraph">
                  <wp:posOffset>5314315</wp:posOffset>
                </wp:positionV>
                <wp:extent cx="3604260" cy="396240"/>
                <wp:effectExtent l="0" t="0" r="0" b="0"/>
                <wp:wrapNone/>
                <wp:docPr id="46" name="文本框 46"/>
                <wp:cNvGraphicFramePr/>
                <a:graphic xmlns:a="http://schemas.openxmlformats.org/drawingml/2006/main">
                  <a:graphicData uri="http://schemas.microsoft.com/office/word/2010/wordprocessingShape">
                    <wps:wsp>
                      <wps:cNvSpPr txBox="1"/>
                      <wps:spPr>
                        <a:xfrm>
                          <a:off x="3856355" y="7122795"/>
                          <a:ext cx="3604260" cy="3962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黑体" w:cs="Times New Roman"/>
                                <w:sz w:val="28"/>
                                <w:szCs w:val="28"/>
                                <w:lang w:val="en-US" w:eastAsia="zh-CN"/>
                              </w:rPr>
                            </w:pPr>
                            <w:r>
                              <w:rPr>
                                <w:rFonts w:hint="default" w:ascii="Times New Roman" w:hAnsi="Times New Roman" w:eastAsia="黑体" w:cs="Times New Roman"/>
                                <w:sz w:val="28"/>
                                <w:szCs w:val="28"/>
                                <w:lang w:val="en-US" w:eastAsia="zh-CN"/>
                              </w:rPr>
                              <w:t>附图</w:t>
                            </w:r>
                            <w:r>
                              <w:rPr>
                                <w:rFonts w:hint="eastAsia" w:ascii="Times New Roman" w:hAnsi="Times New Roman" w:eastAsia="黑体" w:cs="Times New Roman"/>
                                <w:sz w:val="28"/>
                                <w:szCs w:val="28"/>
                                <w:lang w:val="en-US" w:eastAsia="zh-CN"/>
                              </w:rPr>
                              <w:t>4</w:t>
                            </w:r>
                            <w:r>
                              <w:rPr>
                                <w:rFonts w:hint="default" w:ascii="Times New Roman" w:hAnsi="Times New Roman" w:eastAsia="黑体" w:cs="Times New Roman"/>
                                <w:sz w:val="28"/>
                                <w:szCs w:val="28"/>
                                <w:lang w:val="en-US" w:eastAsia="zh-CN"/>
                              </w:rPr>
                              <w:t xml:space="preserve"> 加油站</w:t>
                            </w:r>
                            <w:r>
                              <w:rPr>
                                <w:rFonts w:hint="eastAsia" w:ascii="Times New Roman" w:hAnsi="Times New Roman" w:eastAsia="黑体" w:cs="Times New Roman"/>
                                <w:sz w:val="28"/>
                                <w:szCs w:val="28"/>
                                <w:lang w:val="en-US" w:eastAsia="zh-CN"/>
                              </w:rPr>
                              <w:t>改扩建完成后</w:t>
                            </w:r>
                            <w:r>
                              <w:rPr>
                                <w:rFonts w:hint="default" w:ascii="Times New Roman" w:hAnsi="Times New Roman" w:eastAsia="黑体" w:cs="Times New Roman"/>
                                <w:sz w:val="28"/>
                                <w:szCs w:val="28"/>
                                <w:lang w:val="en-US" w:eastAsia="zh-CN"/>
                              </w:rPr>
                              <w:t>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5.6pt;margin-top:418.45pt;height:31.2pt;width:283.8pt;z-index:251689984;mso-width-relative:page;mso-height-relative:page;" filled="f" stroked="f" coordsize="21600,21600" o:gfxdata="UEsDBAoAAAAAAIdO4kAAAAAAAAAAAAAAAAAEAAAAZHJzL1BLAwQUAAAACACHTuJAOFXfwdsAAAAL&#10;AQAADwAAAGRycy9kb3ducmV2LnhtbE2Py07DMBBF90j8gzVI7KjzgCoOcSoUqUJCsGjpht0kdpMI&#10;P0LsPuDrGVZlOTNHd86tVmdr2FHPYfROQrpIgGnXeTW6XsLufX1XAAsRnULjnZbwrQOs6uurCkvl&#10;T26jj9vYMwpxoUQJQ4xTyXnoBm0xLPykHd32frYYaZx7rmY8Ubg1PEuSJbc4Ovow4KSbQXef24OV&#10;8NKs33DTZrb4Mc3z6/5p+tp9PEh5e5Mmj8CiPscLDH/6pA41ObX+4FRgRsJ9nmaESijypQBGhBAF&#10;lWlpI0QOvK74/w71L1BLAwQUAAAACACHTuJA0NPr9EsCAAB0BAAADgAAAGRycy9lMm9Eb2MueG1s&#10;rVRLbtswEN0X6B0I7hvZ8ieJETlwY6QoEDQB0qJrmqIsAfyVpC25B2hv0FU33fdcOUcfKTsx0i6y&#10;6IYazgxn5r2Z0cVlpyTZCucbows6PBlQIjQ3ZaPXBf308frNGSU+MF0yabQo6E54ejl//eqitTOR&#10;m9rIUjiCINrPWlvQOgQ7yzLPa6GYPzFWaBgr4xQLuLp1VjrWIrqSWT4YTLPWuNI6w4X30C57I91H&#10;dC8JaKqq4WJp+EYJHfqoTkgWAMnXjfV0nqqtKsHDbVV5EYgsKJCGdCIJ5FU8s/kFm60ds3XD9yWw&#10;l5TwDJNijUbSx1BLFhjZuOavUKrhznhThRNuVNYDSYwAxXDwjJv7mlmRsIBqbx9J9/8vLP+wvXOk&#10;KQs6nlKimULHH358f/j5++HXNwIdCGqtn8Hv3sIzdG9Nh7E56D2UEXdXORW/QERgH51NpqPJhJJd&#10;QU+HeX56PumpFl0gPDpMB+N8ii5weIzOp/k49SJ7imSdD++EUSQKBXVoZWKYbW98QFVwPbjExNpc&#10;N1KmdkpN2oIi/yA9eLTghdR4GPH0dUcpdKtuD3Jlyh0wOtOPibf8ukHyG+bDHXOYC9SLzQm3OCpp&#10;kMTsJUpq477+Sx/90S5YKWkxZwX1XzbMCUrke41Gng/HgE5Cuownpzku7tiyOrbojboyGOUhdtTy&#10;JEb/IA9i5Yz6jAVbxKwwMc2Ru6DhIF6FfvqxoFwsFskJo2hZuNH3lsfQPZ2LTTBVk5iONPXc7NnD&#10;MKYG7BcnTvvxPXk9/Szm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4Vd/B2wAAAAsBAAAPAAAA&#10;AAAAAAEAIAAAACIAAABkcnMvZG93bnJldi54bWxQSwECFAAUAAAACACHTuJA0NPr9EsCAAB0BAAA&#10;DgAAAAAAAAABACAAAAAqAQAAZHJzL2Uyb0RvYy54bWxQSwUGAAAAAAYABgBZAQAA5wUAAAAA&#10;">
                <v:fill on="f" focussize="0,0"/>
                <v:stroke on="f" weight="0.5pt"/>
                <v:imagedata o:title=""/>
                <o:lock v:ext="edit" aspectratio="f"/>
                <v:textbox>
                  <w:txbxContent>
                    <w:p>
                      <w:pPr>
                        <w:rPr>
                          <w:rFonts w:hint="default" w:ascii="Times New Roman" w:hAnsi="Times New Roman" w:eastAsia="黑体" w:cs="Times New Roman"/>
                          <w:sz w:val="28"/>
                          <w:szCs w:val="28"/>
                          <w:lang w:val="en-US" w:eastAsia="zh-CN"/>
                        </w:rPr>
                      </w:pPr>
                      <w:r>
                        <w:rPr>
                          <w:rFonts w:hint="default" w:ascii="Times New Roman" w:hAnsi="Times New Roman" w:eastAsia="黑体" w:cs="Times New Roman"/>
                          <w:sz w:val="28"/>
                          <w:szCs w:val="28"/>
                          <w:lang w:val="en-US" w:eastAsia="zh-CN"/>
                        </w:rPr>
                        <w:t>附图</w:t>
                      </w:r>
                      <w:r>
                        <w:rPr>
                          <w:rFonts w:hint="eastAsia" w:ascii="Times New Roman" w:hAnsi="Times New Roman" w:eastAsia="黑体" w:cs="Times New Roman"/>
                          <w:sz w:val="28"/>
                          <w:szCs w:val="28"/>
                          <w:lang w:val="en-US" w:eastAsia="zh-CN"/>
                        </w:rPr>
                        <w:t>4</w:t>
                      </w:r>
                      <w:r>
                        <w:rPr>
                          <w:rFonts w:hint="default" w:ascii="Times New Roman" w:hAnsi="Times New Roman" w:eastAsia="黑体" w:cs="Times New Roman"/>
                          <w:sz w:val="28"/>
                          <w:szCs w:val="28"/>
                          <w:lang w:val="en-US" w:eastAsia="zh-CN"/>
                        </w:rPr>
                        <w:t xml:space="preserve"> 加油站</w:t>
                      </w:r>
                      <w:r>
                        <w:rPr>
                          <w:rFonts w:hint="eastAsia" w:ascii="Times New Roman" w:hAnsi="Times New Roman" w:eastAsia="黑体" w:cs="Times New Roman"/>
                          <w:sz w:val="28"/>
                          <w:szCs w:val="28"/>
                          <w:lang w:val="en-US" w:eastAsia="zh-CN"/>
                        </w:rPr>
                        <w:t>改扩建完成后</w:t>
                      </w:r>
                      <w:r>
                        <w:rPr>
                          <w:rFonts w:hint="default" w:ascii="Times New Roman" w:hAnsi="Times New Roman" w:eastAsia="黑体" w:cs="Times New Roman"/>
                          <w:sz w:val="28"/>
                          <w:szCs w:val="28"/>
                          <w:lang w:val="en-US" w:eastAsia="zh-CN"/>
                        </w:rPr>
                        <w:t>平面布置图</w:t>
                      </w:r>
                    </w:p>
                  </w:txbxContent>
                </v:textbox>
              </v:shape>
            </w:pict>
          </mc:Fallback>
        </mc:AlternateContent>
      </w:r>
      <w:r>
        <w:rPr>
          <w:rFonts w:hint="default" w:ascii="Times New Roman" w:hAnsi="Times New Roman" w:cs="Times New Roman"/>
          <w:sz w:val="21"/>
        </w:rPr>
        <mc:AlternateContent>
          <mc:Choice Requires="wps">
            <w:drawing>
              <wp:anchor distT="0" distB="0" distL="114300" distR="114300" simplePos="0" relativeHeight="251683840" behindDoc="0" locked="0" layoutInCell="1" allowOverlap="1">
                <wp:simplePos x="0" y="0"/>
                <wp:positionH relativeFrom="column">
                  <wp:posOffset>5579745</wp:posOffset>
                </wp:positionH>
                <wp:positionV relativeFrom="paragraph">
                  <wp:posOffset>2172335</wp:posOffset>
                </wp:positionV>
                <wp:extent cx="36195" cy="36195"/>
                <wp:effectExtent l="12700" t="12700" r="27305" b="27305"/>
                <wp:wrapNone/>
                <wp:docPr id="41" name="矩形 41"/>
                <wp:cNvGraphicFramePr/>
                <a:graphic xmlns:a="http://schemas.openxmlformats.org/drawingml/2006/main">
                  <a:graphicData uri="http://schemas.microsoft.com/office/word/2010/wordprocessingShape">
                    <wps:wsp>
                      <wps:cNvSpPr/>
                      <wps:spPr>
                        <a:xfrm>
                          <a:off x="0" y="0"/>
                          <a:ext cx="36195" cy="36195"/>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9.35pt;margin-top:171.05pt;height:2.85pt;width:2.85pt;z-index:251683840;v-text-anchor:middle;mso-width-relative:page;mso-height-relative:page;" fillcolor="#FFFF00" filled="t" stroked="t" coordsize="21600,21600" o:gfxdata="UEsDBAoAAAAAAIdO4kAAAAAAAAAAAAAAAAAEAAAAZHJzL1BLAwQUAAAACACHTuJAktzIzdoAAAAL&#10;AQAADwAAAGRycy9kb3ducmV2LnhtbE2PwU7DMAyG70h7h8iTuLG0XUWj0nQSSJs0wQHGENesMU1F&#10;41RNtnVvv+wER9uffn9/tZpsz044+s6RhHSRAENqnO6olbD/XD8IYD4o0qp3hBIu6GFVz+4qVWp3&#10;pg887ULLYgj5UkkwIQwl574xaJVfuAEp3n7caFWI49hyPapzDLc9z5LkkVvVUfxg1IAvBpvf3dFK&#10;2KzN+5bexHO3nMz33mw3X9NrJuX9PE2egAWcwh8MN/2oDnV0Orgjac96CaIQRUQlLPMsBRYJIfIc&#10;2OG2KQTwuuL/O9RXUEsDBBQAAAAIAIdO4kAODSRKWwIAANwEAAAOAAAAZHJzL2Uyb0RvYy54bWyt&#10;VM1uEzEQviPxDpbvdJOQFhp1U0WNgpAqWikgzo7XzlryH7aTTXkZJG48BI+DeA0+e7e/cOiBPezO&#10;eMbfzHwzs2fnB6PJXoSonK3p+GhEibDcNcpua/rp4+rVW0piYrZh2llR0xsR6fn85Yuzzs/ExLVO&#10;NyIQgNg463xN25T8rKoib4Vh8ch5YWGULhiWoIZt1QTWAd3oajIanVSdC40PjosYcbrsjXRADM8B&#10;dFIqLpaO74ywqUcNQrOEkmKrfKTzkq2UgqcrKaNIRNcUlabyRhDIm/yu5mdstg3Mt4oPKbDnpPCk&#10;JsOURdA7qCVLjOyC+gvKKB5cdDIdcWeqvpDCCKoYj55ws26ZF6UWUB39Henx/8HyD/vrQFRT0+mY&#10;EssMOv77249fP78THICdzscZnNb+OgxahJhLPchg8hdFkENh9OaOUXFIhOPw9cn49JgSDksvAqO6&#10;v+pDTO+EMyQLNQ1oV2GR7S9j6l1vXXKk6LRqVkrrooTt5kIHsmdo7QrPqHQT6I/ctCVdTSfHU5gJ&#10;ZxhYiUGBaDyKjnZLCdNbbAJPocR+dDs+L0hOcsli2ydTEDJ3yEVbfDKHPWtZ2rjmBpwH1w9j9Hyl&#10;cP+SxXTNAqYPiWI/0xVeUjtk7waJktaFr/86z/4YClgp6TDNqOzLjgVBiX5vMS6n4+k0j39Rpsdv&#10;JlDCQ8vmocXuzIUDq5gIZFfE7J/0rSiDM5+xxoscFSZmOWL3HA7KReq3DD8CLhaL4oaR9yxd2rXn&#10;GTx30brFLjmpSrfv2RlIw9AXFocFzVv1UC9e9z+l+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S&#10;3MjN2gAAAAsBAAAPAAAAAAAAAAEAIAAAACIAAABkcnMvZG93bnJldi54bWxQSwECFAAUAAAACACH&#10;TuJADg0kSlsCAADcBAAADgAAAAAAAAABACAAAAApAQAAZHJzL2Uyb0RvYy54bWxQSwUGAAAAAAYA&#10;BgBZAQAA9gUAAAAA&#10;">
                <v:fill on="t" focussize="0,0"/>
                <v:stroke weight="2pt" color="#FFFF00 [3204]" joinstyle="round"/>
                <v:imagedata o:title=""/>
                <o:lock v:ext="edit" aspectratio="f"/>
              </v:rect>
            </w:pict>
          </mc:Fallback>
        </mc:AlternateContent>
      </w:r>
      <w:r>
        <w:rPr>
          <w:rFonts w:hint="default" w:ascii="Times New Roman" w:hAnsi="Times New Roman" w:cs="Times New Roman"/>
          <w:sz w:val="21"/>
        </w:rPr>
        <mc:AlternateContent>
          <mc:Choice Requires="wps">
            <w:drawing>
              <wp:anchor distT="0" distB="0" distL="114300" distR="114300" simplePos="0" relativeHeight="251682816" behindDoc="0" locked="0" layoutInCell="1" allowOverlap="1">
                <wp:simplePos x="0" y="0"/>
                <wp:positionH relativeFrom="column">
                  <wp:posOffset>5497195</wp:posOffset>
                </wp:positionH>
                <wp:positionV relativeFrom="paragraph">
                  <wp:posOffset>2183765</wp:posOffset>
                </wp:positionV>
                <wp:extent cx="36195" cy="36195"/>
                <wp:effectExtent l="12700" t="12700" r="27305" b="27305"/>
                <wp:wrapNone/>
                <wp:docPr id="38" name="矩形 38"/>
                <wp:cNvGraphicFramePr/>
                <a:graphic xmlns:a="http://schemas.openxmlformats.org/drawingml/2006/main">
                  <a:graphicData uri="http://schemas.microsoft.com/office/word/2010/wordprocessingShape">
                    <wps:wsp>
                      <wps:cNvSpPr/>
                      <wps:spPr>
                        <a:xfrm>
                          <a:off x="0" y="0"/>
                          <a:ext cx="36195" cy="36195"/>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2.85pt;margin-top:171.95pt;height:2.85pt;width:2.85pt;z-index:251682816;v-text-anchor:middle;mso-width-relative:page;mso-height-relative:page;" fillcolor="#FFFF00" filled="t" stroked="t" coordsize="21600,21600" o:gfxdata="UEsDBAoAAAAAAIdO4kAAAAAAAAAAAAAAAAAEAAAAZHJzL1BLAwQUAAAACACHTuJA9UYpf9sAAAAL&#10;AQAADwAAAGRycy9kb3ducmV2LnhtbE2Py27CMBBF95X6D9ZU6q44IRBCGgeplUBC7YKnujXxNI4a&#10;j6PYQPr3NSu6nJmjO+cWi8G07IK9aywJiEcRMKTKqoZqAYf98iUD5rwkJVtLKOAXHSzKx4dC5spe&#10;aYuXna9ZCCGXSwHa+y7n3FUajXQj2yGF27ftjfRh7GuuenkN4abl4yhKuZENhQ9adviusfrZnY2A&#10;1VJv1vSZvTXJoL8Oer06Dh9jIZ6f4ugVmMfB32G46Qd1KIPTyZ5JOdYKyNLpLKACkkkyBxaIbBZP&#10;gJ1um3kKvCz4/w7lH1BLAwQUAAAACACHTuJA71z7GFwCAADcBAAADgAAAGRycy9lMm9Eb2MueG1s&#10;rVTNbhMxEL4j8Q6W73STNC006qaKGgUhVbRSQZwdr5215D9sJ5vyMkjceIg+DuI1+Ozd/sKhB/bg&#10;nfGMv5n5ZuzTs73RZCdCVM7WdHwwokRY7hplNzX9/Gn15h0lMTHbMO2sqOmNiPRs/vrVaednYuJa&#10;pxsRCEBsnHW+pm1KflZVkbfCsHjgvLAwShcMS1DDpmoC64BudDUZjY6rzoXGB8dFjNhd9kY6IIaX&#10;ADopFRdLx7dG2NSjBqFZQkmxVT7SeclWSsHTpZRRJKJrikpTWREE8jqv1fyUzTaB+VbxIQX2khSe&#10;1WSYsgh6D7VkiZFtUH9BGcWDi06mA+5M1RdSGEEV49Ezbq5b5kWpBVRHf096/H+w/OPuKhDV1PQQ&#10;fbfMoOO/v//8dfuDYAPsdD7O4HTtr8KgRYi51L0MJv9RBNkXRm/uGRX7RDg2D4/HJ0eUcFh6ERjV&#10;w1EfYnovnCFZqGlAuwqLbHcRU+9655IjRadVs1JaFyVs1uc6kB1Da1f4RqWbQH/ipi3pajo5msJM&#10;OMPASgwKRONRdLQbSpje4CbwFErsJ6fjy4LkJJcstn0yBSFzh1y0xS9z2LOWpbVrbsB5cP0wRs9X&#10;CucvWExXLGD6kCjuZ7rEIrVD9m6QKGld+Pav/eyPoYCVkg7TjMq+blkQlOgPFuNyMp5O8/gXZXr0&#10;dgIlPLasH1vs1pw7sDrGS+B5EbN/0neiDM58wTVe5KgwMcsRu+dwUM5Tf8vwEHCxWBQ3jLxn6cJe&#10;e57BcxetW2yTk6p0+4GdgTQMfWFxuKD5Vj3Wi9fDozT/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PVGKX/bAAAACwEAAA8AAAAAAAAAAQAgAAAAIgAAAGRycy9kb3ducmV2LnhtbFBLAQIUABQAAAAI&#10;AIdO4kDvXPsYXAIAANwEAAAOAAAAAAAAAAEAIAAAACoBAABkcnMvZTJvRG9jLnhtbFBLBQYAAAAA&#10;BgAGAFkBAAD4BQAAAAA=&#10;">
                <v:fill on="t" focussize="0,0"/>
                <v:stroke weight="2pt" color="#FFFF00 [3204]" joinstyle="round"/>
                <v:imagedata o:title=""/>
                <o:lock v:ext="edit" aspectratio="f"/>
              </v:rect>
            </w:pict>
          </mc:Fallback>
        </mc:AlternateContent>
      </w:r>
      <w:r>
        <w:rPr>
          <w:rFonts w:hint="default" w:ascii="Times New Roman" w:hAnsi="Times New Roman" w:cs="Times New Roman"/>
          <w:sz w:val="21"/>
        </w:rPr>
        <mc:AlternateContent>
          <mc:Choice Requires="wps">
            <w:drawing>
              <wp:anchor distT="0" distB="0" distL="114300" distR="114300" simplePos="0" relativeHeight="251681792" behindDoc="0" locked="0" layoutInCell="1" allowOverlap="1">
                <wp:simplePos x="0" y="0"/>
                <wp:positionH relativeFrom="column">
                  <wp:posOffset>4745355</wp:posOffset>
                </wp:positionH>
                <wp:positionV relativeFrom="paragraph">
                  <wp:posOffset>2573655</wp:posOffset>
                </wp:positionV>
                <wp:extent cx="36195" cy="36195"/>
                <wp:effectExtent l="12700" t="12700" r="27305" b="27305"/>
                <wp:wrapNone/>
                <wp:docPr id="39" name="矩形 39"/>
                <wp:cNvGraphicFramePr/>
                <a:graphic xmlns:a="http://schemas.openxmlformats.org/drawingml/2006/main">
                  <a:graphicData uri="http://schemas.microsoft.com/office/word/2010/wordprocessingShape">
                    <wps:wsp>
                      <wps:cNvSpPr/>
                      <wps:spPr>
                        <a:xfrm>
                          <a:off x="0" y="0"/>
                          <a:ext cx="36195" cy="3619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3.65pt;margin-top:202.65pt;height:2.85pt;width:2.85pt;z-index:251681792;v-text-anchor:middle;mso-width-relative:page;mso-height-relative:page;" fillcolor="#00B050" filled="t" stroked="t" coordsize="21600,21600" o:gfxdata="UEsDBAoAAAAAAIdO4kAAAAAAAAAAAAAAAAAEAAAAZHJzL1BLAwQUAAAACACHTuJA4LVzO9kAAAAL&#10;AQAADwAAAGRycy9kb3ducmV2LnhtbE2PQU/DMAyF70j8h8hIXNCWlK4rKk0ngcQNhDZAXN0mtGWN&#10;U5psHf8ec4Kb7ff0/L1yc3KDONop9J40JEsFwlLjTU+thteXh8UNiBCRDA6erIZvG2BTnZ+VWBg/&#10;09Yed7EVHEKhQA1djGMhZWg66zAs/WiJtQ8/OYy8Tq00E84c7gZ5rdRaOuyJP3Q42vvONvvdwWkI&#10;af349Xw3u/1b+iTf8dNfTZnX+vIiUbcgoj3FPzP84jM6VMxU+wOZIAYN+SpP2aphpTIe2JFnKber&#10;+ZIkCmRVyv8dqh9QSwMEFAAAAAgAh07iQNkuX1NfAgAA3AQAAA4AAABkcnMvZTJvRG9jLnhtbK1U&#10;zW4TMRC+I/EOlu90N2lSaNRNFRoVIVW0UkGcHa83a8l/2E425WWQuPEQPA7iNfjs3aZp4dADl90Z&#10;z/ibmW9mfHa+04pshQ/SmoqOjkpKhOG2lmZd0U8fL1+9oSREZmqmrBEVvROBns9fvjjr3EyMbWtV&#10;LTwBiAmzzlW0jdHNiiLwVmgWjqwTBsbGes0iVL8uas86oGtVjMvypOisr523XISA02VvpAOifw6g&#10;bRrJxdLyjRYm9qheKBZRUmilC3Ses20aweN10wQRiaooKo35iyCQV+lbzM/YbO2ZayUfUmDPSeFJ&#10;TZpJg6B7qCWLjGy8/AtKS+5tsE084lYXfSGZEVQxKp9wc9syJ3ItoDq4Penh/8HyD9sbT2Rd0eNT&#10;SgzT6Pjvbz9+/fxOcAB2OhdmcLp1N37QAsRU6q7xOv1RBNllRu/2jIpdJByHxyej0yklHJZeBEbx&#10;cNX5EN8Jq0kSKurRrswi216F2Lveu6RIwSpZX0qlsuLXqwvlyZal1pZvy2nuJtAfuSlDuoqOp5MS&#10;LecMA9tgUCBqh6KDWVPC1BqbwKPPsR/dDs8LkpJcstD2yWSExB1yUQa/xGHPWpJWtr4D5972wxgc&#10;v5S4f8VCvGEe04dEsZ/xGp9GWWRvB4mS1vqv/zpP/hgKWCnpMM2o7MuGeUGJem8wLqejySSNf1Ym&#10;09djKP7Qsjq0mI2+sGB1hJfA8Swm/6juxcZb/RlrvEhRYWKGI3bP4aBcxH7L8BBwsVhkN4y8Y/HK&#10;3DqewFMXjV1som1k7vYDOwNpGPrM4rCgaasO9ez18CjN/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gtXM72QAAAAsBAAAPAAAAAAAAAAEAIAAAACIAAABkcnMvZG93bnJldi54bWxQSwECFAAUAAAA&#10;CACHTuJA2S5fU18CAADcBAAADgAAAAAAAAABACAAAAAoAQAAZHJzL2Uyb0RvYy54bWxQSwUGAAAA&#10;AAYABgBZAQAA+QUAAAAA&#10;">
                <v:fill on="t" focussize="0,0"/>
                <v:stroke weight="2pt" color="#00B050 [3204]" joinstyle="round"/>
                <v:imagedata o:title=""/>
                <o:lock v:ext="edit" aspectratio="f"/>
              </v:rect>
            </w:pict>
          </mc:Fallback>
        </mc:AlternateContent>
      </w:r>
      <w:r>
        <w:rPr>
          <w:rFonts w:hint="default" w:ascii="Times New Roman" w:hAnsi="Times New Roman" w:cs="Times New Roman"/>
          <w:sz w:val="21"/>
        </w:rPr>
        <mc:AlternateContent>
          <mc:Choice Requires="wps">
            <w:drawing>
              <wp:anchor distT="0" distB="0" distL="114300" distR="114300" simplePos="0" relativeHeight="251680768" behindDoc="0" locked="0" layoutInCell="1" allowOverlap="1">
                <wp:simplePos x="0" y="0"/>
                <wp:positionH relativeFrom="column">
                  <wp:posOffset>4046855</wp:posOffset>
                </wp:positionH>
                <wp:positionV relativeFrom="paragraph">
                  <wp:posOffset>2544445</wp:posOffset>
                </wp:positionV>
                <wp:extent cx="36195" cy="36195"/>
                <wp:effectExtent l="12700" t="12700" r="27305" b="27305"/>
                <wp:wrapNone/>
                <wp:docPr id="43" name="矩形 43"/>
                <wp:cNvGraphicFramePr/>
                <a:graphic xmlns:a="http://schemas.openxmlformats.org/drawingml/2006/main">
                  <a:graphicData uri="http://schemas.microsoft.com/office/word/2010/wordprocessingShape">
                    <wps:wsp>
                      <wps:cNvSpPr/>
                      <wps:spPr>
                        <a:xfrm>
                          <a:off x="0" y="0"/>
                          <a:ext cx="36195" cy="3619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8.65pt;margin-top:200.35pt;height:2.85pt;width:2.85pt;z-index:251680768;v-text-anchor:middle;mso-width-relative:page;mso-height-relative:page;" fillcolor="#00B050" filled="t" stroked="t" coordsize="21600,21600" o:gfxdata="UEsDBAoAAAAAAIdO4kAAAAAAAAAAAAAAAAAEAAAAZHJzL1BLAwQUAAAACACHTuJAx2kkGdgAAAAL&#10;AQAADwAAAGRycy9kb3ducmV2LnhtbE2PwU7DMAyG70i8Q2QkLoglI6VDpekkkLiBEAPE1W1DW9Y4&#10;JcnW8fZ4Jzja/vT7+8v1wY1ib0McPBlYLhQIS41vB+oMvL0+XN6AiAmpxdGTNfBjI6yr05MSi9bP&#10;9GL3m9QJDqFYoIE+pamQMja9dRgXfrLEt08fHCYeQyfbgDOHu1FeKZVLhwPxhx4ne9/bZrvZOQNR&#10;14/fz3ez277rJ/mBX/4iXHtjzs+W6hZEsof0B8NRn9WhYqfa76iNYjSQ65Vm1ECm1AoEE3mmuV19&#10;3OQZyKqU/ztUv1BLAwQUAAAACACHTuJAmBbXol8CAADcBAAADgAAAGRycy9lMm9Eb2MueG1srVTN&#10;bhMxEL4j8Q6W73Q3aVJolE0VGhUhVbRSQZwdr51dyX/YTjblZZC48RA8DuI1+Ozdtmnh0AOX3RnP&#10;+JuZb2Y8P9trRXbCh9aaio6OSkqE4bZuzaainz5evHpDSYjM1ExZIyp6KwI9W7x8Me/cTIxtY1Ut&#10;PAGICbPOVbSJ0c2KIvBGaBaOrBMGRmm9ZhGq3xS1Zx3QtSrGZXlSdNbXzlsuQsDpqjfSAdE/B9BK&#10;2XKxsnyrhYk9qheKRZQUmtYFusjZSil4vJIyiEhURVFpzF8EgbxO32IxZ7ONZ65p+ZACe04KT2rS&#10;rDUIeg+1YpGRrW//gtIt9zZYGY+41UVfSGYEVYzKJ9zcNMyJXAuoDu6e9PD/YPmH3bUnbV3RyTEl&#10;hml0/Pe3H79+fic4ADudCzM43bhrP2gBYip1L71OfxRB9pnR23tGxT4SjsPjk9HplBIOSy8Co3i4&#10;6nyI74TVJAkV9WhXZpHtLkPsXe9cUqRgVVtftEplxW/W58qTHUutLd+W09xNoD9yU4Z0FR1PJyVa&#10;zhkGVmJQIGqHooPZUMLUBpvAo8+xH90OzwuSklyx0PTJZITEHXJRBr/EYc9akta2vgXn3vbDGBy/&#10;aHH/koV4zTymD4liP+MVPlJZZG8HiZLG+q//Ok/+GApYKekwzajsy5Z5QYl6bzAup6PJJI1/VibT&#10;12Mo/tCyPrSYrT63YHWEl8DxLCb/qO5E6a3+jDVepqgwMcMRu+dwUM5jv2V4CLhYLrMbRt6xeGlu&#10;HE/gqYvGLrfRyjZ3+4GdgTQMfWZxWNC0VYd69np4lB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MdpJBnYAAAACwEAAA8AAAAAAAAAAQAgAAAAIgAAAGRycy9kb3ducmV2LnhtbFBLAQIUABQAAAAI&#10;AIdO4kCYFteiXwIAANwEAAAOAAAAAAAAAAEAIAAAACcBAABkcnMvZTJvRG9jLnhtbFBLBQYAAAAA&#10;BgAGAFkBAAD4BQAAAAA=&#10;">
                <v:fill on="t" focussize="0,0"/>
                <v:stroke weight="2pt" color="#00B050 [3204]" joinstyle="round"/>
                <v:imagedata o:title=""/>
                <o:lock v:ext="edit" aspectratio="f"/>
              </v:rect>
            </w:pict>
          </mc:Fallback>
        </mc:AlternateContent>
      </w:r>
      <w:r>
        <w:rPr>
          <w:rFonts w:hint="default" w:ascii="Times New Roman" w:hAnsi="Times New Roman" w:cs="Times New Roman" w:eastAsiaTheme="minorEastAsia"/>
          <w:lang w:eastAsia="zh-CN"/>
        </w:rPr>
        <w:drawing>
          <wp:anchor distT="0" distB="0" distL="114935" distR="114935" simplePos="0" relativeHeight="251691008" behindDoc="0" locked="0" layoutInCell="1" allowOverlap="1">
            <wp:simplePos x="0" y="0"/>
            <wp:positionH relativeFrom="column">
              <wp:posOffset>8035925</wp:posOffset>
            </wp:positionH>
            <wp:positionV relativeFrom="paragraph">
              <wp:posOffset>22225</wp:posOffset>
            </wp:positionV>
            <wp:extent cx="807720" cy="1470660"/>
            <wp:effectExtent l="0" t="0" r="11430" b="15240"/>
            <wp:wrapNone/>
            <wp:docPr id="54" name="图片 54" descr="758c258000b06c6fa103a3b8a76fc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758c258000b06c6fa103a3b8a76fc00"/>
                    <pic:cNvPicPr>
                      <a:picLocks noChangeAspect="1"/>
                    </pic:cNvPicPr>
                  </pic:nvPicPr>
                  <pic:blipFill>
                    <a:blip r:embed="rId34"/>
                    <a:stretch>
                      <a:fillRect/>
                    </a:stretch>
                  </pic:blipFill>
                  <pic:spPr>
                    <a:xfrm>
                      <a:off x="0" y="0"/>
                      <a:ext cx="807720" cy="1470660"/>
                    </a:xfrm>
                    <a:prstGeom prst="rect">
                      <a:avLst/>
                    </a:prstGeom>
                  </pic:spPr>
                </pic:pic>
              </a:graphicData>
            </a:graphic>
          </wp:anchor>
        </w:drawing>
      </w:r>
      <w:r>
        <w:rPr>
          <w:rFonts w:hint="default" w:ascii="Times New Roman" w:hAnsi="Times New Roman" w:cs="Times New Roman"/>
        </w:rPr>
        <w:drawing>
          <wp:inline distT="0" distB="0" distL="114300" distR="114300">
            <wp:extent cx="8860790" cy="5643880"/>
            <wp:effectExtent l="0" t="0" r="16510" b="13970"/>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pic:cNvPicPr>
                  </pic:nvPicPr>
                  <pic:blipFill>
                    <a:blip r:embed="rId38"/>
                    <a:stretch>
                      <a:fillRect/>
                    </a:stretch>
                  </pic:blipFill>
                  <pic:spPr>
                    <a:xfrm>
                      <a:off x="0" y="0"/>
                      <a:ext cx="8860790" cy="5643880"/>
                    </a:xfrm>
                    <a:prstGeom prst="rect">
                      <a:avLst/>
                    </a:prstGeom>
                    <a:noFill/>
                    <a:ln>
                      <a:noFill/>
                    </a:ln>
                  </pic:spPr>
                </pic:pic>
              </a:graphicData>
            </a:graphic>
          </wp:inline>
        </w:drawing>
      </w:r>
      <w:r>
        <w:rPr>
          <w:rFonts w:hint="default" w:ascii="Times New Roman" w:hAnsi="Times New Roman" w:cs="Times New Roman"/>
          <w:sz w:val="21"/>
        </w:rPr>
        <mc:AlternateContent>
          <mc:Choice Requires="wps">
            <w:drawing>
              <wp:anchor distT="0" distB="0" distL="114300" distR="114300" simplePos="0" relativeHeight="251687936" behindDoc="0" locked="0" layoutInCell="1" allowOverlap="1">
                <wp:simplePos x="0" y="0"/>
                <wp:positionH relativeFrom="column">
                  <wp:posOffset>6607175</wp:posOffset>
                </wp:positionH>
                <wp:positionV relativeFrom="paragraph">
                  <wp:posOffset>5189220</wp:posOffset>
                </wp:positionV>
                <wp:extent cx="107950" cy="107950"/>
                <wp:effectExtent l="12700" t="12700" r="12700" b="12700"/>
                <wp:wrapNone/>
                <wp:docPr id="48" name="矩形 48"/>
                <wp:cNvGraphicFramePr/>
                <a:graphic xmlns:a="http://schemas.openxmlformats.org/drawingml/2006/main">
                  <a:graphicData uri="http://schemas.microsoft.com/office/word/2010/wordprocessingShape">
                    <wps:wsp>
                      <wps:cNvSpPr/>
                      <wps:spPr>
                        <a:xfrm>
                          <a:off x="0" y="0"/>
                          <a:ext cx="107950" cy="107950"/>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0.25pt;margin-top:408.6pt;height:8.5pt;width:8.5pt;z-index:251687936;v-text-anchor:middle;mso-width-relative:page;mso-height-relative:page;" fillcolor="#FFFF00" filled="t" stroked="t" coordsize="21600,21600" o:gfxdata="UEsDBAoAAAAAAIdO4kAAAAAAAAAAAAAAAAAEAAAAZHJzL1BLAwQUAAAACACHTuJA4gGHidsAAAAN&#10;AQAADwAAAGRycy9kb3ducmV2LnhtbE2PwU7DMBBE70j8g7VI3KidtKVRiFMJpFaq4AClVa9ussQR&#10;8TqK3Tb8PdsTHGf2aXamWI6uE2ccQutJQzJRIJAqX7fUaNh9rh4yECEaqk3nCTX8YIBleXtTmLz2&#10;F/rA8zY2gkMo5EaDjbHPpQyVRWfCxPdIfPvygzOR5dDIejAXDnedTJV6lM60xB+s6fHFYvW9PTkN&#10;65V939Bb9txOR3vY2c16P76mWt/fJeoJRMQx/sFwrc/VoeROR3+iOoiOtZqpObMasmSRgrgiar5g&#10;68jWdJaCLAv5f0X5C1BLAwQUAAAACACHTuJA0Ez+LVwCAADeBAAADgAAAGRycy9lMm9Eb2MueG1s&#10;rVTNbhMxEL4j8Q6W73STKKU06qaKGgUhVbRSQZwdr5215D9sJ5vyMkjceAgep+I1+OzdNm3h0AN7&#10;8M54xt/MfDP22fneaLITISpnazo+GlEiLHeNspuafv60evOOkpiYbZh2VtT0VkR6Pn/96qzzMzFx&#10;rdONCAQgNs46X9M2JT+rqshbYVg8cl5YGKULhiWoYVM1gXVAN7qajEZvq86FxgfHRYzYXfZGOiCG&#10;lwA6KRUXS8e3RtjUowahWUJJsVU+0nnJVkrB05WUUSSia4pKU1kRBPI6r9X8jM02gflW8SEF9pIU&#10;ntVkmLII+gC1ZImRbVB/QRnFg4tOpiPuTNUXUhhBFePRM25uWuZFqQVUR/9Aevx/sPzj7joQ1dR0&#10;ir5bZtDx399/3v36QbABdjofZ3C68ddh0CLEXOpeBpP/KILsC6O3D4yKfSIcm+PRyekxuOYwDTJQ&#10;qsNhH2J6L5whWahpQMMKj2x3GVPveu+SY0WnVbNSWhclbNYXOpAdQ3NX+Ealn0B/4qYt6Wo6OZ7C&#10;TDjDyEqMCkTjUXa0G0qY3uAu8BRK7Cen48uC5CSXLLZ9MgUhs4dctMUvs9jzlqW1a27BenD9OEbP&#10;VwrnL1lM1yxg/pAobmi6wiK1Q/ZukChpXfj2r/3sj7GAlZIO84zKvm5ZEJToDxYDczqeTgGbijI9&#10;PplACY8t68cWuzUXDqyO8RZ4XsTsn/S9KIMzX3CRFzkqTMxyxO45HJSL1N8zPAVcLBbFDUPvWbq0&#10;N55n8NxF6xbb5KQq3T6wM5CGsS8sDlc036vHevE6PEvz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OIBh4nbAAAADQEAAA8AAAAAAAAAAQAgAAAAIgAAAGRycy9kb3ducmV2LnhtbFBLAQIUABQAAAAI&#10;AIdO4kDQTP4tXAIAAN4EAAAOAAAAAAAAAAEAIAAAACoBAABkcnMvZTJvRG9jLnhtbFBLBQYAAAAA&#10;BgAGAFkBAAD4BQAAAAA=&#10;">
                <v:fill on="t" focussize="0,0"/>
                <v:stroke weight="2pt" color="#FFFF00 [3204]" joinstyle="round"/>
                <v:imagedata o:title=""/>
                <o:lock v:ext="edit" aspectratio="f"/>
              </v:rect>
            </w:pict>
          </mc:Fallback>
        </mc:AlternateContent>
      </w:r>
      <w:r>
        <w:rPr>
          <w:rFonts w:hint="default" w:ascii="Times New Roman" w:hAnsi="Times New Roman" w:cs="Times New Roman"/>
          <w:sz w:val="21"/>
        </w:rPr>
        <mc:AlternateContent>
          <mc:Choice Requires="wps">
            <w:drawing>
              <wp:anchor distT="0" distB="0" distL="114300" distR="114300" simplePos="0" relativeHeight="251686912" behindDoc="0" locked="0" layoutInCell="1" allowOverlap="1">
                <wp:simplePos x="0" y="0"/>
                <wp:positionH relativeFrom="column">
                  <wp:posOffset>6610350</wp:posOffset>
                </wp:positionH>
                <wp:positionV relativeFrom="paragraph">
                  <wp:posOffset>4908550</wp:posOffset>
                </wp:positionV>
                <wp:extent cx="107950" cy="107950"/>
                <wp:effectExtent l="12700" t="12700" r="12700" b="12700"/>
                <wp:wrapNone/>
                <wp:docPr id="40" name="矩形 40"/>
                <wp:cNvGraphicFramePr/>
                <a:graphic xmlns:a="http://schemas.openxmlformats.org/drawingml/2006/main">
                  <a:graphicData uri="http://schemas.microsoft.com/office/word/2010/wordprocessingShape">
                    <wps:wsp>
                      <wps:cNvSpPr/>
                      <wps:spPr>
                        <a:xfrm>
                          <a:off x="0" y="0"/>
                          <a:ext cx="107950" cy="107950"/>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20.5pt;margin-top:386.5pt;height:8.5pt;width:8.5pt;z-index:251686912;v-text-anchor:middle;mso-width-relative:page;mso-height-relative:page;" fillcolor="#00B050" filled="t" stroked="t" coordsize="21600,21600" o:gfxdata="UEsDBAoAAAAAAIdO4kAAAAAAAAAAAAAAAAAEAAAAZHJzL1BLAwQUAAAACACHTuJA3inxt9gAAAAN&#10;AQAADwAAAGRycy9kb3ducmV2LnhtbE1PQU7DMBC8I/EHa5G4IGqHUFpCnEogcQNVFBBXJ16S0Hgd&#10;bLcpv2d7gtvMzmh2plwd3CD2GGLvSUM2UyCQGm97ajW8vT5eLkHEZMiawRNq+MEIq+r0pDSF9RO9&#10;4H6TWsEhFAujoUtpLKSMTYfOxJkfkVj79MGZxDS00gYzcbgb5JVSN9KZnvhDZ0Z86LDZbnZOQ8zr&#10;p+/1/eS27/mz/DBf/iLMvdbnZ5m6A5HwkP7McKzP1aHiTrXfkY1iYK6uMx6TNCwWOYOjRc2XjGo+&#10;3SoFsirl/xXVL1BLAwQUAAAACACHTuJAywZgtloCAADeBAAADgAAAGRycy9lMm9Eb2MueG1srVTN&#10;bhMxEL4j8Q6W73Q3UUpp1E0VGhUhVbRSQZwdr5215D9sJ5vyMkjceAgeB/EafPZuf+HQA5fdGc/4&#10;m5lvZnxyujea7ESIytmGTg5qSoTlrlV209BPH89fvaEkJmZbpp0VDb0RkZ4uXr446f1cTF3ndCsC&#10;AYiN8943tEvJz6sq8k4YFg+cFxZG6YJhCWrYVG1gPdCNrqZ1/brqXWh9cFzEiNPVYKQjYngOoJNS&#10;cbFyfGuETQNqEJollBQ75SNdlGylFDxdShlFIrqhqDSVL4JAXudvtThh801gvlN8TIE9J4UnNRmm&#10;LILeQa1YYmQb1F9QRvHgopPpgDtTDYUURlDFpH7CzXXHvCi1gOro70iP/w+Wf9hdBaLahs5AiWUG&#10;Hf/97cevn98JDsBO7+McTtf+KoxahJhL3ctg8h9FkH1h9OaOUbFPhONwUh8dHwKYwzTKQKnuL/sQ&#10;0zvhDMlCQwMaVnhku4uYBtdblxwrOq3ac6V1UcJmfaYD2bHc3PptjUjDlUdu2pK+odPDWZ0TYRhZ&#10;iVGBaDzKjnZDCdMb7AJPocR+dDs+L0hOcsViNyRTEMZctEXBmcWBtyytXXsD1oMbxjF6fq5w/4LF&#10;dMUC5g+JYkPTJT5SO2TvRomSzoWv/zrP/hgLWCnpMc+o7MuWBUGJfm8xMMeTWe5wKsrs8GgKJTy0&#10;rB9a7NacObA6wVvgeRGzf9K3ogzOfMYiL3NUmJjliD1wOCpnadgzPAVcLJfFDUPvWbqw155n8NxF&#10;65bb5KQq3b5nZyQNY1/mZVzRvFcP9eJ1/ywt/g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eKfG3&#10;2AAAAA0BAAAPAAAAAAAAAAEAIAAAACIAAABkcnMvZG93bnJldi54bWxQSwECFAAUAAAACACHTuJA&#10;ywZgtloCAADeBAAADgAAAAAAAAABACAAAAAnAQAAZHJzL2Uyb0RvYy54bWxQSwUGAAAAAAYABgBZ&#10;AQAA8wUAAAAA&#10;">
                <v:fill on="t" focussize="0,0"/>
                <v:stroke weight="2pt" color="#00B050 [3204]" joinstyle="round"/>
                <v:imagedata o:title=""/>
                <o:lock v:ext="edit" aspectratio="f"/>
              </v:rect>
            </w:pict>
          </mc:Fallback>
        </mc:AlternateContent>
      </w:r>
      <w:r>
        <w:rPr>
          <w:rFonts w:hint="default" w:ascii="Times New Roman" w:hAnsi="Times New Roman" w:cs="Times New Roman"/>
          <w:sz w:val="21"/>
        </w:rPr>
        <mc:AlternateContent>
          <mc:Choice Requires="wps">
            <w:drawing>
              <wp:anchor distT="0" distB="0" distL="114300" distR="114300" simplePos="0" relativeHeight="251685888" behindDoc="0" locked="0" layoutInCell="1" allowOverlap="1">
                <wp:simplePos x="0" y="0"/>
                <wp:positionH relativeFrom="column">
                  <wp:posOffset>6592570</wp:posOffset>
                </wp:positionH>
                <wp:positionV relativeFrom="paragraph">
                  <wp:posOffset>4602480</wp:posOffset>
                </wp:positionV>
                <wp:extent cx="107950" cy="107950"/>
                <wp:effectExtent l="12700" t="12700" r="12700" b="12700"/>
                <wp:wrapNone/>
                <wp:docPr id="49" name="矩形 49"/>
                <wp:cNvGraphicFramePr/>
                <a:graphic xmlns:a="http://schemas.openxmlformats.org/drawingml/2006/main">
                  <a:graphicData uri="http://schemas.microsoft.com/office/word/2010/wordprocessingShape">
                    <wps:wsp>
                      <wps:cNvSpPr/>
                      <wps:spPr>
                        <a:xfrm>
                          <a:off x="7605395" y="6080125"/>
                          <a:ext cx="107950" cy="1079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9.1pt;margin-top:362.4pt;height:8.5pt;width:8.5pt;z-index:251685888;v-text-anchor:middle;mso-width-relative:page;mso-height-relative:page;" filled="f" stroked="t" coordsize="21600,21600" o:gfxdata="UEsDBAoAAAAAAIdO4kAAAAAAAAAAAAAAAAAEAAAAZHJzL1BLAwQUAAAACACHTuJAossIztoAAAAN&#10;AQAADwAAAGRycy9kb3ducmV2LnhtbE2PzU7DMBCE70i8g7VIXBC1k/4QhTiVqEQPHJAoXLg58ZJE&#10;jddR7DTl7dme6HFmR7PfFNuz68UJx9B50pAsFAik2tuOGg1fn6+PGYgQDVnTe0INvxhgW97eFCa3&#10;fqYPPB1iI7iEQm40tDEOuZShbtGZsPADEt9+/OhMZDk20o5m5nLXy1SpjXSmI/7QmgF3LdbHw+Q0&#10;VPvvcZe9LPdxethw9bF5w/dZ6/u7RD2DiHiO/2G44DM6lMxU+YlsED1rtcxSzmp4Slc84hJR6zVb&#10;FVurJANZFvJ6RfkHUEsDBBQAAAAIAIdO4kBuVjeBagIAAMEEAAAOAAAAZHJzL2Uyb0RvYy54bWyt&#10;VM1uEzEQviPxDpbvdDchaZuomypqFIRU0UoFcXa8dtaS/7CdbMrLIHHjIfo4iNfg8+72h8KhB3Jw&#10;xp7P38x8ntmz84PRZC9CVM5WdHRUUiIsd7Wy24p++rh+c0pJTMzWTDsrKnorIj1fvH511vq5GLvG&#10;6VoEAhIb562vaJOSnxdF5I0wLB45Lyyc0gXDErZhW9SBtWA3uhiX5XHRulD74LiIEaer3kkHxvAS&#10;Qiel4mLl+M4Im3rWIDRLKCk2yke66LKVUvB0JWUUieiKotLUrQgCe5PXYnHG5tvAfKP4kAJ7SQrP&#10;ajJMWQR9oFqxxMguqL+ojOLBRSfTEXem6AvpFEEVo/KZNjcN86KrBVJH/yB6/H+0/MP+OhBVV3Qy&#10;o8Qygxf/9e3Hz7vvBAdQp/VxDtCNvw7DLsLMpR5kMPkfRZBDRU+Oy+nb2ZSS24oel6flaDzt1RWH&#10;RDgAo/JkNoXuHIDBBmPxSORDTO+EMyQbFQ14vE5Ttr+MqYfeQ3Jc69ZKa5yzubakreh4OikzP0NX&#10;SnQDTONRWbRbSpjeot15Ch1ldFrV+Xq+HcN2c6ED2TM0yXpd4pczR2Z/wHLsFYtNj+tcA0xboLNQ&#10;vTTZ2rj6FsIG13dc9HytcP+SxXTNAloMiWII0xUWqR2yd4NFSePC13+dZzxeHl5KWrQsKvuyY0FQ&#10;ot9b9MRsNJmANnWbyfRkjE146tk89diduXAoeIRx97wzMz7pe1MGZz5jVpc5KlzMcsTuNRw2F6kf&#10;JUw7F8tlB0Nfe5Yu7Y3nmbx/qeUuOam6R3xUZxANnd2JPUxhHp2n+w71+OVZ/A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iywjO2gAAAA0BAAAPAAAAAAAAAAEAIAAAACIAAABkcnMvZG93bnJldi54&#10;bWxQSwECFAAUAAAACACHTuJAblY3gWoCAADBBAAADgAAAAAAAAABACAAAAApAQAAZHJzL2Uyb0Rv&#10;Yy54bWxQSwUGAAAAAAYABgBZAQAABQYAAAAA&#10;">
                <v:fill on="f" focussize="0,0"/>
                <v:stroke weight="2pt" color="#FF0000 [3204]" joinstyle="round"/>
                <v:imagedata o:title=""/>
                <o:lock v:ext="edit" aspectratio="f"/>
              </v:rect>
            </w:pict>
          </mc:Fallback>
        </mc:AlternateContent>
      </w:r>
      <w:r>
        <w:rPr>
          <w:rFonts w:hint="default" w:ascii="Times New Roman" w:hAnsi="Times New Roman" w:cs="Times New Roman"/>
          <w:sz w:val="21"/>
        </w:rPr>
        <mc:AlternateContent>
          <mc:Choice Requires="wps">
            <w:drawing>
              <wp:anchor distT="0" distB="0" distL="114300" distR="114300" simplePos="0" relativeHeight="251684864" behindDoc="0" locked="0" layoutInCell="1" allowOverlap="1">
                <wp:simplePos x="0" y="0"/>
                <wp:positionH relativeFrom="column">
                  <wp:posOffset>6424295</wp:posOffset>
                </wp:positionH>
                <wp:positionV relativeFrom="paragraph">
                  <wp:posOffset>4137025</wp:posOffset>
                </wp:positionV>
                <wp:extent cx="2429510" cy="1567815"/>
                <wp:effectExtent l="4445" t="4445" r="23495" b="8890"/>
                <wp:wrapNone/>
                <wp:docPr id="50" name="文本框 50"/>
                <wp:cNvGraphicFramePr/>
                <a:graphic xmlns:a="http://schemas.openxmlformats.org/drawingml/2006/main">
                  <a:graphicData uri="http://schemas.microsoft.com/office/word/2010/wordprocessingShape">
                    <wps:wsp>
                      <wps:cNvSpPr txBox="1"/>
                      <wps:spPr>
                        <a:xfrm>
                          <a:off x="8474075" y="4838700"/>
                          <a:ext cx="2429510" cy="15678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spacing w:line="360" w:lineRule="auto"/>
                              <w:rPr>
                                <w:rFonts w:hint="eastAsia"/>
                                <w:b/>
                                <w:bCs/>
                                <w:lang w:val="en-US" w:eastAsia="zh-CN"/>
                              </w:rPr>
                            </w:pPr>
                            <w:r>
                              <w:rPr>
                                <w:rFonts w:hint="eastAsia"/>
                                <w:b/>
                                <w:bCs/>
                                <w:lang w:val="en-US" w:eastAsia="zh-CN"/>
                              </w:rPr>
                              <w:t>图例</w:t>
                            </w:r>
                          </w:p>
                          <w:p>
                            <w:pPr>
                              <w:spacing w:line="360" w:lineRule="auto"/>
                              <w:ind w:firstLine="420" w:firstLineChars="200"/>
                              <w:rPr>
                                <w:rFonts w:hint="eastAsia"/>
                                <w:lang w:val="en-US" w:eastAsia="zh-CN"/>
                              </w:rPr>
                            </w:pPr>
                            <w:r>
                              <w:rPr>
                                <w:rFonts w:hint="eastAsia"/>
                                <w:lang w:val="en-US" w:eastAsia="zh-CN"/>
                              </w:rPr>
                              <w:t>加油站边界</w:t>
                            </w:r>
                          </w:p>
                          <w:p>
                            <w:pPr>
                              <w:spacing w:line="360" w:lineRule="auto"/>
                              <w:ind w:firstLine="420" w:firstLineChars="200"/>
                              <w:rPr>
                                <w:rFonts w:hint="eastAsia"/>
                                <w:lang w:val="en-US" w:eastAsia="zh-CN"/>
                              </w:rPr>
                            </w:pPr>
                            <w:r>
                              <w:rPr>
                                <w:rFonts w:hint="eastAsia"/>
                                <w:lang w:val="en-US" w:eastAsia="zh-CN"/>
                              </w:rPr>
                              <w:t>加油油气回收系统（汽油加油机）</w:t>
                            </w:r>
                          </w:p>
                          <w:p>
                            <w:pPr>
                              <w:spacing w:line="360" w:lineRule="auto"/>
                              <w:ind w:firstLine="420" w:firstLineChars="200"/>
                              <w:rPr>
                                <w:rFonts w:hint="eastAsia"/>
                                <w:lang w:val="en-US" w:eastAsia="zh-CN"/>
                              </w:rPr>
                            </w:pPr>
                            <w:r>
                              <w:rPr>
                                <w:rFonts w:hint="eastAsia"/>
                                <w:lang w:val="en-US" w:eastAsia="zh-CN"/>
                              </w:rPr>
                              <w:t>卸油油气回收系统（汽油罐）</w:t>
                            </w:r>
                          </w:p>
                          <w:p>
                            <w:pPr>
                              <w:spacing w:line="360" w:lineRule="auto"/>
                              <w:ind w:firstLine="420" w:firstLineChars="200"/>
                              <w:rPr>
                                <w:rFonts w:hint="default"/>
                                <w:lang w:val="en-US" w:eastAsia="zh-CN"/>
                              </w:rPr>
                            </w:pPr>
                            <w:r>
                              <w:rPr>
                                <w:rFonts w:hint="eastAsia"/>
                                <w:lang w:val="en-US" w:eastAsia="zh-CN"/>
                              </w:rPr>
                              <w:t>比例尺：1:400</w:t>
                            </w:r>
                          </w:p>
                          <w:p>
                            <w:pPr>
                              <w:spacing w:line="360" w:lineRule="auto"/>
                              <w:ind w:firstLine="420" w:firstLineChars="200"/>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5.85pt;margin-top:325.75pt;height:123.45pt;width:191.3pt;z-index:251684864;mso-width-relative:page;mso-height-relative:page;" fillcolor="#FFFFFF [3201]" filled="t" stroked="t" coordsize="21600,21600" o:gfxdata="UEsDBAoAAAAAAIdO4kAAAAAAAAAAAAAAAAAEAAAAZHJzL1BLAwQUAAAACACHTuJA1dnvBNkAAAAN&#10;AQAADwAAAGRycy9kb3ducmV2LnhtbE2PwU7DMBBE70j8g7WVuFHbTRvSEKcSSEiIGyUXbm68TaLa&#10;6yh2m/L3uCc4jvZp5m21uzrLLjiFwZMCuRTAkFpvBuoUNF9vjwWwEDUZbT2hgh8MsKvv7ypdGj/T&#10;J172sWOphEKpFfQxjiXnoe3R6bD0I1K6Hf3kdExx6riZ9JzKneUrIXLu9EBpodcjvvbYnvZnp+A9&#10;f4nf2JgPk60yPze8nY42KPWwkOIZWMRr/IPhpp/UoU5OB38mE5hNWUj5lFgF+UZugN2QbLvOgB0U&#10;FNtiDbyu+P8v6l9QSwMEFAAAAAgAh07iQPTme/VlAgAAxgQAAA4AAABkcnMvZTJvRG9jLnhtbK1U&#10;wW7bMAy9D9g/CLqvjlOnSYM6RdYiw4BiLdANOyuyHAuTRE1SYncfsP7BTrvsvu/qd4ySnbZrd+hh&#10;OSik+PBIPpE+Oe20IjvhvART0vxgRIkwHCppNiX99HH1ZkaJD8xUTIERJb0Rnp4uXr86ae1cjKEB&#10;VQlHkMT4eWtL2oRg51nmeSM08wdghcFgDU6zgK7bZJVjLbJrlY1Ho6OsBVdZB1x4j7fnfZAOjO4l&#10;hFDXkotz4FstTOhZnVAsYEu+kdbTRaq2rgUPl3XtRSCqpNhpSCcmQXsdz2xxwuYbx2wj+VACe0kJ&#10;T3rSTBpMek91zgIjWyefUWnJHXiowwEHnfWNJEWwi3z0RJvrhlmRekGpvb0X3f8/Wv5hd+WIrEo6&#10;QUkM0/jidz9u737+vvv1neAdCtRaP0fctUVk6N5Ch2Ozv/d4GfvuaqfjP3ZEMD4rpsVoOqHkpqTF&#10;7HA2HQ1Siy4QjoBxMT6e5JiSIyKfHE1n+SRyZg9U1vnwToAm0Sipw7dMErPdhQ89dA+JmT0oWa2k&#10;Uslxm/WZcmTH8N1X6Tew/wVThrQlPTrEPp9RRO57irVi/MtzBqxWGSw6KtQrEa3QrbtBtjVUN6ia&#10;g37wvOUribwXzIcr5nDSUAHcxXCJR60Ai4HBoqQB9+1f9xGPA4BRSlqc3JL6r1vmBCXqvcHROM6L&#10;AmlDcorJdIyOexxZP46YrT4DFCnHrbc8mREf1N6sHejPuLLLmBVDzHDMXdKwN89Cv0+48lwslwmE&#10;w21ZuDDXlkfqKK6B5TZALdPTRZl6bQb1cLzT4w+rGPfnsZ9QD5+fxR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V2e8E2QAAAA0BAAAPAAAAAAAAAAEAIAAAACIAAABkcnMvZG93bnJldi54bWxQSwEC&#10;FAAUAAAACACHTuJA9OZ79WUCAADGBAAADgAAAAAAAAABACAAAAAoAQAAZHJzL2Uyb0RvYy54bWxQ&#10;SwUGAAAAAAYABgBZAQAA/wUAAAAA&#10;">
                <v:fill on="t" focussize="0,0"/>
                <v:stroke weight="0.5pt" color="#000000 [3204]" joinstyle="round"/>
                <v:imagedata o:title=""/>
                <o:lock v:ext="edit" aspectratio="f"/>
                <v:textbox>
                  <w:txbxContent>
                    <w:p>
                      <w:pPr>
                        <w:spacing w:line="360" w:lineRule="auto"/>
                        <w:rPr>
                          <w:rFonts w:hint="eastAsia"/>
                          <w:b/>
                          <w:bCs/>
                          <w:lang w:val="en-US" w:eastAsia="zh-CN"/>
                        </w:rPr>
                      </w:pPr>
                      <w:r>
                        <w:rPr>
                          <w:rFonts w:hint="eastAsia"/>
                          <w:b/>
                          <w:bCs/>
                          <w:lang w:val="en-US" w:eastAsia="zh-CN"/>
                        </w:rPr>
                        <w:t>图例</w:t>
                      </w:r>
                    </w:p>
                    <w:p>
                      <w:pPr>
                        <w:spacing w:line="360" w:lineRule="auto"/>
                        <w:ind w:firstLine="420" w:firstLineChars="200"/>
                        <w:rPr>
                          <w:rFonts w:hint="eastAsia"/>
                          <w:lang w:val="en-US" w:eastAsia="zh-CN"/>
                        </w:rPr>
                      </w:pPr>
                      <w:r>
                        <w:rPr>
                          <w:rFonts w:hint="eastAsia"/>
                          <w:lang w:val="en-US" w:eastAsia="zh-CN"/>
                        </w:rPr>
                        <w:t>加油站边界</w:t>
                      </w:r>
                    </w:p>
                    <w:p>
                      <w:pPr>
                        <w:spacing w:line="360" w:lineRule="auto"/>
                        <w:ind w:firstLine="420" w:firstLineChars="200"/>
                        <w:rPr>
                          <w:rFonts w:hint="eastAsia"/>
                          <w:lang w:val="en-US" w:eastAsia="zh-CN"/>
                        </w:rPr>
                      </w:pPr>
                      <w:r>
                        <w:rPr>
                          <w:rFonts w:hint="eastAsia"/>
                          <w:lang w:val="en-US" w:eastAsia="zh-CN"/>
                        </w:rPr>
                        <w:t>加油油气回收系统（汽油加油机）</w:t>
                      </w:r>
                    </w:p>
                    <w:p>
                      <w:pPr>
                        <w:spacing w:line="360" w:lineRule="auto"/>
                        <w:ind w:firstLine="420" w:firstLineChars="200"/>
                        <w:rPr>
                          <w:rFonts w:hint="eastAsia"/>
                          <w:lang w:val="en-US" w:eastAsia="zh-CN"/>
                        </w:rPr>
                      </w:pPr>
                      <w:r>
                        <w:rPr>
                          <w:rFonts w:hint="eastAsia"/>
                          <w:lang w:val="en-US" w:eastAsia="zh-CN"/>
                        </w:rPr>
                        <w:t>卸油油气回收系统（汽油罐）</w:t>
                      </w:r>
                    </w:p>
                    <w:p>
                      <w:pPr>
                        <w:spacing w:line="360" w:lineRule="auto"/>
                        <w:ind w:firstLine="420" w:firstLineChars="200"/>
                        <w:rPr>
                          <w:rFonts w:hint="default"/>
                          <w:lang w:val="en-US" w:eastAsia="zh-CN"/>
                        </w:rPr>
                      </w:pPr>
                      <w:r>
                        <w:rPr>
                          <w:rFonts w:hint="eastAsia"/>
                          <w:lang w:val="en-US" w:eastAsia="zh-CN"/>
                        </w:rPr>
                        <w:t>比例尺：1:400</w:t>
                      </w:r>
                    </w:p>
                    <w:p>
                      <w:pPr>
                        <w:spacing w:line="360" w:lineRule="auto"/>
                        <w:ind w:firstLine="420" w:firstLineChars="200"/>
                        <w:rPr>
                          <w:rFonts w:hint="default"/>
                          <w:lang w:val="en-US" w:eastAsia="zh-CN"/>
                        </w:rPr>
                      </w:pPr>
                    </w:p>
                  </w:txbxContent>
                </v:textbox>
              </v:shape>
            </w:pict>
          </mc:Fallback>
        </mc:AlternateContent>
      </w:r>
      <w:r>
        <w:rPr>
          <w:rFonts w:hint="default" w:ascii="Times New Roman" w:hAnsi="Times New Roman" w:cs="Times New Roman"/>
          <w:sz w:val="21"/>
        </w:rPr>
        <mc:AlternateContent>
          <mc:Choice Requires="wps">
            <w:drawing>
              <wp:anchor distT="0" distB="0" distL="114300" distR="114300" simplePos="0" relativeHeight="251688960" behindDoc="0" locked="0" layoutInCell="1" allowOverlap="1">
                <wp:simplePos x="0" y="0"/>
                <wp:positionH relativeFrom="column">
                  <wp:posOffset>8255</wp:posOffset>
                </wp:positionH>
                <wp:positionV relativeFrom="paragraph">
                  <wp:posOffset>-8890</wp:posOffset>
                </wp:positionV>
                <wp:extent cx="8861425" cy="5724525"/>
                <wp:effectExtent l="12700" t="12700" r="22225" b="15875"/>
                <wp:wrapNone/>
                <wp:docPr id="47" name="矩形 47"/>
                <wp:cNvGraphicFramePr/>
                <a:graphic xmlns:a="http://schemas.openxmlformats.org/drawingml/2006/main">
                  <a:graphicData uri="http://schemas.microsoft.com/office/word/2010/wordprocessingShape">
                    <wps:wsp>
                      <wps:cNvSpPr/>
                      <wps:spPr>
                        <a:xfrm>
                          <a:off x="1021715" y="2266315"/>
                          <a:ext cx="8861425" cy="57245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65pt;margin-top:-0.7pt;height:450.75pt;width:697.75pt;z-index:251688960;v-text-anchor:middle;mso-width-relative:page;mso-height-relative:page;" filled="f" stroked="t" coordsize="21600,21600" o:gfxdata="UEsDBAoAAAAAAIdO4kAAAAAAAAAAAAAAAAAEAAAAZHJzL1BLAwQUAAAACACHTuJAI1BSwtgAAAAJ&#10;AQAADwAAAGRycy9kb3ducmV2LnhtbE2PwU7DMBBE70j8g7VIXFBrmyYVDXF6QOoRCQoIcXPjJQmN&#10;1yF20/L3bE9wHM1o5k25PvleTDjGLpABPVcgkOrgOmoMvL5sZncgYrLkbB8IDfxghHV1eVHawoUj&#10;PeO0TY3gEoqFNdCmNBRSxrpFb+M8DEjsfYbR28RybKQb7ZHLfS9vlVpKbzvihdYO+NBivd8evIGn&#10;TO6z5uYtV4/6/Tv/2uSdnD6Mub7S6h5EwlP6C8MZn9GhYqZdOJCLome94KCBmc5AnO3FaslXdgZW&#10;SmmQVSn/P6h+AVBLAwQUAAAACACHTuJA14izm2cCAADDBAAADgAAAGRycy9lMm9Eb2MueG1srVTL&#10;jtMwFN0j8Q+W90yakHaGatJR1WoQ0oipNCDWruM0kfzCdpsOP4PEjo/gcxC/wbGTeTCwmAVduPfm&#10;ntzH8bk5vzgqSQ7C+c7oiuYnE0qE5qbu9K6iHz9cvjqjxAemayaNFhW9FZ5eLF6+OO/tXBSmNbIW&#10;jiCJ9vPeVrQNwc6zzPNWKOZPjBUawcY4xQJct8tqx3pkVzIrJpNZ1htXW2e48B5P10OQjhndcxKa&#10;pum4WBu+V0KHIasTkgWM5NvOerpI3TaN4OG6abwIRFYUk4Z0ogjsbTyzxTmb7xyzbcfHFthzWngy&#10;k2KdRtH7VGsWGNm77q9UquPOeNOEE25UNgySGMEU+eQJNzctsyLNAqq9vSfd/7+0/P1h40hXV7Q8&#10;pUQzhRv/9fX7zx/fCB6And76OUA3duNGz8OMox4bp+I/hiBHKGlS5Kf5lJLbihbFbPYadmJXHAPh&#10;AJydzfKyAIADMT0tyikcILKHVNb58FYYRaJRUYfrS6yyw5UPA/QOEitrc9lJmYpITXrUnZYT3Cxn&#10;0GUDPcBUFrN5vaOEyR0Ez4NLKb2RXR1fj4m8221X0pEDizJJv7GzP2Cx9pr5dsCl0AiTGnNEqgZy&#10;orU19S2odWbQnLf8ssP7V8yHDXMQGRrFGoZrHI006N6MFiWtcV/+9TzicfeIUtJDtJjs8545QYl8&#10;p6GKN3lZRpUnpwTHcNzjyPZxRO/VymDgHAtveTIjPsg7s3FGfcK2LmNVhJjmqD1wODqrMCwT9p2L&#10;5TLBoGzLwpW+sTwmH25quQ+m6dIlPrAzkgZtJxmMexiX57GfUA/fnsV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I1BSwtgAAAAJAQAADwAAAAAAAAABACAAAAAiAAAAZHJzL2Rvd25yZXYueG1sUEsB&#10;AhQAFAAAAAgAh07iQNeIs5tnAgAAwwQAAA4AAAAAAAAAAQAgAAAAJwEAAGRycy9lMm9Eb2MueG1s&#10;UEsFBgAAAAAGAAYAWQEAAAAGAAAAAA==&#10;">
                <v:fill on="f" focussize="0,0"/>
                <v:stroke weight="2pt" color="#000000 [3213]" joinstyle="round"/>
                <v:imagedata o:title=""/>
                <o:lock v:ext="edit" aspectratio="f"/>
              </v:rect>
            </w:pict>
          </mc:Fallback>
        </mc:AlternateContent>
      </w:r>
    </w:p>
    <w:p>
      <w:pPr>
        <w:rPr>
          <w:rFonts w:hint="default" w:ascii="Times New Roman" w:hAnsi="Times New Roman" w:cs="Times New Roman" w:eastAsiaTheme="minorEastAsia"/>
          <w:lang w:eastAsia="zh-CN"/>
        </w:rPr>
        <w:sectPr>
          <w:pgSz w:w="16838" w:h="11906" w:orient="landscape"/>
          <w:pgMar w:top="1417" w:right="1440" w:bottom="1417" w:left="1440" w:header="851" w:footer="992" w:gutter="0"/>
          <w:cols w:space="425" w:num="1"/>
          <w:docGrid w:type="lines" w:linePitch="312" w:charSpace="0"/>
        </w:sectPr>
      </w:pPr>
    </w:p>
    <w:p>
      <w:pPr>
        <w:jc w:val="center"/>
        <w:rPr>
          <w:rFonts w:hint="default" w:ascii="Times New Roman" w:hAnsi="Times New Roman" w:cs="Times New Roman" w:eastAsiaTheme="minorEastAsia"/>
          <w:lang w:eastAsia="zh-CN"/>
        </w:rPr>
      </w:pPr>
      <w:r>
        <w:rPr>
          <w:rFonts w:hint="default" w:ascii="Times New Roman" w:hAnsi="Times New Roman" w:cs="Times New Roman"/>
          <w:color w:val="auto"/>
          <w:sz w:val="21"/>
        </w:rPr>
        <mc:AlternateContent>
          <mc:Choice Requires="wps">
            <w:drawing>
              <wp:anchor distT="0" distB="0" distL="114300" distR="114300" simplePos="0" relativeHeight="251698176" behindDoc="0" locked="0" layoutInCell="1" allowOverlap="1">
                <wp:simplePos x="0" y="0"/>
                <wp:positionH relativeFrom="column">
                  <wp:posOffset>5397500</wp:posOffset>
                </wp:positionH>
                <wp:positionV relativeFrom="paragraph">
                  <wp:posOffset>4941570</wp:posOffset>
                </wp:positionV>
                <wp:extent cx="1162050" cy="452120"/>
                <wp:effectExtent l="4445" t="717550" r="14605" b="11430"/>
                <wp:wrapNone/>
                <wp:docPr id="42" name="矩形标注 42"/>
                <wp:cNvGraphicFramePr/>
                <a:graphic xmlns:a="http://schemas.openxmlformats.org/drawingml/2006/main">
                  <a:graphicData uri="http://schemas.microsoft.com/office/word/2010/wordprocessingShape">
                    <wps:wsp>
                      <wps:cNvSpPr/>
                      <wps:spPr>
                        <a:xfrm flipV="1">
                          <a:off x="0" y="0"/>
                          <a:ext cx="1162050" cy="452120"/>
                        </a:xfrm>
                        <a:prstGeom prst="wedgeRectCallout">
                          <a:avLst>
                            <a:gd name="adj1" fmla="val -16284"/>
                            <a:gd name="adj2" fmla="val 203511"/>
                          </a:avLst>
                        </a:prstGeom>
                        <a:solidFill>
                          <a:srgbClr val="FFFFFF"/>
                        </a:solidFill>
                        <a:ln w="9525" cap="flat" cmpd="sng">
                          <a:solidFill>
                            <a:srgbClr val="000000"/>
                          </a:solidFill>
                          <a:prstDash val="solid"/>
                          <a:miter/>
                          <a:headEnd type="none" w="med" len="med"/>
                          <a:tailEnd type="none" w="med" len="med"/>
                        </a:ln>
                      </wps:spPr>
                      <wps:txbx>
                        <w:txbxContent>
                          <w:p>
                            <w:pPr>
                              <w:jc w:val="left"/>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E</w:t>
                            </w:r>
                            <w:r>
                              <w:rPr>
                                <w:rFonts w:hint="default" w:ascii="Times New Roman" w:hAnsi="Times New Roman" w:cs="Times New Roman"/>
                                <w:color w:val="000000" w:themeColor="text1"/>
                                <w:lang w:val="en-US" w:eastAsia="zh-CN"/>
                                <w14:textFill>
                                  <w14:solidFill>
                                    <w14:schemeClr w14:val="tx1"/>
                                  </w14:solidFill>
                                </w14:textFill>
                              </w:rPr>
                              <w:t>11</w:t>
                            </w:r>
                            <w:r>
                              <w:rPr>
                                <w:rFonts w:hint="eastAsia"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17.855</w:t>
                            </w:r>
                            <w:r>
                              <w:rPr>
                                <w:rFonts w:hint="default" w:ascii="Times New Roman" w:hAnsi="Times New Roman" w:cs="Times New Roman"/>
                                <w:color w:val="000000" w:themeColor="text1"/>
                                <w:lang w:val="en-US" w:eastAsia="zh-CN"/>
                                <w14:textFill>
                                  <w14:solidFill>
                                    <w14:schemeClr w14:val="tx1"/>
                                  </w14:solidFill>
                                </w14:textFill>
                              </w:rPr>
                              <w:t>″</w:t>
                            </w:r>
                          </w:p>
                          <w:p>
                            <w:pPr>
                              <w:jc w:val="left"/>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N</w:t>
                            </w:r>
                            <w:r>
                              <w:rPr>
                                <w:rFonts w:hint="default" w:ascii="Times New Roman" w:hAnsi="Times New Roman" w:cs="Times New Roman"/>
                                <w:color w:val="000000" w:themeColor="text1"/>
                                <w:lang w:val="en-US" w:eastAsia="zh-CN"/>
                                <w14:textFill>
                                  <w14:solidFill>
                                    <w14:schemeClr w14:val="tx1"/>
                                  </w14:solidFill>
                                </w14:textFill>
                              </w:rPr>
                              <w:t>33°</w:t>
                            </w:r>
                            <w:r>
                              <w:rPr>
                                <w:rFonts w:hint="eastAsia" w:ascii="Times New Roman" w:hAnsi="Times New Roman" w:cs="Times New Roman"/>
                                <w:color w:val="000000" w:themeColor="text1"/>
                                <w:lang w:val="en-US" w:eastAsia="zh-CN"/>
                                <w14:textFill>
                                  <w14:solidFill>
                                    <w14:schemeClr w14:val="tx1"/>
                                  </w14:solidFill>
                                </w14:textFill>
                              </w:rPr>
                              <w:t>33</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2.287</w:t>
                            </w:r>
                            <w:r>
                              <w:rPr>
                                <w:rFonts w:hint="default" w:ascii="Times New Roman" w:hAnsi="Times New Roman" w:cs="Times New Roman"/>
                                <w:color w:val="000000" w:themeColor="text1"/>
                                <w:lang w:val="en-US" w:eastAsia="zh-CN"/>
                                <w14:textFill>
                                  <w14:solidFill>
                                    <w14:schemeClr w14:val="tx1"/>
                                  </w14:solidFill>
                                </w14:textFill>
                              </w:rPr>
                              <w:t>″</w:t>
                            </w:r>
                          </w:p>
                        </w:txbxContent>
                      </wps:txbx>
                      <wps:bodyPr upright="1"/>
                    </wps:wsp>
                  </a:graphicData>
                </a:graphic>
              </wp:anchor>
            </w:drawing>
          </mc:Choice>
          <mc:Fallback>
            <w:pict>
              <v:shape id="_x0000_s1026" o:spid="_x0000_s1026" o:spt="61" type="#_x0000_t61" style="position:absolute;left:0pt;flip:y;margin-left:425pt;margin-top:389.1pt;height:35.6pt;width:91.5pt;z-index:251698176;mso-width-relative:page;mso-height-relative:page;" fillcolor="#FFFFFF" filled="t" stroked="t" coordsize="21600,21600" o:gfxdata="UEsDBAoAAAAAAIdO4kAAAAAAAAAAAAAAAAAEAAAAZHJzL1BLAwQUAAAACACHTuJAtI0Ng9oAAAAM&#10;AQAADwAAAGRycy9kb3ducmV2LnhtbE2PzU7DMBCE70i8g7VI3KidtNAQ4vRQxAFUKhFQz068JBHx&#10;OordH96+2xMcd2Y0+02xOrlBHHAKvScNyUyBQGq87anV8PX5cpeBCNGQNYMn1PCLAVbl9VVhcuuP&#10;9IGHKraCSyjkRkMX45hLGZoOnQkzPyKx9+0nZyKfUyvtZI5c7gaZKvUgnemJP3RmxHWHzU+1dxqe&#10;d5jQe/9arzFNttX0ttm2u6D17U2inkBEPMW/MFzwGR1KZqr9nmwQg4bsXvGWqGG5zFIQl4Saz1mq&#10;2Vs8LkCWhfw/ojwDUEsDBBQAAAAIAIdO4kAsqidCQQIAAJoEAAAOAAAAZHJzL2Uyb0RvYy54bWyt&#10;VM1uEzEQviPxDpbvzf6QVCXKpoeGcEFQUeDurO1dI//JdrKbJ+AxQJzomTOPQ3kNxt4lTQuHHNiD&#10;NbbH38z3zcwuLnsl0Y45L4yucDHJMWK6NlTopsLv363PLjDygWhKpNGswnvm8eXy6ZNFZ+esNK2R&#10;lDkEINrPO1vhNgQ7zzJft0wRPzGWabjkxikSYOuajDrSAbqSWZnn51lnHLXO1Mx7OF0Nl3hEdKcA&#10;Gs5FzVam3iqmw4DqmCQBKPlWWI+XKVvOWR3ecO5ZQLLCwDSkFYKAvYlrtlyQeeOIbUU9pkBOSeER&#10;J0WEhqAHqBUJBG2d+AtKidoZb3iY1EZlA5GkCLAo8kfa3LTEssQFpPb2ILr/f7D16921Q4JWeFpi&#10;pImCiv/6fPvzx9e7L5/uvn9DcAwaddbPwfXGXrtx58GMhHvuFOJS2A/QTEkCIIX6pPD+oDDrA6rh&#10;sCjOy3wG4tdwN52VRZlKkA04Ec86H14yo1A0Ktwx2rC3UMYrIqXZhhSB7F75kNSmY8qEfiww4kpC&#10;8XZEojOIczEdq3vkBBzvncr82awoohPEHzHB+pNBDOCNFHQtpEwb12yupEMQoMLr9I2PH7hJjboK&#10;P5+VM6BJYEI4dCaYyoLKXjeJwoMX/hg4T9+/gGNiK+LbIYGEMDBUIjCXOrllhL7QFIW9hUJqGGAc&#10;k1GMYiQZzHu0kmcgQp7iCYJIDQrFDhhqHq3Qb/qxETaG7qGFttaJpoWKDYJGJ2jZJO04XnEmjvcJ&#10;9P6Xsvw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tI0Ng9oAAAAMAQAADwAAAAAAAAABACAAAAAi&#10;AAAAZHJzL2Rvd25yZXYueG1sUEsBAhQAFAAAAAgAh07iQCyqJ0JBAgAAmgQAAA4AAAAAAAAAAQAg&#10;AAAAKQEAAGRycy9lMm9Eb2MueG1sUEsFBgAAAAAGAAYAWQEAANwFAAAAAA==&#10;" adj="7283,54758">
                <v:fill on="t" focussize="0,0"/>
                <v:stroke color="#000000" joinstyle="miter"/>
                <v:imagedata o:title=""/>
                <o:lock v:ext="edit" aspectratio="f"/>
                <v:textbox>
                  <w:txbxContent>
                    <w:p>
                      <w:pPr>
                        <w:jc w:val="left"/>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E</w:t>
                      </w:r>
                      <w:r>
                        <w:rPr>
                          <w:rFonts w:hint="default" w:ascii="Times New Roman" w:hAnsi="Times New Roman" w:cs="Times New Roman"/>
                          <w:color w:val="000000" w:themeColor="text1"/>
                          <w:lang w:val="en-US" w:eastAsia="zh-CN"/>
                          <w14:textFill>
                            <w14:solidFill>
                              <w14:schemeClr w14:val="tx1"/>
                            </w14:solidFill>
                          </w14:textFill>
                        </w:rPr>
                        <w:t>11</w:t>
                      </w:r>
                      <w:r>
                        <w:rPr>
                          <w:rFonts w:hint="eastAsia"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17.855</w:t>
                      </w:r>
                      <w:r>
                        <w:rPr>
                          <w:rFonts w:hint="default" w:ascii="Times New Roman" w:hAnsi="Times New Roman" w:cs="Times New Roman"/>
                          <w:color w:val="000000" w:themeColor="text1"/>
                          <w:lang w:val="en-US" w:eastAsia="zh-CN"/>
                          <w14:textFill>
                            <w14:solidFill>
                              <w14:schemeClr w14:val="tx1"/>
                            </w14:solidFill>
                          </w14:textFill>
                        </w:rPr>
                        <w:t>″</w:t>
                      </w:r>
                    </w:p>
                    <w:p>
                      <w:pPr>
                        <w:jc w:val="left"/>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N</w:t>
                      </w:r>
                      <w:r>
                        <w:rPr>
                          <w:rFonts w:hint="default" w:ascii="Times New Roman" w:hAnsi="Times New Roman" w:cs="Times New Roman"/>
                          <w:color w:val="000000" w:themeColor="text1"/>
                          <w:lang w:val="en-US" w:eastAsia="zh-CN"/>
                          <w14:textFill>
                            <w14:solidFill>
                              <w14:schemeClr w14:val="tx1"/>
                            </w14:solidFill>
                          </w14:textFill>
                        </w:rPr>
                        <w:t>33°</w:t>
                      </w:r>
                      <w:r>
                        <w:rPr>
                          <w:rFonts w:hint="eastAsia" w:ascii="Times New Roman" w:hAnsi="Times New Roman" w:cs="Times New Roman"/>
                          <w:color w:val="000000" w:themeColor="text1"/>
                          <w:lang w:val="en-US" w:eastAsia="zh-CN"/>
                          <w14:textFill>
                            <w14:solidFill>
                              <w14:schemeClr w14:val="tx1"/>
                            </w14:solidFill>
                          </w14:textFill>
                        </w:rPr>
                        <w:t>33</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2.287</w:t>
                      </w:r>
                      <w:r>
                        <w:rPr>
                          <w:rFonts w:hint="default" w:ascii="Times New Roman" w:hAnsi="Times New Roman" w:cs="Times New Roman"/>
                          <w:color w:val="000000" w:themeColor="text1"/>
                          <w:lang w:val="en-US" w:eastAsia="zh-CN"/>
                          <w14:textFill>
                            <w14:solidFill>
                              <w14:schemeClr w14:val="tx1"/>
                            </w14:solidFill>
                          </w14:textFill>
                        </w:rPr>
                        <w:t>″</w:t>
                      </w:r>
                    </w:p>
                  </w:txbxContent>
                </v:textbox>
              </v:shape>
            </w:pict>
          </mc:Fallback>
        </mc:AlternateContent>
      </w:r>
      <w:r>
        <w:rPr>
          <w:rFonts w:hint="default" w:ascii="Times New Roman" w:hAnsi="Times New Roman" w:cs="Times New Roman" w:eastAsiaTheme="minorEastAsia"/>
          <w:lang w:eastAsia="zh-CN"/>
        </w:rPr>
        <w:drawing>
          <wp:anchor distT="0" distB="0" distL="114935" distR="114935" simplePos="0" relativeHeight="251696128" behindDoc="0" locked="0" layoutInCell="1" allowOverlap="1">
            <wp:simplePos x="0" y="0"/>
            <wp:positionH relativeFrom="column">
              <wp:posOffset>8021320</wp:posOffset>
            </wp:positionH>
            <wp:positionV relativeFrom="paragraph">
              <wp:posOffset>323215</wp:posOffset>
            </wp:positionV>
            <wp:extent cx="807720" cy="1470660"/>
            <wp:effectExtent l="0" t="0" r="11430" b="15240"/>
            <wp:wrapNone/>
            <wp:docPr id="62" name="图片 62" descr="758c258000b06c6fa103a3b8a76fc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758c258000b06c6fa103a3b8a76fc00"/>
                    <pic:cNvPicPr>
                      <a:picLocks noChangeAspect="1"/>
                    </pic:cNvPicPr>
                  </pic:nvPicPr>
                  <pic:blipFill>
                    <a:blip r:embed="rId34"/>
                    <a:stretch>
                      <a:fillRect/>
                    </a:stretch>
                  </pic:blipFill>
                  <pic:spPr>
                    <a:xfrm>
                      <a:off x="0" y="0"/>
                      <a:ext cx="807720" cy="1470660"/>
                    </a:xfrm>
                    <a:prstGeom prst="rect">
                      <a:avLst/>
                    </a:prstGeom>
                  </pic:spPr>
                </pic:pic>
              </a:graphicData>
            </a:graphic>
          </wp:anchor>
        </w:drawing>
      </w:r>
      <w:r>
        <w:rPr>
          <w:rFonts w:hint="default" w:ascii="Times New Roman" w:hAnsi="Times New Roman" w:cs="Times New Roman"/>
          <w:sz w:val="21"/>
        </w:rPr>
        <mc:AlternateContent>
          <mc:Choice Requires="wps">
            <w:drawing>
              <wp:anchor distT="0" distB="0" distL="114300" distR="114300" simplePos="0" relativeHeight="251692032" behindDoc="0" locked="0" layoutInCell="1" allowOverlap="1">
                <wp:simplePos x="0" y="0"/>
                <wp:positionH relativeFrom="column">
                  <wp:posOffset>5728970</wp:posOffset>
                </wp:positionH>
                <wp:positionV relativeFrom="paragraph">
                  <wp:posOffset>4173855</wp:posOffset>
                </wp:positionV>
                <wp:extent cx="107950" cy="107950"/>
                <wp:effectExtent l="12700" t="12700" r="12700" b="12700"/>
                <wp:wrapNone/>
                <wp:docPr id="57" name="矩形 57"/>
                <wp:cNvGraphicFramePr/>
                <a:graphic xmlns:a="http://schemas.openxmlformats.org/drawingml/2006/main">
                  <a:graphicData uri="http://schemas.microsoft.com/office/word/2010/wordprocessingShape">
                    <wps:wsp>
                      <wps:cNvSpPr/>
                      <wps:spPr>
                        <a:xfrm>
                          <a:off x="5860415" y="4011295"/>
                          <a:ext cx="107950" cy="10795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1.1pt;margin-top:328.65pt;height:8.5pt;width:8.5pt;z-index:251692032;v-text-anchor:middle;mso-width-relative:page;mso-height-relative:page;" fillcolor="#FF0000" filled="t" stroked="t" coordsize="21600,21600" o:gfxdata="UEsDBAoAAAAAAIdO4kAAAAAAAAAAAAAAAAAEAAAAZHJzL1BLAwQUAAAACACHTuJAzcNn/9kAAAAL&#10;AQAADwAAAGRycy9kb3ducmV2LnhtbE2PwU6DQBCG7ya+w2ZMerO7UC0FWXpobBq9WT30uIUREHaW&#10;sEupb+940uP88+Wfb/Lt1fbigqNvHWmIlgoEUumqlmoNH+/7+w0IHwxVpneEGr7Rw7a4vclNVrmZ&#10;3vByDLXgEvKZ0dCEMGRS+rJBa/zSDUi8+3SjNYHHsZbVaGYut72MlVpLa1riC40ZcNdg2R0nq6FL&#10;N113mHbP8T6xr/L0Uoev06z14i5STyACXsMfDL/6rA4FO53dRJUXvYZUxTGjGtaPyQoEE2mUcnLm&#10;JHlYgSxy+f+H4gdQSwMEFAAAAAgAh07iQOT4ig5qAgAA6gQAAA4AAABkcnMvZTJvRG9jLnhtbK1U&#10;zW4TMRC+I/EOlu90d6OkpVE3VdQoCKmilQri7Hjt7Er+w3ayKS+DxI2H4HEQr8Fn7/YXDj2QgzOz&#10;M/5m5psZn50ftCJ74UNnTU2ro5ISYbhtOrOt6aeP6zdvKQmRmYYpa0RNb0Wg54vXr856NxcT21rV&#10;CE8AYsK8dzVtY3Tzogi8FZqFI+uEgVFar1mE6rdF41kPdK2KSVkeF731jfOWixDwdTUY6YjoXwJo&#10;pey4WFm+08LEAdULxSJKCm3nAl3kbKUUPF5JGUQkqqaoNOYTQSBv0lkszth865lrOz6mwF6SwrOa&#10;NOsMgt5DrVhkZOe7v6B0x70NVsYjbnUxFJIZQRVV+Yybm5Y5kWsB1cHdkx7+Hyz/sL/2pGtqOjuh&#10;xDCNjv/+9uPXz+8EH8BO78IcTjfu2o9agJhKPUiv0z+KIAfcf3tcTqsZJbc1nZZVNTmdDeyKQyQc&#10;DlV5cjoD7xwOowzE4gHI+RDfCatJEmrq0bzMKdtfhji43rmkuMGqrll3SmXFbzcXypM9Q6PX6xK/&#10;FB3oT9yUIX1NJ7MpzIQzjK/E2EDUDhQEs6WEqS32gkefYz+5HV4WJCW5YqEdkskIYy7KIKXE6MBh&#10;kja2uUUHvB1GMzi+7nD/koV4zTxmEYliW+MVDqkssrejRElr/dd/fU/+GBFYKekx26jsy455QYl6&#10;bzA8p9V0CtiYlensZALFP7ZsHlvMTl9YsFrhXXA8i8k/qjtReqs/Y6mXKSpMzHDEHjgclYs47Bye&#10;BS6Wy+yGBXAsXpobxxN46qKxy120ssvdfmBnJA0rkDs6rmvascd69np4oh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M3DZ//ZAAAACwEAAA8AAAAAAAAAAQAgAAAAIgAAAGRycy9kb3ducmV2Lnht&#10;bFBLAQIUABQAAAAIAIdO4kDk+IoOagIAAOoEAAAOAAAAAAAAAAEAIAAAACgBAABkcnMvZTJvRG9j&#10;LnhtbFBLBQYAAAAABgAGAFkBAAAEBgAAAAA=&#10;">
                <v:fill on="t" focussize="0,0"/>
                <v:stroke weight="2pt" color="#FF0000 [3204]" joinstyle="round"/>
                <v:imagedata o:title=""/>
                <o:lock v:ext="edit" aspectratio="f"/>
              </v:rect>
            </w:pict>
          </mc:Fallback>
        </mc:AlternateContent>
      </w:r>
      <w:r>
        <w:rPr>
          <w:rFonts w:hint="default" w:ascii="Times New Roman" w:hAnsi="Times New Roman" w:cs="Times New Roman"/>
          <w:sz w:val="21"/>
        </w:rPr>
        <mc:AlternateContent>
          <mc:Choice Requires="wps">
            <w:drawing>
              <wp:anchor distT="0" distB="0" distL="114300" distR="114300" simplePos="0" relativeHeight="251693056" behindDoc="0" locked="0" layoutInCell="1" allowOverlap="1">
                <wp:simplePos x="0" y="0"/>
                <wp:positionH relativeFrom="column">
                  <wp:posOffset>2675255</wp:posOffset>
                </wp:positionH>
                <wp:positionV relativeFrom="paragraph">
                  <wp:posOffset>5268595</wp:posOffset>
                </wp:positionV>
                <wp:extent cx="3587750" cy="442595"/>
                <wp:effectExtent l="0" t="0" r="0" b="0"/>
                <wp:wrapNone/>
                <wp:docPr id="55" name="文本框 55"/>
                <wp:cNvGraphicFramePr/>
                <a:graphic xmlns:a="http://schemas.openxmlformats.org/drawingml/2006/main">
                  <a:graphicData uri="http://schemas.microsoft.com/office/word/2010/wordprocessingShape">
                    <wps:wsp>
                      <wps:cNvSpPr txBox="1"/>
                      <wps:spPr>
                        <a:xfrm>
                          <a:off x="4313555" y="6505575"/>
                          <a:ext cx="3587750" cy="4425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黑体" w:cs="Times New Roman"/>
                                <w:sz w:val="28"/>
                                <w:szCs w:val="28"/>
                                <w:lang w:val="en-US" w:eastAsia="zh-CN"/>
                              </w:rPr>
                            </w:pPr>
                            <w:r>
                              <w:rPr>
                                <w:rFonts w:hint="default" w:ascii="Times New Roman" w:hAnsi="Times New Roman" w:eastAsia="黑体" w:cs="Times New Roman"/>
                                <w:sz w:val="28"/>
                                <w:szCs w:val="28"/>
                                <w:lang w:val="en-US" w:eastAsia="zh-CN"/>
                              </w:rPr>
                              <w:t>附图</w:t>
                            </w:r>
                            <w:r>
                              <w:rPr>
                                <w:rFonts w:hint="eastAsia" w:ascii="Times New Roman" w:hAnsi="Times New Roman" w:eastAsia="黑体" w:cs="Times New Roman"/>
                                <w:sz w:val="28"/>
                                <w:szCs w:val="28"/>
                                <w:lang w:val="en-US" w:eastAsia="zh-CN"/>
                              </w:rPr>
                              <w:t>5</w:t>
                            </w:r>
                            <w:r>
                              <w:rPr>
                                <w:rFonts w:hint="default" w:ascii="Times New Roman" w:hAnsi="Times New Roman" w:eastAsia="黑体" w:cs="Times New Roman"/>
                                <w:sz w:val="28"/>
                                <w:szCs w:val="28"/>
                                <w:lang w:val="en-US" w:eastAsia="zh-CN"/>
                              </w:rPr>
                              <w:t xml:space="preserve">  漯河市生态保护红线分类管控图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0.65pt;margin-top:414.85pt;height:34.85pt;width:282.5pt;z-index:251693056;mso-width-relative:page;mso-height-relative:page;" filled="f" stroked="f" coordsize="21600,21600" o:gfxdata="UEsDBAoAAAAAAIdO4kAAAAAAAAAAAAAAAAAEAAAAZHJzL1BLAwQUAAAACACHTuJAbW/hQtwAAAAL&#10;AQAADwAAAGRycy9kb3ducmV2LnhtbE2PTU/DMAyG70j8h8hI3FjaMra2NJ1QpQkJwWFjl93cJmsr&#10;Gqc02Qf8eswJjn796PXjYnWxgziZyfeOFMSzCIShxumeWgW79/VdCsIHJI2DI6Pgy3hYlddXBeba&#10;nWljTtvQCi4hn6OCLoQxl9I3nbHoZ240xLuDmywGHqdW6gnPXG4HmUTRQlrsiS90OJqqM83H9mgV&#10;vFTrN9zUiU2/h+r59fA0fu72D0rd3sTRI4hgLuEPhl99VoeSnWp3JO3FoGCexPeMKkiTbAmCiSxd&#10;cFJzkmVzkGUh//9Q/gBQSwMEFAAAAAgAh07iQHXMa6NIAgAAdAQAAA4AAABkcnMvZTJvRG9jLnht&#10;bK1US27bMBDdF+gdCO5r+ac4MSIHbgIXBYImQFp0TVNUJIC/krQl9wDtDbLqpvueK+foI2UnadpF&#10;Ft3QQ87Tm5k3Mz4965QkW+F8Y3RBR4MhJUJzUzb6tqCfPq7eHFPiA9Mlk0aLgu6Ep2eL169OWzsX&#10;Y1MbWQpHQKL9vLUFrUOw8yzzvBaK+YGxQsNZGadYwNXdZqVjLdiVzMbD4VHWGldaZ7jwHq8XvZPu&#10;Gd1LCE1VNVxcGL5RQoee1QnJAkrydWM9XaRsq0rwcFVVXgQiC4pKQzoRBPY6ntnilM1vHbN1w/cp&#10;sJek8KwmxRqNoA9UFywwsnHNX1Sq4c54U4UBNyrrC0mKoIrR8Jk2NzWzItUCqb19EN3/P1r+YXvt&#10;SFMWNM8p0Uyh4/d33+9//Lr/+Y3gDQK11s+Bu7FAhu6t6TA2h3ePx1h3VzkVf1ERgX86GU3yyLgr&#10;6FE+zPNZYmJz0QXCAZjkx7NZji5wIKbTcX6SANkjk3U+vBNGkWgU1KGVSWG2vfQBWQF6gMTA2qwa&#10;KVM7pSYtwk5A/4cHX0iND2M9fd7RCt262xe5NuUONTrTj4m3fNUg+CXz4Zo5zAXyxeaEKxyVNAhi&#10;9hYltXFf//Ue8WgXvJS0mLOC+i8b5gQl8r1GI09G02kczHSZ5rMxLu6pZ/3Uozfq3GCUR9hRy5MZ&#10;8UEezMoZ9RkLtoxR4WKaI3ZBw8E8D/30Y0G5WC4TCKNoWbjUN5ZH6l605SaYqklKR5l6bfbqYRhT&#10;A/aLE6f96T2hHv8sFr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bW/hQtwAAAALAQAADwAAAAAA&#10;AAABACAAAAAiAAAAZHJzL2Rvd25yZXYueG1sUEsBAhQAFAAAAAgAh07iQHXMa6NIAgAAdAQAAA4A&#10;AAAAAAAAAQAgAAAAKwEAAGRycy9lMm9Eb2MueG1sUEsFBgAAAAAGAAYAWQEAAOUFAAAAAA==&#10;">
                <v:fill on="f" focussize="0,0"/>
                <v:stroke on="f" weight="0.5pt"/>
                <v:imagedata o:title=""/>
                <o:lock v:ext="edit" aspectratio="f"/>
                <v:textbox>
                  <w:txbxContent>
                    <w:p>
                      <w:pPr>
                        <w:rPr>
                          <w:rFonts w:hint="default" w:ascii="Times New Roman" w:hAnsi="Times New Roman" w:eastAsia="黑体" w:cs="Times New Roman"/>
                          <w:sz w:val="28"/>
                          <w:szCs w:val="28"/>
                          <w:lang w:val="en-US" w:eastAsia="zh-CN"/>
                        </w:rPr>
                      </w:pPr>
                      <w:r>
                        <w:rPr>
                          <w:rFonts w:hint="default" w:ascii="Times New Roman" w:hAnsi="Times New Roman" w:eastAsia="黑体" w:cs="Times New Roman"/>
                          <w:sz w:val="28"/>
                          <w:szCs w:val="28"/>
                          <w:lang w:val="en-US" w:eastAsia="zh-CN"/>
                        </w:rPr>
                        <w:t>附图</w:t>
                      </w:r>
                      <w:r>
                        <w:rPr>
                          <w:rFonts w:hint="eastAsia" w:ascii="Times New Roman" w:hAnsi="Times New Roman" w:eastAsia="黑体" w:cs="Times New Roman"/>
                          <w:sz w:val="28"/>
                          <w:szCs w:val="28"/>
                          <w:lang w:val="en-US" w:eastAsia="zh-CN"/>
                        </w:rPr>
                        <w:t>5</w:t>
                      </w:r>
                      <w:r>
                        <w:rPr>
                          <w:rFonts w:hint="default" w:ascii="Times New Roman" w:hAnsi="Times New Roman" w:eastAsia="黑体" w:cs="Times New Roman"/>
                          <w:sz w:val="28"/>
                          <w:szCs w:val="28"/>
                          <w:lang w:val="en-US" w:eastAsia="zh-CN"/>
                        </w:rPr>
                        <w:t xml:space="preserve">  漯河市生态保护红线分类管控图</w:t>
                      </w:r>
                    </w:p>
                  </w:txbxContent>
                </v:textbox>
              </v:shape>
            </w:pict>
          </mc:Fallback>
        </mc:AlternateContent>
      </w:r>
      <w:r>
        <w:rPr>
          <w:rFonts w:hint="default" w:ascii="Times New Roman" w:hAnsi="Times New Roman" w:cs="Times New Roman" w:eastAsiaTheme="minorEastAsia"/>
          <w:lang w:eastAsia="zh-CN"/>
        </w:rPr>
        <w:drawing>
          <wp:inline distT="0" distB="0" distL="114300" distR="114300">
            <wp:extent cx="8872855" cy="5732780"/>
            <wp:effectExtent l="0" t="0" r="4445" b="1270"/>
            <wp:docPr id="58" name="图片 58" descr="77c1f4910651fe072cddb67aca93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77c1f4910651fe072cddb67aca93189"/>
                    <pic:cNvPicPr>
                      <a:picLocks noChangeAspect="1"/>
                    </pic:cNvPicPr>
                  </pic:nvPicPr>
                  <pic:blipFill>
                    <a:blip r:embed="rId39"/>
                    <a:srcRect l="4343" t="2997" r="1930" b="2072"/>
                    <a:stretch>
                      <a:fillRect/>
                    </a:stretch>
                  </pic:blipFill>
                  <pic:spPr>
                    <a:xfrm>
                      <a:off x="0" y="0"/>
                      <a:ext cx="8872855" cy="5732780"/>
                    </a:xfrm>
                    <a:prstGeom prst="rect">
                      <a:avLst/>
                    </a:prstGeom>
                  </pic:spPr>
                </pic:pic>
              </a:graphicData>
            </a:graphic>
          </wp:inline>
        </w:drawing>
      </w:r>
    </w:p>
    <w:p>
      <w:pPr>
        <w:rPr>
          <w:rFonts w:hint="default" w:ascii="Times New Roman" w:hAnsi="Times New Roman" w:cs="Times New Roman" w:eastAsiaTheme="minorEastAsia"/>
          <w:lang w:eastAsia="zh-CN"/>
        </w:rPr>
        <w:sectPr>
          <w:pgSz w:w="16838" w:h="11906" w:orient="landscape"/>
          <w:pgMar w:top="1417" w:right="1440" w:bottom="1417" w:left="1440" w:header="851" w:footer="992" w:gutter="0"/>
          <w:cols w:space="425" w:num="1"/>
          <w:docGrid w:type="lines" w:linePitch="312" w:charSpace="0"/>
        </w:sectPr>
      </w:pPr>
    </w:p>
    <w:p>
      <w:pPr>
        <w:jc w:val="center"/>
        <w:rPr>
          <w:rFonts w:hint="default" w:ascii="Times New Roman" w:hAnsi="Times New Roman" w:eastAsia="宋体" w:cs="Times New Roman"/>
          <w:b/>
          <w:color w:val="auto"/>
          <w:kern w:val="2"/>
          <w:sz w:val="30"/>
          <w:szCs w:val="30"/>
          <w:lang w:val="en-US" w:eastAsia="zh-CN" w:bidi="ar-SA"/>
        </w:rPr>
      </w:pPr>
      <w:r>
        <w:rPr>
          <w:rFonts w:hint="default" w:ascii="Times New Roman" w:hAnsi="Times New Roman" w:cs="Times New Roman"/>
          <w:sz w:val="21"/>
        </w:rPr>
        <mc:AlternateContent>
          <mc:Choice Requires="wps">
            <w:drawing>
              <wp:anchor distT="0" distB="0" distL="114300" distR="114300" simplePos="0" relativeHeight="251694080" behindDoc="0" locked="0" layoutInCell="1" allowOverlap="1">
                <wp:simplePos x="0" y="0"/>
                <wp:positionH relativeFrom="column">
                  <wp:posOffset>5134610</wp:posOffset>
                </wp:positionH>
                <wp:positionV relativeFrom="paragraph">
                  <wp:posOffset>2714625</wp:posOffset>
                </wp:positionV>
                <wp:extent cx="93980" cy="76200"/>
                <wp:effectExtent l="12700" t="12700" r="26670" b="25400"/>
                <wp:wrapNone/>
                <wp:docPr id="61" name="矩形 61"/>
                <wp:cNvGraphicFramePr/>
                <a:graphic xmlns:a="http://schemas.openxmlformats.org/drawingml/2006/main">
                  <a:graphicData uri="http://schemas.microsoft.com/office/word/2010/wordprocessingShape">
                    <wps:wsp>
                      <wps:cNvSpPr/>
                      <wps:spPr>
                        <a:xfrm>
                          <a:off x="5120005" y="4036695"/>
                          <a:ext cx="93980" cy="7620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4.3pt;margin-top:213.75pt;height:6pt;width:7.4pt;z-index:251694080;v-text-anchor:middle;mso-width-relative:page;mso-height-relative:page;" fillcolor="#FF0000" filled="t" stroked="t" coordsize="21600,21600" o:gfxdata="UEsDBAoAAAAAAIdO4kAAAAAAAAAAAAAAAAAEAAAAZHJzL1BLAwQUAAAACACHTuJAt1PAY9oAAAAL&#10;AQAADwAAAGRycy9kb3ducmV2LnhtbE2PPU/DMBCGdyT+g3VIbNRu2oQ0xOmAYCEDIiB1vcZHEuGP&#10;KHbSwq/HTHS8u0fvPW+5PxvNFpr84KyE9UoAI9s6NdhOwsf7810OzAe0CrWzJOGbPOyr66sSC+VO&#10;9o2WJnQshlhfoIQ+hLHg3Lc9GfQrN5KNt083GQxxnDquJjzFcKN5IkTGDQ42fuhxpMee2q9mNhIO&#10;RnVPrX9J6/knI1x0/Zo1tZS3N2vxACzQOfzD8Kcf1aGKTkc3W+WZlpCLPIuohG1ynwKLRJ5stsCO&#10;cbPZpcCrkl92qH4BUEsDBBQAAAAIAIdO4kDNv1RkfQIAAAkFAAAOAAAAZHJzL2Uyb0RvYy54bWyt&#10;VMtu2zAQvBfoPxC8N7Idy7GNyIERw0WBoAmQFj3TFGUJ4KskbTn9mQK99SPyOUV/o0NKSZy0hxx6&#10;kXe1o1nOcNfnFwclyV443xhd0OHJgBKhuSkbvS3o50/rd1NKfGC6ZNJoUdA74enF4u2b89bOxcjU&#10;RpbCEZBoP29tQesQ7DzLPK+FYv7EWKFRrIxTLCB126x0rAW7ktloMJhkrXGldYYL7/F21RVpz+he&#10;Q2iqquFiZfhOCR06VickC5Dk68Z6ukinrSrBw3VVeRGILCiUhvREE8Sb+MwW52y+dczWDe+PwF5z&#10;hBeaFGs0mj5SrVhgZOeav6hUw53xpgon3KisE5IcgYrh4IU3tzWzImmB1d4+mu7/Hy3/uL9xpCkL&#10;OhlSopnCjf/+/vPX/Q+CF3CntX4O0K29cX3mEUaph8qp+AsR5FDQfIjbHeSU3BV0PDidTGZ55644&#10;BMIBmJ3OprCdo342ATZWsyca63x4L4wiMSiow9UlR9n+yocO+gCJXb2RTblupEyJ224upSN7hmte&#10;r3GOB/ZnMKlJW9BRPkaZcIbhrTA0CJWFAV5vKWFyi63gwaXez772x01Op/lquuxANStF1zo/7tzB&#10;k8ZnPFHFivm6+ySVeiukBjoa3lkco40p73BBznST6y1fN/j+ivlwwxxGFUqwzOEaj0oayDN9RElt&#10;3Ld/vY94TBCqlLQYfUj/umNOUCI/aMzWbDgegzakZJyfjZC448rmuKJ36tLAdowPTpfCiA/yIayc&#10;UV+w88vYFSWmOXp3JvfJZehWEv8aXCyXCYb9sCxc6VvLI3m8Zm2Wu2CqJo3Dkzu9adiQZHa/zXEF&#10;j/OEevoHW/w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t1PAY9oAAAALAQAADwAAAAAAAAABACAA&#10;AAAiAAAAZHJzL2Rvd25yZXYueG1sUEsBAhQAFAAAAAgAh07iQM2/VGR9AgAACQUAAA4AAAAAAAAA&#10;AQAgAAAAKQEAAGRycy9lMm9Eb2MueG1sUEsFBgAAAAAGAAYAWQEAABgGAAAAAA==&#10;">
                <v:fill on="t" focussize="0,0"/>
                <v:stroke weight="2pt" color="#385D8A [3204]" joinstyle="round"/>
                <v:imagedata o:title=""/>
                <o:lock v:ext="edit" aspectratio="f"/>
              </v:rect>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95104" behindDoc="0" locked="0" layoutInCell="1" allowOverlap="1">
                <wp:simplePos x="0" y="0"/>
                <wp:positionH relativeFrom="column">
                  <wp:posOffset>4799330</wp:posOffset>
                </wp:positionH>
                <wp:positionV relativeFrom="paragraph">
                  <wp:posOffset>3444875</wp:posOffset>
                </wp:positionV>
                <wp:extent cx="1162050" cy="452120"/>
                <wp:effectExtent l="4445" t="717550" r="14605" b="11430"/>
                <wp:wrapNone/>
                <wp:docPr id="60" name="矩形标注 60"/>
                <wp:cNvGraphicFramePr/>
                <a:graphic xmlns:a="http://schemas.openxmlformats.org/drawingml/2006/main">
                  <a:graphicData uri="http://schemas.microsoft.com/office/word/2010/wordprocessingShape">
                    <wps:wsp>
                      <wps:cNvSpPr/>
                      <wps:spPr>
                        <a:xfrm flipV="1">
                          <a:off x="0" y="0"/>
                          <a:ext cx="1162050" cy="452120"/>
                        </a:xfrm>
                        <a:prstGeom prst="wedgeRectCallout">
                          <a:avLst>
                            <a:gd name="adj1" fmla="val -16284"/>
                            <a:gd name="adj2" fmla="val 203511"/>
                          </a:avLst>
                        </a:prstGeom>
                        <a:solidFill>
                          <a:srgbClr val="FFFFFF"/>
                        </a:solidFill>
                        <a:ln w="9525" cap="flat" cmpd="sng">
                          <a:solidFill>
                            <a:srgbClr val="000000"/>
                          </a:solidFill>
                          <a:prstDash val="solid"/>
                          <a:miter/>
                          <a:headEnd type="none" w="med" len="med"/>
                          <a:tailEnd type="none" w="med" len="med"/>
                        </a:ln>
                      </wps:spPr>
                      <wps:txbx>
                        <w:txbxContent>
                          <w:p>
                            <w:pPr>
                              <w:jc w:val="left"/>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E</w:t>
                            </w:r>
                            <w:r>
                              <w:rPr>
                                <w:rFonts w:hint="default" w:ascii="Times New Roman" w:hAnsi="Times New Roman" w:cs="Times New Roman"/>
                                <w:color w:val="000000" w:themeColor="text1"/>
                                <w:lang w:val="en-US" w:eastAsia="zh-CN"/>
                                <w14:textFill>
                                  <w14:solidFill>
                                    <w14:schemeClr w14:val="tx1"/>
                                  </w14:solidFill>
                                </w14:textFill>
                              </w:rPr>
                              <w:t>11</w:t>
                            </w:r>
                            <w:r>
                              <w:rPr>
                                <w:rFonts w:hint="eastAsia"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17.855</w:t>
                            </w:r>
                            <w:r>
                              <w:rPr>
                                <w:rFonts w:hint="default" w:ascii="Times New Roman" w:hAnsi="Times New Roman" w:cs="Times New Roman"/>
                                <w:color w:val="000000" w:themeColor="text1"/>
                                <w:lang w:val="en-US" w:eastAsia="zh-CN"/>
                                <w14:textFill>
                                  <w14:solidFill>
                                    <w14:schemeClr w14:val="tx1"/>
                                  </w14:solidFill>
                                </w14:textFill>
                              </w:rPr>
                              <w:t>″</w:t>
                            </w:r>
                          </w:p>
                          <w:p>
                            <w:pPr>
                              <w:jc w:val="left"/>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N</w:t>
                            </w:r>
                            <w:r>
                              <w:rPr>
                                <w:rFonts w:hint="default" w:ascii="Times New Roman" w:hAnsi="Times New Roman" w:cs="Times New Roman"/>
                                <w:color w:val="000000" w:themeColor="text1"/>
                                <w:lang w:val="en-US" w:eastAsia="zh-CN"/>
                                <w14:textFill>
                                  <w14:solidFill>
                                    <w14:schemeClr w14:val="tx1"/>
                                  </w14:solidFill>
                                </w14:textFill>
                              </w:rPr>
                              <w:t>33°</w:t>
                            </w:r>
                            <w:r>
                              <w:rPr>
                                <w:rFonts w:hint="eastAsia" w:ascii="Times New Roman" w:hAnsi="Times New Roman" w:cs="Times New Roman"/>
                                <w:color w:val="000000" w:themeColor="text1"/>
                                <w:lang w:val="en-US" w:eastAsia="zh-CN"/>
                                <w14:textFill>
                                  <w14:solidFill>
                                    <w14:schemeClr w14:val="tx1"/>
                                  </w14:solidFill>
                                </w14:textFill>
                              </w:rPr>
                              <w:t>33</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2.287</w:t>
                            </w:r>
                            <w:r>
                              <w:rPr>
                                <w:rFonts w:hint="default" w:ascii="Times New Roman" w:hAnsi="Times New Roman" w:cs="Times New Roman"/>
                                <w:color w:val="000000" w:themeColor="text1"/>
                                <w:lang w:val="en-US" w:eastAsia="zh-CN"/>
                                <w14:textFill>
                                  <w14:solidFill>
                                    <w14:schemeClr w14:val="tx1"/>
                                  </w14:solidFill>
                                </w14:textFill>
                              </w:rPr>
                              <w:t>″</w:t>
                            </w:r>
                          </w:p>
                        </w:txbxContent>
                      </wps:txbx>
                      <wps:bodyPr upright="1"/>
                    </wps:wsp>
                  </a:graphicData>
                </a:graphic>
              </wp:anchor>
            </w:drawing>
          </mc:Choice>
          <mc:Fallback>
            <w:pict>
              <v:shape id="_x0000_s1026" o:spid="_x0000_s1026" o:spt="61" type="#_x0000_t61" style="position:absolute;left:0pt;flip:y;margin-left:377.9pt;margin-top:271.25pt;height:35.6pt;width:91.5pt;z-index:251695104;mso-width-relative:page;mso-height-relative:page;" fillcolor="#FFFFFF" filled="t" stroked="t" coordsize="21600,21600" o:gfxdata="UEsDBAoAAAAAAIdO4kAAAAAAAAAAAAAAAAAEAAAAZHJzL1BLAwQUAAAACACHTuJA1SRLsdoAAAAL&#10;AQAADwAAAGRycy9kb3ducmV2LnhtbE2PS0/DMBCE70j8B2uRuFHHKekjZNNDEQcQVCJUPTvxkkTE&#10;6yh2H/x7zAmOOzua+abYXOwgTjT53jGCmiUgiBtnem4R9h9PdysQPmg2enBMCN/kYVNeXxU6N+7M&#10;73SqQitiCPtcI3QhjLmUvunIaj9zI3H8fbrJ6hDPqZVm0ucYbgeZJslCWt1zbOj0SNuOmq/qaBEe&#10;D6T4rX+ut5SqXTW9vO7ag0e8vVHJA4hAl/Bnhl/8iA5lZKrdkY0XA8IyyyJ6QMju0wxEdKznq6jU&#10;CAs1X4IsC/l/Q/kDUEsDBBQAAAAIAIdO4kCU2mjMPwIAAJoEAAAOAAAAZHJzL2Uyb0RvYy54bWyt&#10;VEuOEzEQ3SNxB8v7SX+YjIYonVlMCBsEIwbYO/50G/kn20knJ+AYIFawZs1xGK5B2d2EzMAiC3ph&#10;le3yq3qvqnp+tdMKbbkP0poGV5MSI26oZdK0DX77ZnV2iVGIxDCirOEN3vOArxaPH817N+O17axi&#10;3CMAMWHWuwZ3MbpZUQTacU3CxDpu4FJYr0mErW8L5kkP6FoVdVleFL31zHlLeQhwuhwu8YjoTwG0&#10;QkjKl5ZuNDdxQPVckQiUQiddwIucrRCcxldCBB6RajAwjXmFIGCv01os5mTWeuI6SccUyCkpPOCk&#10;iTQQ9AC1JJGgjZd/QWlJvQ1WxAm1uhiIZEWARVU+0Oa2I45nLiB1cAfRw/+DpS+3Nx5J1uALkMQQ&#10;DRX/+fHrj++f7z59uPv2BcExaNS7MAPXW3fjx10AMxHeCa+RUNK9g2bKEgAptMsK7w8K811EFA6r&#10;6qIupxCJwt35tK7qDF8MOAnP+RCfc6tRMhrcc9by11DGa6KU3cQcgWxfhJjVZmPKhL2vMBJaQfG2&#10;RKEziHN5Plb3yKk+dqrLJ9OqSk4Qf8QE63cGKUCwSrKVVCpvfLu+Vh5BgAav8jc+vuemDOob/HRa&#10;T4EmgQkR0JlgagcqB9NmCvdehGPgMn//Ak6JLUnohgQywsBQy8h97uSOE/bMMBT3DgppYIBxSkZz&#10;hpHiMO/Jyp6RSHWKJwiiDCiUOmCoebLibr0bG2Ft2R5aaOO8bDuo2CBocoKWzdKO45Vm4nifQf/8&#10;Uha/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UkS7HaAAAACwEAAA8AAAAAAAAAAQAgAAAAIgAA&#10;AGRycy9kb3ducmV2LnhtbFBLAQIUABQAAAAIAIdO4kCU2mjMPwIAAJoEAAAOAAAAAAAAAAEAIAAA&#10;ACkBAABkcnMvZTJvRG9jLnhtbFBLBQYAAAAABgAGAFkBAADaBQAAAAA=&#10;" adj="7283,54758">
                <v:fill on="t" focussize="0,0"/>
                <v:stroke color="#000000" joinstyle="miter"/>
                <v:imagedata o:title=""/>
                <o:lock v:ext="edit" aspectratio="f"/>
                <v:textbox>
                  <w:txbxContent>
                    <w:p>
                      <w:pPr>
                        <w:jc w:val="left"/>
                        <w:rPr>
                          <w:rFonts w:hint="default" w:ascii="Times New Roman" w:hAnsi="Times New Roman"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E</w:t>
                      </w:r>
                      <w:r>
                        <w:rPr>
                          <w:rFonts w:hint="default" w:ascii="Times New Roman" w:hAnsi="Times New Roman" w:cs="Times New Roman"/>
                          <w:color w:val="000000" w:themeColor="text1"/>
                          <w:lang w:val="en-US" w:eastAsia="zh-CN"/>
                          <w14:textFill>
                            <w14:solidFill>
                              <w14:schemeClr w14:val="tx1"/>
                            </w14:solidFill>
                          </w14:textFill>
                        </w:rPr>
                        <w:t>11</w:t>
                      </w:r>
                      <w:r>
                        <w:rPr>
                          <w:rFonts w:hint="eastAsia"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4</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17.855</w:t>
                      </w:r>
                      <w:r>
                        <w:rPr>
                          <w:rFonts w:hint="default" w:ascii="Times New Roman" w:hAnsi="Times New Roman" w:cs="Times New Roman"/>
                          <w:color w:val="000000" w:themeColor="text1"/>
                          <w:lang w:val="en-US" w:eastAsia="zh-CN"/>
                          <w14:textFill>
                            <w14:solidFill>
                              <w14:schemeClr w14:val="tx1"/>
                            </w14:solidFill>
                          </w14:textFill>
                        </w:rPr>
                        <w:t>″</w:t>
                      </w:r>
                    </w:p>
                    <w:p>
                      <w:pPr>
                        <w:jc w:val="left"/>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cs="Times New Roman"/>
                          <w:color w:val="000000" w:themeColor="text1"/>
                          <w:lang w:val="en-US" w:eastAsia="zh-CN"/>
                          <w14:textFill>
                            <w14:solidFill>
                              <w14:schemeClr w14:val="tx1"/>
                            </w14:solidFill>
                          </w14:textFill>
                        </w:rPr>
                        <w:t>N</w:t>
                      </w:r>
                      <w:r>
                        <w:rPr>
                          <w:rFonts w:hint="default" w:ascii="Times New Roman" w:hAnsi="Times New Roman" w:cs="Times New Roman"/>
                          <w:color w:val="000000" w:themeColor="text1"/>
                          <w:lang w:val="en-US" w:eastAsia="zh-CN"/>
                          <w14:textFill>
                            <w14:solidFill>
                              <w14:schemeClr w14:val="tx1"/>
                            </w14:solidFill>
                          </w14:textFill>
                        </w:rPr>
                        <w:t>33°</w:t>
                      </w:r>
                      <w:r>
                        <w:rPr>
                          <w:rFonts w:hint="eastAsia" w:ascii="Times New Roman" w:hAnsi="Times New Roman" w:cs="Times New Roman"/>
                          <w:color w:val="000000" w:themeColor="text1"/>
                          <w:lang w:val="en-US" w:eastAsia="zh-CN"/>
                          <w14:textFill>
                            <w14:solidFill>
                              <w14:schemeClr w14:val="tx1"/>
                            </w14:solidFill>
                          </w14:textFill>
                        </w:rPr>
                        <w:t>33</w:t>
                      </w:r>
                      <w:r>
                        <w:rPr>
                          <w:rFonts w:hint="default" w:ascii="Times New Roman" w:hAnsi="Times New Roman" w:cs="Times New Roman"/>
                          <w:color w:val="000000" w:themeColor="text1"/>
                          <w:lang w:val="en-US" w:eastAsia="zh-CN"/>
                          <w14:textFill>
                            <w14:solidFill>
                              <w14:schemeClr w14:val="tx1"/>
                            </w14:solidFill>
                          </w14:textFill>
                        </w:rPr>
                        <w:t>′</w:t>
                      </w:r>
                      <w:r>
                        <w:rPr>
                          <w:rFonts w:hint="eastAsia" w:ascii="Times New Roman" w:hAnsi="Times New Roman" w:cs="Times New Roman"/>
                          <w:color w:val="000000" w:themeColor="text1"/>
                          <w:lang w:val="en-US" w:eastAsia="zh-CN"/>
                          <w14:textFill>
                            <w14:solidFill>
                              <w14:schemeClr w14:val="tx1"/>
                            </w14:solidFill>
                          </w14:textFill>
                        </w:rPr>
                        <w:t>2.287</w:t>
                      </w:r>
                      <w:r>
                        <w:rPr>
                          <w:rFonts w:hint="default" w:ascii="Times New Roman" w:hAnsi="Times New Roman" w:cs="Times New Roman"/>
                          <w:color w:val="000000" w:themeColor="text1"/>
                          <w:lang w:val="en-US" w:eastAsia="zh-CN"/>
                          <w14:textFill>
                            <w14:solidFill>
                              <w14:schemeClr w14:val="tx1"/>
                            </w14:solidFill>
                          </w14:textFill>
                        </w:rPr>
                        <w:t>″</w:t>
                      </w:r>
                    </w:p>
                  </w:txbxContent>
                </v:textbox>
              </v:shape>
            </w:pict>
          </mc:Fallback>
        </mc:AlternateContent>
      </w:r>
      <w:r>
        <w:rPr>
          <w:rFonts w:hint="default" w:ascii="Times New Roman" w:hAnsi="Times New Roman" w:cs="Times New Roman" w:eastAsiaTheme="minorEastAsia"/>
          <w:lang w:eastAsia="zh-CN"/>
        </w:rPr>
        <w:drawing>
          <wp:anchor distT="0" distB="0" distL="114935" distR="114935" simplePos="0" relativeHeight="251697152" behindDoc="0" locked="0" layoutInCell="1" allowOverlap="1">
            <wp:simplePos x="0" y="0"/>
            <wp:positionH relativeFrom="column">
              <wp:posOffset>8035925</wp:posOffset>
            </wp:positionH>
            <wp:positionV relativeFrom="paragraph">
              <wp:posOffset>22225</wp:posOffset>
            </wp:positionV>
            <wp:extent cx="807720" cy="1470660"/>
            <wp:effectExtent l="0" t="0" r="11430" b="15240"/>
            <wp:wrapNone/>
            <wp:docPr id="63" name="图片 63" descr="758c258000b06c6fa103a3b8a76fc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758c258000b06c6fa103a3b8a76fc00"/>
                    <pic:cNvPicPr>
                      <a:picLocks noChangeAspect="1"/>
                    </pic:cNvPicPr>
                  </pic:nvPicPr>
                  <pic:blipFill>
                    <a:blip r:embed="rId34"/>
                    <a:stretch>
                      <a:fillRect/>
                    </a:stretch>
                  </pic:blipFill>
                  <pic:spPr>
                    <a:xfrm>
                      <a:off x="0" y="0"/>
                      <a:ext cx="807720" cy="1470660"/>
                    </a:xfrm>
                    <a:prstGeom prst="rect">
                      <a:avLst/>
                    </a:prstGeom>
                  </pic:spPr>
                </pic:pic>
              </a:graphicData>
            </a:graphic>
          </wp:anchor>
        </w:drawing>
      </w:r>
      <w:r>
        <w:rPr>
          <w:rFonts w:hint="default" w:ascii="Times New Roman" w:hAnsi="Times New Roman" w:cs="Times New Roman"/>
        </w:rPr>
        <w:drawing>
          <wp:inline distT="0" distB="0" distL="114300" distR="114300">
            <wp:extent cx="8853170" cy="4528820"/>
            <wp:effectExtent l="0" t="0" r="5080" b="5080"/>
            <wp:docPr id="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
                    <pic:cNvPicPr>
                      <a:picLocks noChangeAspect="1"/>
                    </pic:cNvPicPr>
                  </pic:nvPicPr>
                  <pic:blipFill>
                    <a:blip r:embed="rId40"/>
                    <a:stretch>
                      <a:fillRect/>
                    </a:stretch>
                  </pic:blipFill>
                  <pic:spPr>
                    <a:xfrm>
                      <a:off x="0" y="0"/>
                      <a:ext cx="8853170" cy="4528820"/>
                    </a:xfrm>
                    <a:prstGeom prst="rect">
                      <a:avLst/>
                    </a:prstGeom>
                    <a:noFill/>
                    <a:ln>
                      <a:noFill/>
                    </a:ln>
                  </pic:spPr>
                </pic:pic>
              </a:graphicData>
            </a:graphic>
          </wp:inline>
        </w:drawing>
      </w:r>
      <w:r>
        <w:rPr>
          <w:rFonts w:hint="default" w:ascii="Times New Roman" w:hAnsi="Times New Roman" w:eastAsia="宋体" w:cs="Times New Roman"/>
          <w:b/>
          <w:color w:val="auto"/>
          <w:kern w:val="2"/>
          <w:sz w:val="30"/>
          <w:szCs w:val="30"/>
          <w:lang w:val="en-US" w:eastAsia="zh-CN" w:bidi="ar-SA"/>
        </w:rPr>
        <w:t>附图6     漯河市三线一单位置关系图</w:t>
      </w:r>
    </w:p>
    <w:p>
      <w:pPr>
        <w:rPr>
          <w:rFonts w:hint="default" w:ascii="Times New Roman" w:hAnsi="Times New Roman" w:cs="Times New Roman" w:eastAsiaTheme="minorEastAsia"/>
          <w:lang w:eastAsia="zh-CN"/>
        </w:rPr>
        <w:sectPr>
          <w:pgSz w:w="16838" w:h="11906" w:orient="landscape"/>
          <w:pgMar w:top="1417" w:right="1440" w:bottom="1417" w:left="1440" w:header="851" w:footer="992" w:gutter="0"/>
          <w:cols w:space="425" w:num="1"/>
          <w:docGrid w:type="lines" w:linePitch="312" w:charSpace="0"/>
        </w:sectPr>
      </w:pP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36"/>
        <w:gridCol w:w="43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tcPr>
          <w:p>
            <w:pPr>
              <w:rPr>
                <w:rFonts w:hint="default" w:ascii="Times New Roman" w:hAnsi="Times New Roman" w:cs="Times New Roman"/>
                <w:vertAlign w:val="baseline"/>
                <w:lang w:val="en-US" w:eastAsia="zh-CN"/>
              </w:rPr>
            </w:pPr>
            <w:r>
              <w:rPr>
                <w:rFonts w:hint="default" w:ascii="Times New Roman" w:hAnsi="Times New Roman" w:cs="Times New Roman"/>
                <w:lang w:val="en-US" w:eastAsia="zh-CN"/>
              </w:rPr>
              <w:drawing>
                <wp:inline distT="0" distB="0" distL="114300" distR="114300">
                  <wp:extent cx="2548890" cy="2458085"/>
                  <wp:effectExtent l="0" t="0" r="3810" b="18415"/>
                  <wp:docPr id="44" name="图片 44" descr="IMG_20230909_14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IMG_20230909_143143"/>
                          <pic:cNvPicPr>
                            <a:picLocks noChangeAspect="1"/>
                          </pic:cNvPicPr>
                        </pic:nvPicPr>
                        <pic:blipFill>
                          <a:blip r:embed="rId41"/>
                          <a:srcRect t="16051" b="14910"/>
                          <a:stretch>
                            <a:fillRect/>
                          </a:stretch>
                        </pic:blipFill>
                        <pic:spPr>
                          <a:xfrm>
                            <a:off x="0" y="0"/>
                            <a:ext cx="2548890" cy="2458085"/>
                          </a:xfrm>
                          <a:prstGeom prst="rect">
                            <a:avLst/>
                          </a:prstGeom>
                        </pic:spPr>
                      </pic:pic>
                    </a:graphicData>
                  </a:graphic>
                </wp:inline>
              </w:drawing>
            </w:r>
          </w:p>
        </w:tc>
        <w:tc>
          <w:tcPr>
            <w:tcW w:w="4320" w:type="dxa"/>
          </w:tcPr>
          <w:p>
            <w:pPr>
              <w:rPr>
                <w:rFonts w:hint="default" w:ascii="Times New Roman" w:hAnsi="Times New Roman" w:cs="Times New Roman"/>
                <w:vertAlign w:val="baseline"/>
                <w:lang w:val="en-US" w:eastAsia="zh-CN"/>
              </w:rPr>
            </w:pPr>
            <w:r>
              <w:rPr>
                <w:rFonts w:hint="default" w:ascii="Times New Roman" w:hAnsi="Times New Roman" w:cs="Times New Roman"/>
                <w:lang w:val="en-US" w:eastAsia="zh-CN"/>
              </w:rPr>
              <w:drawing>
                <wp:inline distT="0" distB="0" distL="114300" distR="114300">
                  <wp:extent cx="2619375" cy="2410460"/>
                  <wp:effectExtent l="0" t="0" r="9525" b="8890"/>
                  <wp:docPr id="51" name="图片 51" descr="IMG_20230909_14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MG_20230909_143224"/>
                          <pic:cNvPicPr>
                            <a:picLocks noChangeAspect="1"/>
                          </pic:cNvPicPr>
                        </pic:nvPicPr>
                        <pic:blipFill>
                          <a:blip r:embed="rId42"/>
                          <a:srcRect t="2667" b="18838"/>
                          <a:stretch>
                            <a:fillRect/>
                          </a:stretch>
                        </pic:blipFill>
                        <pic:spPr>
                          <a:xfrm>
                            <a:off x="0" y="0"/>
                            <a:ext cx="2619375" cy="24104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tcPr>
          <w:p>
            <w:pPr>
              <w:rPr>
                <w:rFonts w:hint="default" w:ascii="Times New Roman" w:hAnsi="Times New Roman" w:cs="Times New Roman"/>
                <w:vertAlign w:val="baseline"/>
                <w:lang w:val="en-US" w:eastAsia="zh-CN"/>
              </w:rPr>
            </w:pPr>
            <w:r>
              <w:rPr>
                <w:rFonts w:hint="default" w:ascii="Times New Roman" w:hAnsi="Times New Roman" w:cs="Times New Roman"/>
                <w:lang w:val="en-US" w:eastAsia="zh-CN"/>
              </w:rPr>
              <w:t xml:space="preserve">加油站东侧林地 </w:t>
            </w:r>
          </w:p>
        </w:tc>
        <w:tc>
          <w:tcPr>
            <w:tcW w:w="4320" w:type="dxa"/>
          </w:tcPr>
          <w:p>
            <w:pPr>
              <w:rPr>
                <w:rFonts w:hint="default" w:ascii="Times New Roman" w:hAnsi="Times New Roman" w:cs="Times New Roman"/>
                <w:vertAlign w:val="baseline"/>
                <w:lang w:val="en-US" w:eastAsia="zh-CN"/>
              </w:rPr>
            </w:pPr>
            <w:r>
              <w:rPr>
                <w:rFonts w:hint="default" w:ascii="Times New Roman" w:hAnsi="Times New Roman" w:cs="Times New Roman"/>
                <w:lang w:val="en-US" w:eastAsia="zh-CN"/>
              </w:rPr>
              <w:t>加油站西侧林地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tcPr>
          <w:p>
            <w:pPr>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drawing>
                <wp:inline distT="0" distB="0" distL="114300" distR="114300">
                  <wp:extent cx="2501900" cy="2273935"/>
                  <wp:effectExtent l="0" t="0" r="12700" b="12065"/>
                  <wp:docPr id="52" name="图片 52" descr="IMG_20230909_14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20230909_143245"/>
                          <pic:cNvPicPr>
                            <a:picLocks noChangeAspect="1"/>
                          </pic:cNvPicPr>
                        </pic:nvPicPr>
                        <pic:blipFill>
                          <a:blip r:embed="rId43"/>
                          <a:srcRect b="31829"/>
                          <a:stretch>
                            <a:fillRect/>
                          </a:stretch>
                        </pic:blipFill>
                        <pic:spPr>
                          <a:xfrm>
                            <a:off x="0" y="0"/>
                            <a:ext cx="2501900" cy="2273935"/>
                          </a:xfrm>
                          <a:prstGeom prst="rect">
                            <a:avLst/>
                          </a:prstGeom>
                        </pic:spPr>
                      </pic:pic>
                    </a:graphicData>
                  </a:graphic>
                </wp:inline>
              </w:drawing>
            </w:r>
          </w:p>
        </w:tc>
        <w:tc>
          <w:tcPr>
            <w:tcW w:w="4320" w:type="dxa"/>
          </w:tcPr>
          <w:p>
            <w:pPr>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drawing>
                <wp:inline distT="0" distB="0" distL="114300" distR="114300">
                  <wp:extent cx="2580640" cy="2297430"/>
                  <wp:effectExtent l="0" t="0" r="10160" b="7620"/>
                  <wp:docPr id="53" name="图片 53" descr="IMG_20230909_14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IMG_20230909_143505"/>
                          <pic:cNvPicPr>
                            <a:picLocks noChangeAspect="1"/>
                          </pic:cNvPicPr>
                        </pic:nvPicPr>
                        <pic:blipFill>
                          <a:blip r:embed="rId44"/>
                          <a:srcRect t="22240" b="6930"/>
                          <a:stretch>
                            <a:fillRect/>
                          </a:stretch>
                        </pic:blipFill>
                        <pic:spPr>
                          <a:xfrm>
                            <a:off x="0" y="0"/>
                            <a:ext cx="2580640" cy="22974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tcPr>
          <w:p>
            <w:pPr>
              <w:jc w:val="center"/>
              <w:rPr>
                <w:rFonts w:hint="default" w:ascii="Times New Roman" w:hAnsi="Times New Roman" w:cs="Times New Roman"/>
                <w:vertAlign w:val="baseline"/>
                <w:lang w:val="en-US" w:eastAsia="zh-CN"/>
              </w:rPr>
            </w:pPr>
            <w:r>
              <w:rPr>
                <w:rFonts w:hint="default" w:ascii="Times New Roman" w:hAnsi="Times New Roman" w:cs="Times New Roman"/>
                <w:lang w:val="en-US" w:eastAsia="zh-CN"/>
              </w:rPr>
              <w:t>加油站北侧原漳江路</w:t>
            </w:r>
          </w:p>
        </w:tc>
        <w:tc>
          <w:tcPr>
            <w:tcW w:w="4320" w:type="dxa"/>
          </w:tcPr>
          <w:p>
            <w:pPr>
              <w:jc w:val="center"/>
              <w:rPr>
                <w:rFonts w:hint="default" w:ascii="Times New Roman" w:hAnsi="Times New Roman" w:cs="Times New Roman"/>
                <w:vertAlign w:val="baseline"/>
                <w:lang w:val="en-US" w:eastAsia="zh-CN"/>
              </w:rPr>
            </w:pPr>
            <w:r>
              <w:rPr>
                <w:rFonts w:hint="default" w:ascii="Times New Roman" w:hAnsi="Times New Roman" w:cs="Times New Roman"/>
                <w:lang w:val="en-US" w:eastAsia="zh-CN"/>
              </w:rPr>
              <w:t>加油站南侧南环路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2" w:type="dxa"/>
          </w:tcPr>
          <w:p>
            <w:pPr>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drawing>
                <wp:inline distT="0" distB="0" distL="114300" distR="114300">
                  <wp:extent cx="2518410" cy="2861310"/>
                  <wp:effectExtent l="0" t="0" r="15240" b="15240"/>
                  <wp:docPr id="56" name="图片 56" descr="IMG_20230905_164036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IMG_20230905_164036104"/>
                          <pic:cNvPicPr>
                            <a:picLocks noChangeAspect="1"/>
                          </pic:cNvPicPr>
                        </pic:nvPicPr>
                        <pic:blipFill>
                          <a:blip r:embed="rId45"/>
                          <a:srcRect t="8926"/>
                          <a:stretch>
                            <a:fillRect/>
                          </a:stretch>
                        </pic:blipFill>
                        <pic:spPr>
                          <a:xfrm>
                            <a:off x="0" y="0"/>
                            <a:ext cx="2518410" cy="2861310"/>
                          </a:xfrm>
                          <a:prstGeom prst="rect">
                            <a:avLst/>
                          </a:prstGeom>
                        </pic:spPr>
                      </pic:pic>
                    </a:graphicData>
                  </a:graphic>
                </wp:inline>
              </w:drawing>
            </w:r>
          </w:p>
        </w:tc>
        <w:tc>
          <w:tcPr>
            <w:tcW w:w="4320" w:type="dxa"/>
          </w:tcPr>
          <w:p>
            <w:pPr>
              <w:rPr>
                <w:rFonts w:hint="default" w:ascii="Times New Roman" w:hAnsi="Times New Roman" w:cs="Times New Roman"/>
                <w:vertAlign w:val="baseline"/>
                <w:lang w:val="en-US" w:eastAsia="zh-CN"/>
              </w:rPr>
            </w:pPr>
            <w:r>
              <w:rPr>
                <w:rFonts w:hint="default" w:ascii="Times New Roman" w:hAnsi="Times New Roman" w:cs="Times New Roman"/>
                <w:vertAlign w:val="baseline"/>
                <w:lang w:val="en-US" w:eastAsia="zh-CN"/>
              </w:rPr>
              <w:drawing>
                <wp:inline distT="0" distB="0" distL="114300" distR="114300">
                  <wp:extent cx="2588260" cy="2860040"/>
                  <wp:effectExtent l="0" t="0" r="2540" b="16510"/>
                  <wp:docPr id="64" name="图片 64" descr="IMG_20230905_164124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IMG_20230905_164124258"/>
                          <pic:cNvPicPr>
                            <a:picLocks noChangeAspect="1"/>
                          </pic:cNvPicPr>
                        </pic:nvPicPr>
                        <pic:blipFill>
                          <a:blip r:embed="rId46"/>
                          <a:srcRect t="1336"/>
                          <a:stretch>
                            <a:fillRect/>
                          </a:stretch>
                        </pic:blipFill>
                        <pic:spPr>
                          <a:xfrm>
                            <a:off x="0" y="0"/>
                            <a:ext cx="2588260" cy="286004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Pr>
          <w:p>
            <w:pPr>
              <w:jc w:val="center"/>
              <w:rPr>
                <w:rFonts w:hint="default" w:ascii="Times New Roman" w:hAnsi="Times New Roman" w:cs="Times New Roman"/>
                <w:vertAlign w:val="baseline"/>
                <w:lang w:val="en-US" w:eastAsia="zh-CN"/>
              </w:rPr>
            </w:pPr>
            <w:r>
              <w:rPr>
                <w:rFonts w:hint="default" w:ascii="Times New Roman" w:hAnsi="Times New Roman" w:cs="Times New Roman"/>
                <w:sz w:val="21"/>
              </w:rPr>
              <mc:AlternateContent>
                <mc:Choice Requires="wps">
                  <w:drawing>
                    <wp:anchor distT="0" distB="0" distL="114300" distR="114300" simplePos="0" relativeHeight="251666432" behindDoc="0" locked="0" layoutInCell="1" allowOverlap="1">
                      <wp:simplePos x="0" y="0"/>
                      <wp:positionH relativeFrom="column">
                        <wp:posOffset>2016760</wp:posOffset>
                      </wp:positionH>
                      <wp:positionV relativeFrom="paragraph">
                        <wp:posOffset>107950</wp:posOffset>
                      </wp:positionV>
                      <wp:extent cx="1622425" cy="409575"/>
                      <wp:effectExtent l="0" t="0" r="0" b="0"/>
                      <wp:wrapNone/>
                      <wp:docPr id="65" name="文本框 65"/>
                      <wp:cNvGraphicFramePr/>
                      <a:graphic xmlns:a="http://schemas.openxmlformats.org/drawingml/2006/main">
                        <a:graphicData uri="http://schemas.microsoft.com/office/word/2010/wordprocessingShape">
                          <wps:wsp>
                            <wps:cNvSpPr txBox="1"/>
                            <wps:spPr>
                              <a:xfrm>
                                <a:off x="2946400" y="9277350"/>
                                <a:ext cx="1622425" cy="409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Times New Roman" w:hAnsi="Times New Roman" w:eastAsia="黑体" w:cs="Times New Roman"/>
                                      <w:sz w:val="28"/>
                                      <w:szCs w:val="28"/>
                                      <w:lang w:val="en-US" w:eastAsia="zh-CN"/>
                                    </w:rPr>
                                  </w:pPr>
                                  <w:r>
                                    <w:rPr>
                                      <w:rFonts w:hint="default" w:ascii="Times New Roman" w:hAnsi="Times New Roman" w:eastAsia="黑体" w:cs="Times New Roman"/>
                                      <w:sz w:val="28"/>
                                      <w:szCs w:val="28"/>
                                      <w:lang w:val="en-US" w:eastAsia="zh-CN"/>
                                    </w:rPr>
                                    <w:t>附图</w:t>
                                  </w:r>
                                  <w:r>
                                    <w:rPr>
                                      <w:rFonts w:hint="eastAsia" w:ascii="Times New Roman" w:hAnsi="Times New Roman" w:eastAsia="黑体" w:cs="Times New Roman"/>
                                      <w:sz w:val="28"/>
                                      <w:szCs w:val="28"/>
                                      <w:lang w:val="en-US" w:eastAsia="zh-CN"/>
                                    </w:rPr>
                                    <w:t>7</w:t>
                                  </w:r>
                                  <w:r>
                                    <w:rPr>
                                      <w:rFonts w:hint="default" w:ascii="Times New Roman" w:hAnsi="Times New Roman" w:eastAsia="黑体" w:cs="Times New Roman"/>
                                      <w:sz w:val="28"/>
                                      <w:szCs w:val="28"/>
                                      <w:lang w:val="en-US" w:eastAsia="zh-CN"/>
                                    </w:rPr>
                                    <w:t xml:space="preserve"> </w:t>
                                  </w:r>
                                  <w:r>
                                    <w:rPr>
                                      <w:rFonts w:hint="eastAsia" w:ascii="Times New Roman" w:hAnsi="Times New Roman" w:eastAsia="黑体" w:cs="Times New Roman"/>
                                      <w:sz w:val="28"/>
                                      <w:szCs w:val="28"/>
                                      <w:lang w:val="en-US" w:eastAsia="zh-CN"/>
                                    </w:rPr>
                                    <w:t xml:space="preserve"> </w:t>
                                  </w:r>
                                  <w:r>
                                    <w:rPr>
                                      <w:rFonts w:hint="default" w:ascii="Times New Roman" w:hAnsi="Times New Roman" w:eastAsia="黑体" w:cs="Times New Roman"/>
                                      <w:sz w:val="28"/>
                                      <w:szCs w:val="28"/>
                                      <w:lang w:val="en-US" w:eastAsia="zh-CN"/>
                                    </w:rPr>
                                    <w:t>现场照片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8.8pt;margin-top:8.5pt;height:32.25pt;width:127.75pt;z-index:251666432;mso-width-relative:page;mso-height-relative:page;" filled="f" stroked="f" coordsize="21600,21600" o:gfxdata="UEsDBAoAAAAAAIdO4kAAAAAAAAAAAAAAAAAEAAAAZHJzL1BLAwQUAAAACACHTuJAeNGuiNoAAAAJ&#10;AQAADwAAAGRycy9kb3ducmV2LnhtbE2Py07DMBBF90j9B2sqsaOOW6WJQpwKRaqQECxaumE3id0k&#10;wo8Quw/4eoYVXY7u0Z1zy83VGnbWUxi8kyAWCTDtWq8G10k4vG8fcmAholNovNMSvnWATTW7K7FQ&#10;/uJ2+ryPHaMSFwqU0Mc4FpyHttcWw8KP2lF29JPFSOfUcTXhhcqt4cskWXOLg6MPPY667nX7uT9Z&#10;CS/19g13zdLmP6Z+fj0+jV+Hj1TK+7lIHoFFfY3/MPzpkzpU5NT4k1OBGQkrka0JpSCjTQSk2UoA&#10;ayTkIgVelfx2QfULUEsDBBQAAAAIAIdO4kCAWdpJRgIAAHQEAAAOAAAAZHJzL2Uyb0RvYy54bWyt&#10;VM1uEzEQviPxDpbvdJNlk5Comyq0KkKqaKWCODteb3cl/2E73S0PAG/QExfuPFefg8/eTVsKhx64&#10;OGPP7DfzfTOTw6NeSXItnG+NLun0YEKJ0NxUrb4q6aePp6/eUOID0xWTRouS3ghPj9YvXxx2diVy&#10;0xhZCUcAov2qsyVtQrCrLPO8EYr5A2OFhrM2TrGAq7vKKsc6oCuZ5ZPJPOuMq6wzXHiP15PBSUdE&#10;9xxAU9ctFyeG75TQYUB1QrIASr5prafrVG1dCx7O69qLQGRJwTSkE0lgb+OZrQ/Z6sox27R8LIE9&#10;p4QnnBRrNZLeQ52wwMjOtX9BqZY7400dDrhR2UAkKQIW08kTbS4bZkXiAqm9vRfd/z9Y/uH6wpG2&#10;Kul8RolmCh2/u/1+9+PX3c9vBG8QqLN+hbhLi8jQvzU9xmb/7vEYefe1U/EXjAj8+bKYFxOIfFPS&#10;Zb5YvJ6NUos+EB4B5nle5EjJEVFMlrNFSpU9IFnnwzthFIlGSR1amRRm12c+oCqE7kNiYm1OWylT&#10;O6UmHfjEnH948IXU+DDyGeqOVui3/Uhya6obcHRmGBNv+WmL5GfMhwvmMBcghM0J5zhqaZDEjBYl&#10;jXFf//Ue49EueCnpMGcl9V92zAlK5HuNRi6nRREHM12K2SLHxT32bB979E4dG4zyFDtqeTJjfJB7&#10;s3ZGfcaCbWJWuJjmyF3SsDePwzD9WFAuNpsUhFG0LJzpS8sj9CDaZhdM3Salo0yDNqN6GMbUgHFx&#10;4rQ/vqeohz+L9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40a6I2gAAAAkBAAAPAAAAAAAAAAEA&#10;IAAAACIAAABkcnMvZG93bnJldi54bWxQSwECFAAUAAAACACHTuJAgFnaSUYCAAB0BAAADgAAAAAA&#10;AAABACAAAAApAQAAZHJzL2Uyb0RvYy54bWxQSwUGAAAAAAYABgBZAQAA4QUAAAAA&#10;">
                      <v:fill on="f" focussize="0,0"/>
                      <v:stroke on="f" weight="0.5pt"/>
                      <v:imagedata o:title=""/>
                      <o:lock v:ext="edit" aspectratio="f"/>
                      <v:textbox>
                        <w:txbxContent>
                          <w:p>
                            <w:pPr>
                              <w:rPr>
                                <w:rFonts w:hint="default" w:ascii="Times New Roman" w:hAnsi="Times New Roman" w:eastAsia="黑体" w:cs="Times New Roman"/>
                                <w:sz w:val="28"/>
                                <w:szCs w:val="28"/>
                                <w:lang w:val="en-US" w:eastAsia="zh-CN"/>
                              </w:rPr>
                            </w:pPr>
                            <w:r>
                              <w:rPr>
                                <w:rFonts w:hint="default" w:ascii="Times New Roman" w:hAnsi="Times New Roman" w:eastAsia="黑体" w:cs="Times New Roman"/>
                                <w:sz w:val="28"/>
                                <w:szCs w:val="28"/>
                                <w:lang w:val="en-US" w:eastAsia="zh-CN"/>
                              </w:rPr>
                              <w:t>附图</w:t>
                            </w:r>
                            <w:r>
                              <w:rPr>
                                <w:rFonts w:hint="eastAsia" w:ascii="Times New Roman" w:hAnsi="Times New Roman" w:eastAsia="黑体" w:cs="Times New Roman"/>
                                <w:sz w:val="28"/>
                                <w:szCs w:val="28"/>
                                <w:lang w:val="en-US" w:eastAsia="zh-CN"/>
                              </w:rPr>
                              <w:t>7</w:t>
                            </w:r>
                            <w:r>
                              <w:rPr>
                                <w:rFonts w:hint="default" w:ascii="Times New Roman" w:hAnsi="Times New Roman" w:eastAsia="黑体" w:cs="Times New Roman"/>
                                <w:sz w:val="28"/>
                                <w:szCs w:val="28"/>
                                <w:lang w:val="en-US" w:eastAsia="zh-CN"/>
                              </w:rPr>
                              <w:t xml:space="preserve"> </w:t>
                            </w:r>
                            <w:r>
                              <w:rPr>
                                <w:rFonts w:hint="eastAsia" w:ascii="Times New Roman" w:hAnsi="Times New Roman" w:eastAsia="黑体" w:cs="Times New Roman"/>
                                <w:sz w:val="28"/>
                                <w:szCs w:val="28"/>
                                <w:lang w:val="en-US" w:eastAsia="zh-CN"/>
                              </w:rPr>
                              <w:t xml:space="preserve"> </w:t>
                            </w:r>
                            <w:r>
                              <w:rPr>
                                <w:rFonts w:hint="default" w:ascii="Times New Roman" w:hAnsi="Times New Roman" w:eastAsia="黑体" w:cs="Times New Roman"/>
                                <w:sz w:val="28"/>
                                <w:szCs w:val="28"/>
                                <w:lang w:val="en-US" w:eastAsia="zh-CN"/>
                              </w:rPr>
                              <w:t>现场照片</w:t>
                            </w:r>
                          </w:p>
                        </w:txbxContent>
                      </v:textbox>
                    </v:shape>
                  </w:pict>
                </mc:Fallback>
              </mc:AlternateContent>
            </w:r>
            <w:r>
              <w:rPr>
                <w:rFonts w:hint="default" w:ascii="Times New Roman" w:hAnsi="Times New Roman" w:cs="Times New Roman"/>
                <w:vertAlign w:val="baseline"/>
                <w:lang w:val="en-US" w:eastAsia="zh-CN"/>
              </w:rPr>
              <w:t>现场勘察照片</w:t>
            </w:r>
          </w:p>
        </w:tc>
      </w:tr>
    </w:tbl>
    <w:p>
      <w:pPr>
        <w:jc w:val="center"/>
        <w:rPr>
          <w:rFonts w:hint="default" w:ascii="Times New Roman" w:hAnsi="Times New Roman" w:cs="Times New Roman"/>
          <w:lang w:val="en-US" w:eastAsia="zh-CN"/>
        </w:rPr>
        <w:sectPr>
          <w:pgSz w:w="11906" w:h="16838"/>
          <w:pgMar w:top="1440" w:right="1463" w:bottom="1440" w:left="1519" w:header="851" w:footer="992" w:gutter="0"/>
          <w:cols w:space="425" w:num="1"/>
          <w:docGrid w:type="lines" w:linePitch="312" w:charSpace="0"/>
        </w:sectPr>
      </w:pPr>
    </w:p>
    <w:p>
      <w:pPr>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附件1 委托书</w:t>
      </w:r>
    </w:p>
    <w:p>
      <w:pPr>
        <w:rPr>
          <w:rFonts w:hint="default" w:ascii="Times New Roman" w:hAnsi="Times New Roman" w:eastAsia="宋体" w:cs="Times New Roman"/>
          <w:b/>
          <w:bCs/>
          <w:sz w:val="24"/>
          <w:szCs w:val="24"/>
          <w:lang w:val="en-US" w:eastAsia="zh-CN"/>
        </w:rPr>
      </w:pPr>
    </w:p>
    <w:p>
      <w:pPr>
        <w:jc w:val="left"/>
        <w:rPr>
          <w:rFonts w:hint="default" w:ascii="Times New Roman" w:hAnsi="Times New Roman" w:eastAsia="宋体" w:cs="Times New Roman"/>
          <w:b/>
          <w:bCs/>
          <w:sz w:val="24"/>
          <w:szCs w:val="24"/>
          <w:lang w:val="en-US" w:eastAsia="zh-CN"/>
        </w:rPr>
      </w:pPr>
      <w:r>
        <w:rPr>
          <w:rFonts w:hint="default" w:ascii="Times New Roman" w:hAnsi="Times New Roman" w:cs="Times New Roman"/>
        </w:rPr>
        <w:drawing>
          <wp:inline distT="0" distB="0" distL="114300" distR="114300">
            <wp:extent cx="5760085" cy="8150860"/>
            <wp:effectExtent l="0" t="0" r="12065" b="2540"/>
            <wp:docPr id="9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8"/>
                    <pic:cNvPicPr>
                      <a:picLocks noChangeAspect="1"/>
                    </pic:cNvPicPr>
                  </pic:nvPicPr>
                  <pic:blipFill>
                    <a:blip r:embed="rId47"/>
                    <a:stretch>
                      <a:fillRect/>
                    </a:stretch>
                  </pic:blipFill>
                  <pic:spPr>
                    <a:xfrm>
                      <a:off x="0" y="0"/>
                      <a:ext cx="5760085" cy="8150860"/>
                    </a:xfrm>
                    <a:prstGeom prst="rect">
                      <a:avLst/>
                    </a:prstGeom>
                    <a:noFill/>
                    <a:ln>
                      <a:noFill/>
                    </a:ln>
                  </pic:spPr>
                </pic:pic>
              </a:graphicData>
            </a:graphic>
          </wp:inline>
        </w:drawing>
      </w:r>
      <w:r>
        <w:rPr>
          <w:rFonts w:hint="default" w:ascii="Times New Roman" w:hAnsi="Times New Roman" w:eastAsia="宋体" w:cs="Times New Roman"/>
          <w:b/>
          <w:bCs/>
          <w:sz w:val="24"/>
          <w:szCs w:val="24"/>
          <w:lang w:val="en-US" w:eastAsia="zh-CN"/>
        </w:rPr>
        <w:t>附件2 发改委备案文件</w:t>
      </w:r>
    </w:p>
    <w:p>
      <w:pPr>
        <w:jc w:val="left"/>
        <w:rPr>
          <w:rFonts w:hint="default" w:ascii="Times New Roman" w:hAnsi="Times New Roman" w:eastAsia="宋体" w:cs="Times New Roman"/>
          <w:b/>
          <w:bCs/>
          <w:sz w:val="24"/>
          <w:szCs w:val="24"/>
          <w:lang w:val="en-US" w:eastAsia="zh-CN"/>
        </w:rPr>
        <w:sectPr>
          <w:pgSz w:w="11906" w:h="16838"/>
          <w:pgMar w:top="1440" w:right="1417" w:bottom="1440" w:left="1417" w:header="851" w:footer="992" w:gutter="0"/>
          <w:cols w:space="0" w:num="1"/>
          <w:rtlGutter w:val="0"/>
          <w:docGrid w:type="lines" w:linePitch="312" w:charSpace="0"/>
        </w:sectPr>
      </w:pPr>
      <w:r>
        <w:rPr>
          <w:rFonts w:hint="default" w:ascii="Times New Roman" w:hAnsi="Times New Roman" w:cs="Times New Roman"/>
        </w:rPr>
        <w:drawing>
          <wp:inline distT="0" distB="0" distL="114300" distR="114300">
            <wp:extent cx="5725795" cy="8571865"/>
            <wp:effectExtent l="0" t="0" r="8255" b="635"/>
            <wp:docPr id="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
                    <pic:cNvPicPr>
                      <a:picLocks noChangeAspect="1"/>
                    </pic:cNvPicPr>
                  </pic:nvPicPr>
                  <pic:blipFill>
                    <a:blip r:embed="rId48"/>
                    <a:srcRect l="11127" t="6894" r="10128" b="6026"/>
                    <a:stretch>
                      <a:fillRect/>
                    </a:stretch>
                  </pic:blipFill>
                  <pic:spPr>
                    <a:xfrm>
                      <a:off x="0" y="0"/>
                      <a:ext cx="5725795" cy="8571865"/>
                    </a:xfrm>
                    <a:prstGeom prst="rect">
                      <a:avLst/>
                    </a:prstGeom>
                    <a:noFill/>
                    <a:ln>
                      <a:noFill/>
                    </a:ln>
                  </pic:spPr>
                </pic:pic>
              </a:graphicData>
            </a:graphic>
          </wp:inline>
        </w:drawing>
      </w:r>
    </w:p>
    <w:p>
      <w:pPr>
        <w:jc w:val="left"/>
        <w:rPr>
          <w:rFonts w:hint="default" w:ascii="Times New Roman" w:hAnsi="Times New Roman" w:eastAsia="宋体" w:cs="Times New Roman"/>
          <w:b/>
          <w:bCs/>
          <w:sz w:val="24"/>
          <w:szCs w:val="24"/>
          <w:lang w:val="en-US" w:eastAsia="zh-CN"/>
        </w:rPr>
        <w:sectPr>
          <w:pgSz w:w="11906" w:h="16838"/>
          <w:pgMar w:top="1440" w:right="1417" w:bottom="1440" w:left="1417" w:header="851" w:footer="992" w:gutter="0"/>
          <w:cols w:space="0" w:num="1"/>
          <w:rtlGutter w:val="0"/>
          <w:docGrid w:type="lines" w:linePitch="312" w:charSpace="0"/>
        </w:sectPr>
      </w:pPr>
      <w:r>
        <w:rPr>
          <w:rFonts w:hint="default" w:ascii="Times New Roman" w:hAnsi="Times New Roman" w:eastAsia="宋体" w:cs="Times New Roman"/>
          <w:b/>
          <w:bCs/>
          <w:sz w:val="24"/>
          <w:szCs w:val="24"/>
          <w:lang w:val="en-US" w:eastAsia="zh-CN"/>
        </w:rPr>
        <w:t>附件3 土地规划文件</w:t>
      </w:r>
      <w:r>
        <w:rPr>
          <w:rFonts w:hint="default" w:ascii="Times New Roman" w:hAnsi="Times New Roman" w:cs="Times New Roman"/>
        </w:rPr>
        <w:drawing>
          <wp:inline distT="0" distB="0" distL="114300" distR="114300">
            <wp:extent cx="8597265" cy="5855970"/>
            <wp:effectExtent l="0" t="0" r="11430" b="13335"/>
            <wp:docPr id="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
                    <pic:cNvPicPr>
                      <a:picLocks noChangeAspect="1"/>
                    </pic:cNvPicPr>
                  </pic:nvPicPr>
                  <pic:blipFill>
                    <a:blip r:embed="rId49"/>
                    <a:srcRect l="8202" b="6751"/>
                    <a:stretch>
                      <a:fillRect/>
                    </a:stretch>
                  </pic:blipFill>
                  <pic:spPr>
                    <a:xfrm rot="5400000">
                      <a:off x="0" y="0"/>
                      <a:ext cx="8597265" cy="585597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8781415" cy="5831840"/>
            <wp:effectExtent l="0" t="0" r="16510" b="635"/>
            <wp:docPr id="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pic:cNvPicPr>
                      <a:picLocks noChangeAspect="1"/>
                    </pic:cNvPicPr>
                  </pic:nvPicPr>
                  <pic:blipFill>
                    <a:blip r:embed="rId50"/>
                    <a:srcRect l="7802" b="7380"/>
                    <a:stretch>
                      <a:fillRect/>
                    </a:stretch>
                  </pic:blipFill>
                  <pic:spPr>
                    <a:xfrm rot="5400000">
                      <a:off x="0" y="0"/>
                      <a:ext cx="8781415" cy="583184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8731885" cy="5821045"/>
            <wp:effectExtent l="0" t="0" r="8255" b="12065"/>
            <wp:docPr id="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
                    <pic:cNvPicPr>
                      <a:picLocks noChangeAspect="1"/>
                    </pic:cNvPicPr>
                  </pic:nvPicPr>
                  <pic:blipFill>
                    <a:blip r:embed="rId51"/>
                    <a:srcRect l="7985" b="6760"/>
                    <a:stretch>
                      <a:fillRect/>
                    </a:stretch>
                  </pic:blipFill>
                  <pic:spPr>
                    <a:xfrm rot="5400000">
                      <a:off x="0" y="0"/>
                      <a:ext cx="8731885" cy="5821045"/>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786120" cy="8079740"/>
            <wp:effectExtent l="0" t="0" r="5080" b="16510"/>
            <wp:docPr id="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
                    <pic:cNvPicPr>
                      <a:picLocks noChangeAspect="1"/>
                    </pic:cNvPicPr>
                  </pic:nvPicPr>
                  <pic:blipFill>
                    <a:blip r:embed="rId52"/>
                    <a:srcRect l="49160"/>
                    <a:stretch>
                      <a:fillRect/>
                    </a:stretch>
                  </pic:blipFill>
                  <pic:spPr>
                    <a:xfrm>
                      <a:off x="0" y="0"/>
                      <a:ext cx="5786120" cy="807974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8704580" cy="5813425"/>
            <wp:effectExtent l="0" t="0" r="15875" b="1270"/>
            <wp:docPr id="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
                    <pic:cNvPicPr>
                      <a:picLocks noChangeAspect="1"/>
                    </pic:cNvPicPr>
                  </pic:nvPicPr>
                  <pic:blipFill>
                    <a:blip r:embed="rId53"/>
                    <a:srcRect l="8207" b="7160"/>
                    <a:stretch>
                      <a:fillRect/>
                    </a:stretch>
                  </pic:blipFill>
                  <pic:spPr>
                    <a:xfrm rot="5400000">
                      <a:off x="0" y="0"/>
                      <a:ext cx="8704580" cy="5813425"/>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789930" cy="8811260"/>
            <wp:effectExtent l="0" t="0" r="1270" b="8890"/>
            <wp:docPr id="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
                    <pic:cNvPicPr>
                      <a:picLocks noChangeAspect="1"/>
                    </pic:cNvPicPr>
                  </pic:nvPicPr>
                  <pic:blipFill>
                    <a:blip r:embed="rId54"/>
                    <a:srcRect l="12481" t="11090" r="16318" b="9972"/>
                    <a:stretch>
                      <a:fillRect/>
                    </a:stretch>
                  </pic:blipFill>
                  <pic:spPr>
                    <a:xfrm>
                      <a:off x="0" y="0"/>
                      <a:ext cx="5789930" cy="8811260"/>
                    </a:xfrm>
                    <a:prstGeom prst="rect">
                      <a:avLst/>
                    </a:prstGeom>
                    <a:noFill/>
                    <a:ln>
                      <a:noFill/>
                    </a:ln>
                  </pic:spPr>
                </pic:pic>
              </a:graphicData>
            </a:graphic>
          </wp:inline>
        </w:drawing>
      </w:r>
    </w:p>
    <w:p>
      <w:pPr>
        <w:jc w:val="left"/>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附件4 区域环境检测报告</w:t>
      </w:r>
    </w:p>
    <w:p>
      <w:pPr>
        <w:jc w:val="center"/>
        <w:rPr>
          <w:rFonts w:hint="default" w:ascii="Times New Roman" w:hAnsi="Times New Roman" w:cs="Times New Roman" w:eastAsiaTheme="minorEastAsia"/>
          <w:b/>
          <w:bCs/>
          <w:lang w:val="en-US" w:eastAsia="zh-CN"/>
        </w:rPr>
        <w:sectPr>
          <w:pgSz w:w="11906" w:h="16838"/>
          <w:pgMar w:top="1440" w:right="1417" w:bottom="1440" w:left="1417" w:header="851" w:footer="992" w:gutter="0"/>
          <w:cols w:space="0" w:num="1"/>
          <w:rtlGutter w:val="0"/>
          <w:docGrid w:type="lines" w:linePitch="312" w:charSpace="0"/>
        </w:sectPr>
      </w:pPr>
      <w:r>
        <w:rPr>
          <w:rFonts w:hint="default" w:ascii="Times New Roman" w:hAnsi="Times New Roman" w:cs="Times New Roman"/>
        </w:rPr>
        <w:drawing>
          <wp:inline distT="0" distB="0" distL="114300" distR="114300">
            <wp:extent cx="5758180" cy="8143240"/>
            <wp:effectExtent l="0" t="0" r="13970" b="10160"/>
            <wp:docPr id="7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8"/>
                    <pic:cNvPicPr>
                      <a:picLocks noChangeAspect="1"/>
                    </pic:cNvPicPr>
                  </pic:nvPicPr>
                  <pic:blipFill>
                    <a:blip r:embed="rId55"/>
                    <a:stretch>
                      <a:fillRect/>
                    </a:stretch>
                  </pic:blipFill>
                  <pic:spPr>
                    <a:xfrm>
                      <a:off x="0" y="0"/>
                      <a:ext cx="5758180" cy="814324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758180" cy="8143240"/>
            <wp:effectExtent l="0" t="0" r="13970" b="10160"/>
            <wp:docPr id="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9"/>
                    <pic:cNvPicPr>
                      <a:picLocks noChangeAspect="1"/>
                    </pic:cNvPicPr>
                  </pic:nvPicPr>
                  <pic:blipFill>
                    <a:blip r:embed="rId56"/>
                    <a:stretch>
                      <a:fillRect/>
                    </a:stretch>
                  </pic:blipFill>
                  <pic:spPr>
                    <a:xfrm>
                      <a:off x="0" y="0"/>
                      <a:ext cx="5758180" cy="814324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758180" cy="8143240"/>
            <wp:effectExtent l="0" t="0" r="13970" b="10160"/>
            <wp:docPr id="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0"/>
                    <pic:cNvPicPr>
                      <a:picLocks noChangeAspect="1"/>
                    </pic:cNvPicPr>
                  </pic:nvPicPr>
                  <pic:blipFill>
                    <a:blip r:embed="rId57"/>
                    <a:stretch>
                      <a:fillRect/>
                    </a:stretch>
                  </pic:blipFill>
                  <pic:spPr>
                    <a:xfrm>
                      <a:off x="0" y="0"/>
                      <a:ext cx="5758180" cy="814324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758180" cy="8143240"/>
            <wp:effectExtent l="0" t="0" r="13970" b="10160"/>
            <wp:docPr id="7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1"/>
                    <pic:cNvPicPr>
                      <a:picLocks noChangeAspect="1"/>
                    </pic:cNvPicPr>
                  </pic:nvPicPr>
                  <pic:blipFill>
                    <a:blip r:embed="rId58"/>
                    <a:stretch>
                      <a:fillRect/>
                    </a:stretch>
                  </pic:blipFill>
                  <pic:spPr>
                    <a:xfrm>
                      <a:off x="0" y="0"/>
                      <a:ext cx="5758180" cy="814324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758180" cy="8143240"/>
            <wp:effectExtent l="0" t="0" r="13970" b="10160"/>
            <wp:docPr id="7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2"/>
                    <pic:cNvPicPr>
                      <a:picLocks noChangeAspect="1"/>
                    </pic:cNvPicPr>
                  </pic:nvPicPr>
                  <pic:blipFill>
                    <a:blip r:embed="rId59"/>
                    <a:stretch>
                      <a:fillRect/>
                    </a:stretch>
                  </pic:blipFill>
                  <pic:spPr>
                    <a:xfrm>
                      <a:off x="0" y="0"/>
                      <a:ext cx="5758180" cy="814324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758180" cy="8143240"/>
            <wp:effectExtent l="0" t="0" r="13970" b="10160"/>
            <wp:docPr id="7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3"/>
                    <pic:cNvPicPr>
                      <a:picLocks noChangeAspect="1"/>
                    </pic:cNvPicPr>
                  </pic:nvPicPr>
                  <pic:blipFill>
                    <a:blip r:embed="rId60"/>
                    <a:stretch>
                      <a:fillRect/>
                    </a:stretch>
                  </pic:blipFill>
                  <pic:spPr>
                    <a:xfrm>
                      <a:off x="0" y="0"/>
                      <a:ext cx="5758180" cy="8143240"/>
                    </a:xfrm>
                    <a:prstGeom prst="rect">
                      <a:avLst/>
                    </a:prstGeom>
                    <a:noFill/>
                    <a:ln>
                      <a:noFill/>
                    </a:ln>
                  </pic:spPr>
                </pic:pic>
              </a:graphicData>
            </a:graphic>
          </wp:inline>
        </w:drawing>
      </w:r>
      <w:r>
        <w:rPr>
          <w:rFonts w:hint="default" w:ascii="Times New Roman" w:hAnsi="Times New Roman" w:cs="Times New Roman"/>
        </w:rPr>
        <w:drawing>
          <wp:inline distT="0" distB="0" distL="114300" distR="114300">
            <wp:extent cx="5758180" cy="8143240"/>
            <wp:effectExtent l="0" t="0" r="13970" b="10160"/>
            <wp:docPr id="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4"/>
                    <pic:cNvPicPr>
                      <a:picLocks noChangeAspect="1"/>
                    </pic:cNvPicPr>
                  </pic:nvPicPr>
                  <pic:blipFill>
                    <a:blip r:embed="rId61"/>
                    <a:stretch>
                      <a:fillRect/>
                    </a:stretch>
                  </pic:blipFill>
                  <pic:spPr>
                    <a:xfrm>
                      <a:off x="0" y="0"/>
                      <a:ext cx="5758180" cy="8143240"/>
                    </a:xfrm>
                    <a:prstGeom prst="rect">
                      <a:avLst/>
                    </a:prstGeom>
                    <a:noFill/>
                    <a:ln>
                      <a:noFill/>
                    </a:ln>
                  </pic:spPr>
                </pic:pic>
              </a:graphicData>
            </a:graphic>
          </wp:inline>
        </w:drawing>
      </w:r>
      <w:r>
        <w:rPr>
          <w:rFonts w:hint="default" w:ascii="Times New Roman" w:hAnsi="Times New Roman" w:cs="Times New Roman" w:eastAsiaTheme="minorEastAsia"/>
          <w:b/>
          <w:bCs/>
          <w:lang w:val="en-US" w:eastAsia="zh-CN"/>
        </w:rPr>
        <w:drawing>
          <wp:inline distT="0" distB="0" distL="114300" distR="114300">
            <wp:extent cx="5760720" cy="8333740"/>
            <wp:effectExtent l="0" t="0" r="11430" b="10160"/>
            <wp:docPr id="80" name="图片 80" descr="密闭_气液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密闭_气液_10"/>
                    <pic:cNvPicPr>
                      <a:picLocks noChangeAspect="1"/>
                    </pic:cNvPicPr>
                  </pic:nvPicPr>
                  <pic:blipFill>
                    <a:blip r:embed="rId62"/>
                    <a:stretch>
                      <a:fillRect/>
                    </a:stretch>
                  </pic:blipFill>
                  <pic:spPr>
                    <a:xfrm>
                      <a:off x="0" y="0"/>
                      <a:ext cx="5760720" cy="8333740"/>
                    </a:xfrm>
                    <a:prstGeom prst="rect">
                      <a:avLst/>
                    </a:prstGeom>
                  </pic:spPr>
                </pic:pic>
              </a:graphicData>
            </a:graphic>
          </wp:inline>
        </w:drawing>
      </w:r>
      <w:r>
        <w:rPr>
          <w:rFonts w:hint="default" w:ascii="Times New Roman" w:hAnsi="Times New Roman" w:cs="Times New Roman" w:eastAsiaTheme="minorEastAsia"/>
          <w:b/>
          <w:bCs/>
          <w:lang w:val="en-US" w:eastAsia="zh-CN"/>
        </w:rPr>
        <w:drawing>
          <wp:inline distT="0" distB="0" distL="114300" distR="114300">
            <wp:extent cx="5755640" cy="8517890"/>
            <wp:effectExtent l="0" t="0" r="16510" b="16510"/>
            <wp:docPr id="81" name="图片 81" descr="密闭_气液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密闭_气液_14"/>
                    <pic:cNvPicPr>
                      <a:picLocks noChangeAspect="1"/>
                    </pic:cNvPicPr>
                  </pic:nvPicPr>
                  <pic:blipFill>
                    <a:blip r:embed="rId63"/>
                    <a:stretch>
                      <a:fillRect/>
                    </a:stretch>
                  </pic:blipFill>
                  <pic:spPr>
                    <a:xfrm>
                      <a:off x="0" y="0"/>
                      <a:ext cx="5755640" cy="8517890"/>
                    </a:xfrm>
                    <a:prstGeom prst="rect">
                      <a:avLst/>
                    </a:prstGeom>
                  </pic:spPr>
                </pic:pic>
              </a:graphicData>
            </a:graphic>
          </wp:inline>
        </w:drawing>
      </w:r>
      <w:r>
        <w:rPr>
          <w:rFonts w:hint="default" w:ascii="Times New Roman" w:hAnsi="Times New Roman" w:cs="Times New Roman" w:eastAsiaTheme="minorEastAsia"/>
          <w:b/>
          <w:bCs/>
          <w:lang w:val="en-US" w:eastAsia="zh-CN"/>
        </w:rPr>
        <w:drawing>
          <wp:inline distT="0" distB="0" distL="114300" distR="114300">
            <wp:extent cx="5751830" cy="8637905"/>
            <wp:effectExtent l="0" t="0" r="1270" b="10795"/>
            <wp:docPr id="82" name="图片 82" descr="密闭_气液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密闭_气液_11"/>
                    <pic:cNvPicPr>
                      <a:picLocks noChangeAspect="1"/>
                    </pic:cNvPicPr>
                  </pic:nvPicPr>
                  <pic:blipFill>
                    <a:blip r:embed="rId64"/>
                    <a:stretch>
                      <a:fillRect/>
                    </a:stretch>
                  </pic:blipFill>
                  <pic:spPr>
                    <a:xfrm>
                      <a:off x="0" y="0"/>
                      <a:ext cx="5751830" cy="8637905"/>
                    </a:xfrm>
                    <a:prstGeom prst="rect">
                      <a:avLst/>
                    </a:prstGeom>
                  </pic:spPr>
                </pic:pic>
              </a:graphicData>
            </a:graphic>
          </wp:inline>
        </w:drawing>
      </w:r>
      <w:r>
        <w:rPr>
          <w:rFonts w:hint="default" w:ascii="Times New Roman" w:hAnsi="Times New Roman" w:cs="Times New Roman" w:eastAsiaTheme="minorEastAsia"/>
          <w:b/>
          <w:bCs/>
          <w:lang w:val="en-US" w:eastAsia="zh-CN"/>
        </w:rPr>
        <w:drawing>
          <wp:inline distT="0" distB="0" distL="114300" distR="114300">
            <wp:extent cx="5751830" cy="8674735"/>
            <wp:effectExtent l="0" t="0" r="1270" b="12065"/>
            <wp:docPr id="83" name="图片 83" descr="密闭_气液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密闭_气液_9"/>
                    <pic:cNvPicPr>
                      <a:picLocks noChangeAspect="1"/>
                    </pic:cNvPicPr>
                  </pic:nvPicPr>
                  <pic:blipFill>
                    <a:blip r:embed="rId65"/>
                    <a:stretch>
                      <a:fillRect/>
                    </a:stretch>
                  </pic:blipFill>
                  <pic:spPr>
                    <a:xfrm>
                      <a:off x="0" y="0"/>
                      <a:ext cx="5751830" cy="8674735"/>
                    </a:xfrm>
                    <a:prstGeom prst="rect">
                      <a:avLst/>
                    </a:prstGeom>
                  </pic:spPr>
                </pic:pic>
              </a:graphicData>
            </a:graphic>
          </wp:inline>
        </w:drawing>
      </w:r>
      <w:r>
        <w:rPr>
          <w:rFonts w:hint="default" w:ascii="Times New Roman" w:hAnsi="Times New Roman" w:cs="Times New Roman" w:eastAsiaTheme="minorEastAsia"/>
          <w:b/>
          <w:bCs/>
          <w:lang w:val="en-US" w:eastAsia="zh-CN"/>
        </w:rPr>
        <w:drawing>
          <wp:inline distT="0" distB="0" distL="114300" distR="114300">
            <wp:extent cx="5751195" cy="8611235"/>
            <wp:effectExtent l="0" t="0" r="1905" b="18415"/>
            <wp:docPr id="84" name="图片 84" descr="密闭_气液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密闭_气液_8"/>
                    <pic:cNvPicPr>
                      <a:picLocks noChangeAspect="1"/>
                    </pic:cNvPicPr>
                  </pic:nvPicPr>
                  <pic:blipFill>
                    <a:blip r:embed="rId66"/>
                    <a:stretch>
                      <a:fillRect/>
                    </a:stretch>
                  </pic:blipFill>
                  <pic:spPr>
                    <a:xfrm>
                      <a:off x="0" y="0"/>
                      <a:ext cx="5751195" cy="8611235"/>
                    </a:xfrm>
                    <a:prstGeom prst="rect">
                      <a:avLst/>
                    </a:prstGeom>
                  </pic:spPr>
                </pic:pic>
              </a:graphicData>
            </a:graphic>
          </wp:inline>
        </w:drawing>
      </w:r>
      <w:r>
        <w:rPr>
          <w:rFonts w:hint="default" w:ascii="Times New Roman" w:hAnsi="Times New Roman" w:cs="Times New Roman" w:eastAsiaTheme="minorEastAsia"/>
          <w:b/>
          <w:bCs/>
          <w:lang w:val="en-US" w:eastAsia="zh-CN"/>
        </w:rPr>
        <w:drawing>
          <wp:inline distT="0" distB="0" distL="114300" distR="114300">
            <wp:extent cx="5715635" cy="8858885"/>
            <wp:effectExtent l="0" t="0" r="18415" b="18415"/>
            <wp:docPr id="85" name="图片 85" descr="密闭_气液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密闭_气液_12"/>
                    <pic:cNvPicPr>
                      <a:picLocks noChangeAspect="1"/>
                    </pic:cNvPicPr>
                  </pic:nvPicPr>
                  <pic:blipFill>
                    <a:blip r:embed="rId67"/>
                    <a:stretch>
                      <a:fillRect/>
                    </a:stretch>
                  </pic:blipFill>
                  <pic:spPr>
                    <a:xfrm>
                      <a:off x="0" y="0"/>
                      <a:ext cx="5715635" cy="8858885"/>
                    </a:xfrm>
                    <a:prstGeom prst="rect">
                      <a:avLst/>
                    </a:prstGeom>
                  </pic:spPr>
                </pic:pic>
              </a:graphicData>
            </a:graphic>
          </wp:inline>
        </w:drawing>
      </w:r>
      <w:r>
        <w:rPr>
          <w:rFonts w:hint="default" w:ascii="Times New Roman" w:hAnsi="Times New Roman" w:cs="Times New Roman" w:eastAsiaTheme="minorEastAsia"/>
          <w:b/>
          <w:bCs/>
          <w:lang w:val="en-US" w:eastAsia="zh-CN"/>
        </w:rPr>
        <w:drawing>
          <wp:inline distT="0" distB="0" distL="114300" distR="114300">
            <wp:extent cx="5756910" cy="8787765"/>
            <wp:effectExtent l="0" t="0" r="15240" b="13335"/>
            <wp:docPr id="86" name="图片 86" descr="密闭_气液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密闭_气液_15"/>
                    <pic:cNvPicPr>
                      <a:picLocks noChangeAspect="1"/>
                    </pic:cNvPicPr>
                  </pic:nvPicPr>
                  <pic:blipFill>
                    <a:blip r:embed="rId68"/>
                    <a:stretch>
                      <a:fillRect/>
                    </a:stretch>
                  </pic:blipFill>
                  <pic:spPr>
                    <a:xfrm>
                      <a:off x="0" y="0"/>
                      <a:ext cx="5756910" cy="8787765"/>
                    </a:xfrm>
                    <a:prstGeom prst="rect">
                      <a:avLst/>
                    </a:prstGeom>
                  </pic:spPr>
                </pic:pic>
              </a:graphicData>
            </a:graphic>
          </wp:inline>
        </w:drawing>
      </w:r>
      <w:r>
        <w:rPr>
          <w:rFonts w:hint="default" w:ascii="Times New Roman" w:hAnsi="Times New Roman" w:cs="Times New Roman" w:eastAsiaTheme="minorEastAsia"/>
          <w:b/>
          <w:bCs/>
          <w:lang w:val="en-US" w:eastAsia="zh-CN"/>
        </w:rPr>
        <w:drawing>
          <wp:inline distT="0" distB="0" distL="114300" distR="114300">
            <wp:extent cx="5751830" cy="8849360"/>
            <wp:effectExtent l="0" t="0" r="1270" b="8890"/>
            <wp:docPr id="87" name="图片 87" descr="密闭_气液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密闭_气液_3"/>
                    <pic:cNvPicPr>
                      <a:picLocks noChangeAspect="1"/>
                    </pic:cNvPicPr>
                  </pic:nvPicPr>
                  <pic:blipFill>
                    <a:blip r:embed="rId69"/>
                    <a:stretch>
                      <a:fillRect/>
                    </a:stretch>
                  </pic:blipFill>
                  <pic:spPr>
                    <a:xfrm>
                      <a:off x="0" y="0"/>
                      <a:ext cx="5751830" cy="8849360"/>
                    </a:xfrm>
                    <a:prstGeom prst="rect">
                      <a:avLst/>
                    </a:prstGeom>
                  </pic:spPr>
                </pic:pic>
              </a:graphicData>
            </a:graphic>
          </wp:inline>
        </w:drawing>
      </w:r>
      <w:r>
        <w:rPr>
          <w:rFonts w:hint="default" w:ascii="Times New Roman" w:hAnsi="Times New Roman" w:cs="Times New Roman" w:eastAsiaTheme="minorEastAsia"/>
          <w:b/>
          <w:bCs/>
          <w:lang w:val="en-US" w:eastAsia="zh-CN"/>
        </w:rPr>
        <w:drawing>
          <wp:inline distT="0" distB="0" distL="114300" distR="114300">
            <wp:extent cx="5760720" cy="8579485"/>
            <wp:effectExtent l="0" t="0" r="11430" b="12065"/>
            <wp:docPr id="88" name="图片 88" descr="密闭_气液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密闭_气液_13"/>
                    <pic:cNvPicPr>
                      <a:picLocks noChangeAspect="1"/>
                    </pic:cNvPicPr>
                  </pic:nvPicPr>
                  <pic:blipFill>
                    <a:blip r:embed="rId70"/>
                    <a:stretch>
                      <a:fillRect/>
                    </a:stretch>
                  </pic:blipFill>
                  <pic:spPr>
                    <a:xfrm>
                      <a:off x="0" y="0"/>
                      <a:ext cx="5760720" cy="8579485"/>
                    </a:xfrm>
                    <a:prstGeom prst="rect">
                      <a:avLst/>
                    </a:prstGeom>
                  </pic:spPr>
                </pic:pic>
              </a:graphicData>
            </a:graphic>
          </wp:inline>
        </w:drawing>
      </w:r>
      <w:r>
        <w:rPr>
          <w:rFonts w:hint="default" w:ascii="Times New Roman" w:hAnsi="Times New Roman" w:cs="Times New Roman" w:eastAsiaTheme="minorEastAsia"/>
          <w:b/>
          <w:bCs/>
          <w:lang w:val="en-US" w:eastAsia="zh-CN"/>
        </w:rPr>
        <w:drawing>
          <wp:inline distT="0" distB="0" distL="114300" distR="114300">
            <wp:extent cx="5756275" cy="8750935"/>
            <wp:effectExtent l="0" t="0" r="15875" b="12065"/>
            <wp:docPr id="89" name="图片 89" descr="密闭_气液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密闭_气液_4"/>
                    <pic:cNvPicPr>
                      <a:picLocks noChangeAspect="1"/>
                    </pic:cNvPicPr>
                  </pic:nvPicPr>
                  <pic:blipFill>
                    <a:blip r:embed="rId71"/>
                    <a:stretch>
                      <a:fillRect/>
                    </a:stretch>
                  </pic:blipFill>
                  <pic:spPr>
                    <a:xfrm>
                      <a:off x="0" y="0"/>
                      <a:ext cx="5756275" cy="8750935"/>
                    </a:xfrm>
                    <a:prstGeom prst="rect">
                      <a:avLst/>
                    </a:prstGeom>
                  </pic:spPr>
                </pic:pic>
              </a:graphicData>
            </a:graphic>
          </wp:inline>
        </w:drawing>
      </w:r>
      <w:r>
        <w:rPr>
          <w:rFonts w:hint="default" w:ascii="Times New Roman" w:hAnsi="Times New Roman" w:cs="Times New Roman" w:eastAsiaTheme="minorEastAsia"/>
          <w:b/>
          <w:bCs/>
          <w:lang w:val="en-US" w:eastAsia="zh-CN"/>
        </w:rPr>
        <w:drawing>
          <wp:inline distT="0" distB="0" distL="114300" distR="114300">
            <wp:extent cx="5740400" cy="8863330"/>
            <wp:effectExtent l="0" t="0" r="12700" b="13970"/>
            <wp:docPr id="90" name="图片 90" descr="密闭_气液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密闭_气液_5"/>
                    <pic:cNvPicPr>
                      <a:picLocks noChangeAspect="1"/>
                    </pic:cNvPicPr>
                  </pic:nvPicPr>
                  <pic:blipFill>
                    <a:blip r:embed="rId72"/>
                    <a:stretch>
                      <a:fillRect/>
                    </a:stretch>
                  </pic:blipFill>
                  <pic:spPr>
                    <a:xfrm>
                      <a:off x="0" y="0"/>
                      <a:ext cx="5740400" cy="8863330"/>
                    </a:xfrm>
                    <a:prstGeom prst="rect">
                      <a:avLst/>
                    </a:prstGeom>
                  </pic:spPr>
                </pic:pic>
              </a:graphicData>
            </a:graphic>
          </wp:inline>
        </w:drawing>
      </w:r>
      <w:r>
        <w:rPr>
          <w:rFonts w:hint="default" w:ascii="Times New Roman" w:hAnsi="Times New Roman" w:cs="Times New Roman" w:eastAsiaTheme="minorEastAsia"/>
          <w:b/>
          <w:bCs/>
          <w:lang w:val="en-US" w:eastAsia="zh-CN"/>
        </w:rPr>
        <w:drawing>
          <wp:inline distT="0" distB="0" distL="114300" distR="114300">
            <wp:extent cx="5755640" cy="8740140"/>
            <wp:effectExtent l="0" t="0" r="16510" b="3810"/>
            <wp:docPr id="91" name="图片 91" descr="密闭_气液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密闭_气液_1"/>
                    <pic:cNvPicPr>
                      <a:picLocks noChangeAspect="1"/>
                    </pic:cNvPicPr>
                  </pic:nvPicPr>
                  <pic:blipFill>
                    <a:blip r:embed="rId73"/>
                    <a:stretch>
                      <a:fillRect/>
                    </a:stretch>
                  </pic:blipFill>
                  <pic:spPr>
                    <a:xfrm>
                      <a:off x="0" y="0"/>
                      <a:ext cx="5755640" cy="8740140"/>
                    </a:xfrm>
                    <a:prstGeom prst="rect">
                      <a:avLst/>
                    </a:prstGeom>
                  </pic:spPr>
                </pic:pic>
              </a:graphicData>
            </a:graphic>
          </wp:inline>
        </w:drawing>
      </w:r>
      <w:r>
        <w:rPr>
          <w:rFonts w:hint="default" w:ascii="Times New Roman" w:hAnsi="Times New Roman" w:cs="Times New Roman" w:eastAsiaTheme="minorEastAsia"/>
          <w:b/>
          <w:bCs/>
          <w:lang w:val="en-US" w:eastAsia="zh-CN"/>
        </w:rPr>
        <w:drawing>
          <wp:inline distT="0" distB="0" distL="114300" distR="114300">
            <wp:extent cx="5640070" cy="8857615"/>
            <wp:effectExtent l="0" t="0" r="17780" b="635"/>
            <wp:docPr id="92" name="图片 92" descr="密闭_气液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密闭_气液_2"/>
                    <pic:cNvPicPr>
                      <a:picLocks noChangeAspect="1"/>
                    </pic:cNvPicPr>
                  </pic:nvPicPr>
                  <pic:blipFill>
                    <a:blip r:embed="rId74"/>
                    <a:stretch>
                      <a:fillRect/>
                    </a:stretch>
                  </pic:blipFill>
                  <pic:spPr>
                    <a:xfrm>
                      <a:off x="0" y="0"/>
                      <a:ext cx="5640070" cy="8857615"/>
                    </a:xfrm>
                    <a:prstGeom prst="rect">
                      <a:avLst/>
                    </a:prstGeom>
                  </pic:spPr>
                </pic:pic>
              </a:graphicData>
            </a:graphic>
          </wp:inline>
        </w:drawing>
      </w:r>
      <w:r>
        <w:rPr>
          <w:rFonts w:hint="default" w:ascii="Times New Roman" w:hAnsi="Times New Roman" w:cs="Times New Roman" w:eastAsiaTheme="minorEastAsia"/>
          <w:b/>
          <w:bCs/>
          <w:lang w:val="en-US" w:eastAsia="zh-CN"/>
        </w:rPr>
        <w:drawing>
          <wp:inline distT="0" distB="0" distL="114300" distR="114300">
            <wp:extent cx="5751195" cy="8716010"/>
            <wp:effectExtent l="0" t="0" r="1905" b="8890"/>
            <wp:docPr id="93" name="图片 93" descr="密闭_气液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密闭_气液_6"/>
                    <pic:cNvPicPr>
                      <a:picLocks noChangeAspect="1"/>
                    </pic:cNvPicPr>
                  </pic:nvPicPr>
                  <pic:blipFill>
                    <a:blip r:embed="rId75"/>
                    <a:stretch>
                      <a:fillRect/>
                    </a:stretch>
                  </pic:blipFill>
                  <pic:spPr>
                    <a:xfrm>
                      <a:off x="0" y="0"/>
                      <a:ext cx="5751195" cy="8716010"/>
                    </a:xfrm>
                    <a:prstGeom prst="rect">
                      <a:avLst/>
                    </a:prstGeom>
                  </pic:spPr>
                </pic:pic>
              </a:graphicData>
            </a:graphic>
          </wp:inline>
        </w:drawing>
      </w:r>
    </w:p>
    <w:p>
      <w:pPr>
        <w:jc w:val="left"/>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lang w:val="en-US" w:eastAsia="zh-CN"/>
        </w:rPr>
        <w:t>附件5 现有工程</w:t>
      </w:r>
      <w:r>
        <w:rPr>
          <w:rFonts w:hint="default" w:ascii="Times New Roman" w:hAnsi="Times New Roman" w:cs="Times New Roman"/>
          <w:b/>
          <w:bCs/>
          <w:sz w:val="24"/>
          <w:szCs w:val="24"/>
          <w:lang w:val="en-US" w:eastAsia="zh-CN"/>
        </w:rPr>
        <w:t>现状评估</w:t>
      </w:r>
      <w:r>
        <w:rPr>
          <w:rFonts w:hint="default" w:ascii="Times New Roman" w:hAnsi="Times New Roman" w:eastAsia="宋体" w:cs="Times New Roman"/>
          <w:b/>
          <w:bCs/>
          <w:sz w:val="24"/>
          <w:szCs w:val="24"/>
          <w:lang w:val="en-US" w:eastAsia="zh-CN"/>
        </w:rPr>
        <w:t>环保文件</w:t>
      </w:r>
    </w:p>
    <w:p>
      <w:pPr>
        <w:jc w:val="center"/>
        <w:rPr>
          <w:rFonts w:hint="default" w:ascii="Times New Roman" w:hAnsi="Times New Roman" w:cs="Times New Roman" w:eastAsiaTheme="minorEastAsia"/>
          <w:b/>
          <w:bCs/>
          <w:lang w:val="en-US" w:eastAsia="zh-CN"/>
        </w:rPr>
      </w:pPr>
      <w:r>
        <w:rPr>
          <w:rFonts w:hint="default" w:ascii="Times New Roman" w:hAnsi="Times New Roman" w:cs="Times New Roman" w:eastAsiaTheme="minorEastAsia"/>
          <w:b/>
          <w:bCs/>
          <w:lang w:val="en-US" w:eastAsia="zh-CN"/>
        </w:rPr>
        <w:drawing>
          <wp:inline distT="0" distB="0" distL="114300" distR="114300">
            <wp:extent cx="5755640" cy="8583295"/>
            <wp:effectExtent l="0" t="0" r="16510" b="8255"/>
            <wp:docPr id="96" name="图片 96" descr="d0b0d2fae5dfad924df95bd51a85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d0b0d2fae5dfad924df95bd51a85e18"/>
                    <pic:cNvPicPr>
                      <a:picLocks noChangeAspect="1"/>
                    </pic:cNvPicPr>
                  </pic:nvPicPr>
                  <pic:blipFill>
                    <a:blip r:embed="rId76"/>
                    <a:srcRect l="8854" t="4067" r="3648" b="10753"/>
                    <a:stretch>
                      <a:fillRect/>
                    </a:stretch>
                  </pic:blipFill>
                  <pic:spPr>
                    <a:xfrm>
                      <a:off x="0" y="0"/>
                      <a:ext cx="5755640" cy="8583295"/>
                    </a:xfrm>
                    <a:prstGeom prst="rect">
                      <a:avLst/>
                    </a:prstGeom>
                  </pic:spPr>
                </pic:pic>
              </a:graphicData>
            </a:graphic>
          </wp:inline>
        </w:drawing>
      </w:r>
    </w:p>
    <w:p>
      <w:pPr>
        <w:jc w:val="center"/>
        <w:rPr>
          <w:rFonts w:hint="default" w:ascii="Times New Roman" w:hAnsi="Times New Roman" w:eastAsia="宋体" w:cs="Times New Roman"/>
          <w:b/>
          <w:bCs/>
          <w:sz w:val="24"/>
          <w:szCs w:val="24"/>
          <w:lang w:val="en-US" w:eastAsia="zh-CN"/>
        </w:rPr>
      </w:pPr>
      <w:r>
        <w:rPr>
          <w:rFonts w:hint="default" w:ascii="Times New Roman" w:hAnsi="Times New Roman" w:cs="Times New Roman" w:eastAsiaTheme="minorEastAsia"/>
          <w:b/>
          <w:bCs/>
          <w:lang w:val="en-US" w:eastAsia="zh-CN"/>
        </w:rPr>
        <w:drawing>
          <wp:inline distT="0" distB="0" distL="114300" distR="114300">
            <wp:extent cx="5784850" cy="8721090"/>
            <wp:effectExtent l="0" t="0" r="6350" b="3810"/>
            <wp:docPr id="98" name="图片 98" descr="8a5405caf50595c513d34913d049e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8a5405caf50595c513d34913d049e54"/>
                    <pic:cNvPicPr>
                      <a:picLocks noChangeAspect="1"/>
                    </pic:cNvPicPr>
                  </pic:nvPicPr>
                  <pic:blipFill>
                    <a:blip r:embed="rId77"/>
                    <a:srcRect l="5976" t="8410" r="7820" b="11462"/>
                    <a:stretch>
                      <a:fillRect/>
                    </a:stretch>
                  </pic:blipFill>
                  <pic:spPr>
                    <a:xfrm>
                      <a:off x="0" y="0"/>
                      <a:ext cx="5784850" cy="8721090"/>
                    </a:xfrm>
                    <a:prstGeom prst="rect">
                      <a:avLst/>
                    </a:prstGeom>
                  </pic:spPr>
                </pic:pic>
              </a:graphicData>
            </a:graphic>
          </wp:inline>
        </w:drawing>
      </w:r>
      <w:r>
        <w:rPr>
          <w:rFonts w:hint="default" w:ascii="Times New Roman" w:hAnsi="Times New Roman" w:cs="Times New Roman"/>
          <w:sz w:val="21"/>
        </w:rPr>
        <mc:AlternateContent>
          <mc:Choice Requires="wps">
            <w:drawing>
              <wp:anchor distT="0" distB="0" distL="114300" distR="114300" simplePos="0" relativeHeight="251701248" behindDoc="0" locked="0" layoutInCell="1" allowOverlap="1">
                <wp:simplePos x="0" y="0"/>
                <wp:positionH relativeFrom="column">
                  <wp:posOffset>-32385</wp:posOffset>
                </wp:positionH>
                <wp:positionV relativeFrom="paragraph">
                  <wp:posOffset>5053330</wp:posOffset>
                </wp:positionV>
                <wp:extent cx="5905500" cy="658495"/>
                <wp:effectExtent l="13970" t="13970" r="24130" b="32385"/>
                <wp:wrapNone/>
                <wp:docPr id="99" name="矩形 99"/>
                <wp:cNvGraphicFramePr/>
                <a:graphic xmlns:a="http://schemas.openxmlformats.org/drawingml/2006/main">
                  <a:graphicData uri="http://schemas.microsoft.com/office/word/2010/wordprocessingShape">
                    <wps:wsp>
                      <wps:cNvSpPr/>
                      <wps:spPr>
                        <a:xfrm>
                          <a:off x="867410" y="5967730"/>
                          <a:ext cx="5905500" cy="65849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5pt;margin-top:397.9pt;height:51.85pt;width:465pt;z-index:251701248;v-text-anchor:middle;mso-width-relative:page;mso-height-relative:page;" filled="f" stroked="t" coordsize="21600,21600" o:gfxdata="UEsDBAoAAAAAAIdO4kAAAAAAAAAAAAAAAAAEAAAAZHJzL1BLAwQUAAAACACHTuJAH3+JqNkAAAAK&#10;AQAADwAAAGRycy9kb3ducmV2LnhtbE2PwU7DMBBE70j8g7VIXFDrpCKlDnF6oELcKhFQuW5iN4mI&#10;11HstoGvZznBcbVPM2+K7ewGcbZT6D1pSJcJCEuNNz21Gt7fnhcbECEiGRw8WQ1fNsC2vL4qMDf+&#10;Qq/2XMVWcAiFHDV0MY65lKHprMOw9KMl/h395DDyObXSTHjhcDfIVZKspcOeuKHD0T51tvmsTk5D&#10;fRiH7+POfcyHak24f9kj7e60vr1Jk0cQ0c7xD4ZffVaHkp1qfyITxKBhkaVManhQGU9gQK3uFYha&#10;w0apDGRZyP8Tyh9QSwMEFAAAAAgAh07iQCMqXeprAgAAwQQAAA4AAABkcnMvZTJvRG9jLnhtbK1U&#10;S44TMRDdI3EHy3umOyGdn6YziiYKQhrBSANi7bjd6Zb8w3bSGS6DxI5DcBzENXh293wYWMyCLJwq&#10;1/Mr13NVn1+clCRH4XxrdElHZzklQnNTtXpf0o8ftq/mlPjAdMWk0aKkt8LTi9XLF+edXYqxaYys&#10;hCMg0X7Z2ZI2IdhllnneCMX8mbFCI1gbp1iA6/ZZ5VgHdiWzcZ5Ps864yjrDhffY3fRBOjC65xCa&#10;um652Bh+UEKHntUJyQJK8k1rPV2l29a14OF9XXsRiCwpKg1pRRLYu7hmq3O23Dtmm5YPV2DPucKT&#10;mhRrNZLeU21YYOTg2r+oVMud8aYOZ9yorC8kKYIqRvkTbW4aZkWqBVJ7ey+6/3+0/N3x2pG2Kuli&#10;QYlmCi/+6+v3nz++EWxAnc76JUA39toNnocZSz3VTsV/FEFOJZ1PZ5MRZL0tabGYzmavB3HFKRCO&#10;eLHIiyIHgAMxLeaTRRH5swci63x4I4wi0Sipw+MlTdnxyoceegeJebXZtlJiny2lJl1Jx/NiVoCf&#10;oStrdANMZVGZ13tKmNyj3XlwidIb2VbxeDzt3X53KR05MjTJdpvjN9zsD1jMvWG+6XEpNMCkRh1R&#10;qF6aaO1MdQthnek7zlu+bXH+ivlwzRxaDEJgCMN7LLU0uL0ZLEoa4778az/i8fKIUtKhZVHZ5wNz&#10;ghL5VqMnFqPJBLQhOZNiNobjHkd2jyP6oC4NCh5h3C1PZsQHeWfWzqhPmNV1zIoQ0xy5ew0H5zL0&#10;o4Rp52K9TjD0tWXhSt9YHsn7l1ofgqnb9IgP6gyiobNTGwxTGEfnsZ9QD1+e1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ff4mo2QAAAAoBAAAPAAAAAAAAAAEAIAAAACIAAABkcnMvZG93bnJldi54&#10;bWxQSwECFAAUAAAACACHTuJAIypd6msCAADBBAAADgAAAAAAAAABACAAAAAoAQAAZHJzL2Uyb0Rv&#10;Yy54bWxQSwUGAAAAAAYABgBZAQAABQYAAAAA&#10;">
                <v:fill on="f" focussize="0,0"/>
                <v:stroke weight="2.25pt" color="#FF0000 [3209]" joinstyle="round"/>
                <v:imagedata o:title=""/>
                <o:lock v:ext="edit" aspectratio="f"/>
              </v:rect>
            </w:pict>
          </mc:Fallback>
        </mc:AlternateContent>
      </w:r>
      <w:r>
        <w:rPr>
          <w:rFonts w:hint="default" w:ascii="Times New Roman" w:hAnsi="Times New Roman" w:cs="Times New Roman" w:eastAsiaTheme="minorEastAsia"/>
          <w:b/>
          <w:bCs/>
          <w:lang w:val="en-US" w:eastAsia="zh-CN"/>
        </w:rPr>
        <w:drawing>
          <wp:inline distT="0" distB="0" distL="114300" distR="114300">
            <wp:extent cx="5842635" cy="8575040"/>
            <wp:effectExtent l="0" t="0" r="5715" b="16510"/>
            <wp:docPr id="100" name="图片 100" descr="c7e8e929db0dc83901a2d5c5b70ab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c7e8e929db0dc83901a2d5c5b70ab33"/>
                    <pic:cNvPicPr>
                      <a:picLocks noChangeAspect="1"/>
                    </pic:cNvPicPr>
                  </pic:nvPicPr>
                  <pic:blipFill>
                    <a:blip r:embed="rId78"/>
                    <a:srcRect l="8064" t="10343" r="6838" b="9509"/>
                    <a:stretch>
                      <a:fillRect/>
                    </a:stretch>
                  </pic:blipFill>
                  <pic:spPr>
                    <a:xfrm>
                      <a:off x="0" y="0"/>
                      <a:ext cx="5842635" cy="8575040"/>
                    </a:xfrm>
                    <a:prstGeom prst="rect">
                      <a:avLst/>
                    </a:prstGeom>
                  </pic:spPr>
                </pic:pic>
              </a:graphicData>
            </a:graphic>
          </wp:inline>
        </w:drawing>
      </w:r>
      <w:r>
        <w:rPr>
          <w:rFonts w:hint="default" w:ascii="Times New Roman" w:hAnsi="Times New Roman" w:cs="Times New Roman" w:eastAsiaTheme="minorEastAsia"/>
          <w:b/>
          <w:bCs/>
          <w:lang w:val="en-US" w:eastAsia="zh-CN"/>
        </w:rPr>
        <w:drawing>
          <wp:inline distT="0" distB="0" distL="114300" distR="114300">
            <wp:extent cx="5757545" cy="7793990"/>
            <wp:effectExtent l="0" t="0" r="14605" b="16510"/>
            <wp:docPr id="95" name="图片 95" descr="密闭_气液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密闭_气液_16"/>
                    <pic:cNvPicPr>
                      <a:picLocks noChangeAspect="1"/>
                    </pic:cNvPicPr>
                  </pic:nvPicPr>
                  <pic:blipFill>
                    <a:blip r:embed="rId79"/>
                    <a:stretch>
                      <a:fillRect/>
                    </a:stretch>
                  </pic:blipFill>
                  <pic:spPr>
                    <a:xfrm>
                      <a:off x="0" y="0"/>
                      <a:ext cx="5757545" cy="7793990"/>
                    </a:xfrm>
                    <a:prstGeom prst="rect">
                      <a:avLst/>
                    </a:prstGeom>
                  </pic:spPr>
                </pic:pic>
              </a:graphicData>
            </a:graphic>
          </wp:inline>
        </w:drawing>
      </w:r>
    </w:p>
    <w:p>
      <w:pPr>
        <w:pStyle w:val="2"/>
        <w:rPr>
          <w:rFonts w:hint="default" w:ascii="Times New Roman" w:hAnsi="Times New Roman" w:cs="Times New Roman"/>
          <w:lang w:val="en-US" w:eastAsia="zh-CN"/>
        </w:rPr>
      </w:pPr>
    </w:p>
    <w:p>
      <w:pPr>
        <w:rPr>
          <w:rFonts w:hint="default" w:ascii="Times New Roman" w:hAnsi="Times New Roman" w:cs="Times New Roman"/>
        </w:rPr>
      </w:pPr>
    </w:p>
    <w:sectPr>
      <w:pgSz w:w="11906" w:h="16838"/>
      <w:pgMar w:top="1440" w:right="1417" w:bottom="1440" w:left="1417"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swiss"/>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Segoe UI"/>
    <w:panose1 w:val="020F0502020204030204"/>
    <w:charset w:val="00"/>
    <w:family w:val="swiss"/>
    <w:pitch w:val="default"/>
    <w:sig w:usb0="00000000" w:usb1="00000000" w:usb2="00000001" w:usb3="00000000" w:csb0="0000019F" w:csb1="00000000"/>
  </w:font>
  <w:font w:name="Segoe UI">
    <w:panose1 w:val="020B0502040204020203"/>
    <w:charset w:val="00"/>
    <w:family w:val="auto"/>
    <w:pitch w:val="default"/>
    <w:sig w:usb0="E4002EFF" w:usb1="C000E47F" w:usb2="00000009" w:usb3="00000000" w:csb0="200001FF" w:csb1="00000000"/>
  </w:font>
  <w:font w:name="等线 Light">
    <w:altName w:val="宋体"/>
    <w:panose1 w:val="02010600030101010101"/>
    <w:charset w:val="86"/>
    <w:family w:val="auto"/>
    <w:pitch w:val="default"/>
    <w:sig w:usb0="00000000" w:usb1="00000000" w:usb2="00000016" w:usb3="00000000" w:csb0="0004000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新宋体-18030">
    <w:altName w:val="宋体"/>
    <w:panose1 w:val="00000000000000000000"/>
    <w:charset w:val="00"/>
    <w:family w:val="auto"/>
    <w:pitch w:val="default"/>
    <w:sig w:usb0="00000000" w:usb1="00000000" w:usb2="00000000" w:usb3="00000000" w:csb0="00040001" w:csb1="00000000"/>
  </w:font>
  <w:font w:name="微软雅黑">
    <w:panose1 w:val="020B0503020204020204"/>
    <w:charset w:val="86"/>
    <w:family w:val="auto"/>
    <w:pitch w:val="default"/>
    <w:sig w:usb0="80000287" w:usb1="2ACF3C50" w:usb2="00000016" w:usb3="00000000" w:csb0="0004001F" w:csb1="00000000"/>
  </w:font>
  <w:font w:name="楷体_GB2312">
    <w:altName w:val="楷体"/>
    <w:panose1 w:val="00000000000000000000"/>
    <w:charset w:val="86"/>
    <w:family w:val="auto"/>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Wingdings 2">
    <w:panose1 w:val="05020102010507070707"/>
    <w:charset w:val="02"/>
    <w:family w:val="auto"/>
    <w:pitch w:val="default"/>
    <w:sig w:usb0="00000000" w:usb1="00000000" w:usb2="00000000" w:usb3="00000000" w:csb0="80000000" w:csb1="00000000"/>
  </w:font>
  <w:font w:name="FZSSK--GBK1-0">
    <w:altName w:val="Segoe Print"/>
    <w:panose1 w:val="00000000000000000000"/>
    <w:charset w:val="00"/>
    <w:family w:val="auto"/>
    <w:pitch w:val="default"/>
    <w:sig w:usb0="00000000" w:usb1="00000000" w:usb2="00000000" w:usb3="00000000" w:csb0="00040001" w:csb1="00000000"/>
  </w:font>
  <w:font w:name="Segoe Print">
    <w:panose1 w:val="02000600000000000000"/>
    <w:charset w:val="00"/>
    <w:family w:val="auto"/>
    <w:pitch w:val="default"/>
    <w:sig w:usb0="0000028F" w:usb1="00000000" w:usb2="00000000" w:usb3="00000000" w:csb0="2000009F" w:csb1="47010000"/>
  </w:font>
  <w:font w:name="Cambria Math">
    <w:panose1 w:val="02040503050406030204"/>
    <w:charset w:val="00"/>
    <w:family w:val="auto"/>
    <w:pitch w:val="default"/>
    <w:sig w:usb0="A00002EF" w:usb1="420020EB" w:usb2="00000000" w:usb3="00000000" w:csb0="2000009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7"/>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文本框 4"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8pfMzMkBAACZAwAADgAAAGRycy9lMm9Eb2MueG1srVPNjtMwEL6vxDtY&#10;vlNnK4SqqOkKVC1CQoC07AO4jt1Y8p88bpO+ALwBJy573+fqczB2ki4slz1wccYz42/m+2ayvhms&#10;IUcZQXvX0OtFRYl0wrfa7Rt6/+329YoSSNy13HgnG3qSQG82r67Wfajl0nfetDISBHFQ96GhXUqh&#10;ZgxEJy2HhQ/SYVD5aHnCa9yzNvIe0a1hy6p6y3of2xC9kADo3Y5BOiHGlwB6pbSQWy8OVro0okZp&#10;eEJK0OkAdFO6VUqK9EUpkImYhiLTVE4sgvYun2yz5vU+8tBpMbXAX9LCM06Wa4dFL1Bbnjg5RP0P&#10;lNUievAqLYS3bCRSFEEW19Uzbe46HmThglJDuIgO/w9WfD5+jUS3DV1S4rjFgZ9//jj/ejw/fCdv&#10;sjx9gBqz7gLmpeG9H3BpZj+gM7MeVLT5i3wIxlHc00VcOSQi8qPVcrWqMCQwNl8Qnz09DxHSB+kt&#10;yUZDI06viMqPnyCNqXNKrub8rTamTNC4vxyImT0s9z72mK007IaJ0M63J+TT4+Ab6nDPKTEfHeqa&#10;d2Q24mzsZuMQot53ZYlyPQjvDgmbKL3lCiPsVBgnVthN25VX4s97yXr6oz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yl8zMyQEAAJkDAAAOAAAAAAAAAAEAIAAAAB4BAABkcnMvZTJvRG9j&#10;LnhtbFBLBQYAAAAABgAGAFkBAABZBQAAAAA=&#10;">
              <v:fill on="f" focussize="0,0"/>
              <v:stroke on="f"/>
              <v:imagedata o:title=""/>
              <o:lock v:ext="edit" aspectratio="f"/>
              <v:textbox inset="0mm,0mm,0mm,0mm" style="mso-fit-shape-to-text:t;">
                <w:txbxContent>
                  <w:p>
                    <w:pPr>
                      <w:pStyle w:val="27"/>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27"/>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vF7+8kBAACZAwAADgAAAGRycy9lMm9Eb2MueG1srVPNjtMwEL4j8Q6W&#10;79TZIlAVNV2BqkVICJCWfQDXsRtL/pPHbdIXgDfgxIU7z9XnYOwkXdi97GEvznhm/M1830zW14M1&#10;5CgjaO8aerWoKJFO+Fa7fUPvvt28WlECibuWG+9kQ08S6PXm5Yt1H2q59J03rYwEQRzUfWhol1Ko&#10;GQPRScth4YN0GFQ+Wp7wGvesjbxHdGvYsqrest7HNkQvJAB6t2OQTojxKYBeKS3k1ouDlS6NqFEa&#10;npASdDoA3ZRulZIifVEKZCKmocg0lROLoL3LJ9useb2PPHRaTC3wp7TwgJPl2mHRC9SWJ04OUT+C&#10;slpED16lhfCWjUSKIsjiqnqgzW3HgyxcUGoIF9Hh+WDF5+PXSHTb0NeUOG5x4OefP86//px/fydv&#10;sjx9gBqzbgPmpeG9H3BpZj+gM7MeVLT5i3wIxlHc00VcOSQi8qPVcrWqMCQwNl8Qn90/DxHSB+kt&#10;yUZDI06viMqPnyCNqXNKrub8jTamTNC4/xyImT0s9z72mK007IaJ0M63J+TT4+Ab6nDPKTEfHeqa&#10;d2Q24mzsZuMQot53ZYlyPQjvDgmbKL3lCiPsVBgnVthN25VX4t97ybr/ozZ/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C8Xv7yQEAAJkDAAAOAAAAAAAAAAEAIAAAAB4BAABkcnMvZTJvRG9j&#10;LnhtbFBLBQYAAAAABgAGAFkBAABZBQAAAAA=&#10;">
              <v:fill on="f" focussize="0,0"/>
              <v:stroke on="f"/>
              <v:imagedata o:title=""/>
              <o:lock v:ext="edit" aspectratio="f"/>
              <v:textbox inset="0mm,0mm,0mm,0mm" style="mso-fit-shape-to-text:t;">
                <w:txbxContent>
                  <w:p>
                    <w:pPr>
                      <w:pStyle w:val="27"/>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ind w:right="360" w:firstLine="360"/>
      <w:jc w:val="center"/>
      <w:rPr>
        <w:rFonts w:hint="eastAsia" w:eastAsia="宋体"/>
        <w:lang w:val="en-US" w:eastAsia="zh-CN"/>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022D27"/>
    <w:multiLevelType w:val="singleLevel"/>
    <w:tmpl w:val="82022D27"/>
    <w:lvl w:ilvl="0" w:tentative="0">
      <w:start w:val="1"/>
      <w:numFmt w:val="decimal"/>
      <w:suff w:val="nothing"/>
      <w:lvlText w:val="（%1）"/>
      <w:lvlJc w:val="left"/>
    </w:lvl>
  </w:abstractNum>
  <w:abstractNum w:abstractNumId="1">
    <w:nsid w:val="916A24B5"/>
    <w:multiLevelType w:val="singleLevel"/>
    <w:tmpl w:val="916A24B5"/>
    <w:lvl w:ilvl="0" w:tentative="0">
      <w:start w:val="2"/>
      <w:numFmt w:val="decimal"/>
      <w:suff w:val="nothing"/>
      <w:lvlText w:val="（%1）"/>
      <w:lvlJc w:val="left"/>
    </w:lvl>
  </w:abstractNum>
  <w:abstractNum w:abstractNumId="2">
    <w:nsid w:val="BCDF187E"/>
    <w:multiLevelType w:val="singleLevel"/>
    <w:tmpl w:val="BCDF187E"/>
    <w:lvl w:ilvl="0" w:tentative="0">
      <w:start w:val="1"/>
      <w:numFmt w:val="decimal"/>
      <w:suff w:val="nothing"/>
      <w:lvlText w:val="（%1）"/>
      <w:lvlJc w:val="left"/>
    </w:lvl>
  </w:abstractNum>
  <w:abstractNum w:abstractNumId="3">
    <w:nsid w:val="22BCCDB5"/>
    <w:multiLevelType w:val="singleLevel"/>
    <w:tmpl w:val="22BCCDB5"/>
    <w:lvl w:ilvl="0" w:tentative="0">
      <w:start w:val="1"/>
      <w:numFmt w:val="decimal"/>
      <w:suff w:val="nothing"/>
      <w:lvlText w:val="%1、"/>
      <w:lvlJc w:val="left"/>
    </w:lvl>
  </w:abstractNum>
  <w:abstractNum w:abstractNumId="4">
    <w:nsid w:val="29D25D23"/>
    <w:multiLevelType w:val="singleLevel"/>
    <w:tmpl w:val="29D25D23"/>
    <w:lvl w:ilvl="0" w:tentative="0">
      <w:start w:val="1"/>
      <w:numFmt w:val="bullet"/>
      <w:pStyle w:val="11"/>
      <w:lvlText w:val=""/>
      <w:lvlJc w:val="left"/>
      <w:pPr>
        <w:tabs>
          <w:tab w:val="left" w:pos="780"/>
        </w:tabs>
        <w:ind w:left="780" w:hanging="360"/>
      </w:pPr>
      <w:rPr>
        <w:rFonts w:hint="default" w:ascii="Wingdings" w:hAnsi="Wingdings"/>
      </w:rPr>
    </w:lvl>
  </w:abstractNum>
  <w:abstractNum w:abstractNumId="5">
    <w:nsid w:val="5A21CD5D"/>
    <w:multiLevelType w:val="singleLevel"/>
    <w:tmpl w:val="5A21CD5D"/>
    <w:lvl w:ilvl="0" w:tentative="0">
      <w:start w:val="1"/>
      <w:numFmt w:val="decimal"/>
      <w:suff w:val="nothing"/>
      <w:lvlText w:val="（%1）"/>
      <w:lvlJc w:val="left"/>
    </w:lvl>
  </w:abstractNum>
  <w:num w:numId="1">
    <w:abstractNumId w:val="4"/>
  </w:num>
  <w:num w:numId="2">
    <w:abstractNumId w:val="3"/>
  </w:num>
  <w:num w:numId="3">
    <w:abstractNumId w:val="1"/>
  </w:num>
  <w:num w:numId="4">
    <w:abstractNumId w:val="2"/>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80"/>
  <w:displayBackgroundShape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1"/>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1"/>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I4MjI0NzhkMDZkYWE4ZDI0MDNlYmRmMTc2YmIwYTkifQ=="/>
  </w:docVars>
  <w:rsids>
    <w:rsidRoot w:val="00A14947"/>
    <w:rsid w:val="000010E2"/>
    <w:rsid w:val="00001AD1"/>
    <w:rsid w:val="000035EB"/>
    <w:rsid w:val="0000368F"/>
    <w:rsid w:val="00004BC9"/>
    <w:rsid w:val="0000550A"/>
    <w:rsid w:val="00005C67"/>
    <w:rsid w:val="000060B3"/>
    <w:rsid w:val="00006767"/>
    <w:rsid w:val="0000684F"/>
    <w:rsid w:val="00012578"/>
    <w:rsid w:val="00012E5E"/>
    <w:rsid w:val="00013CCE"/>
    <w:rsid w:val="00013F26"/>
    <w:rsid w:val="000142DC"/>
    <w:rsid w:val="000157E3"/>
    <w:rsid w:val="00016FC9"/>
    <w:rsid w:val="00017FC8"/>
    <w:rsid w:val="00021BC4"/>
    <w:rsid w:val="00022028"/>
    <w:rsid w:val="00025568"/>
    <w:rsid w:val="00025D1B"/>
    <w:rsid w:val="000312F8"/>
    <w:rsid w:val="00031EC5"/>
    <w:rsid w:val="0003200E"/>
    <w:rsid w:val="00032C63"/>
    <w:rsid w:val="00033B7B"/>
    <w:rsid w:val="0003522F"/>
    <w:rsid w:val="000352F3"/>
    <w:rsid w:val="00035421"/>
    <w:rsid w:val="00042045"/>
    <w:rsid w:val="000426C5"/>
    <w:rsid w:val="0004276A"/>
    <w:rsid w:val="0004364B"/>
    <w:rsid w:val="000502FA"/>
    <w:rsid w:val="00053B25"/>
    <w:rsid w:val="00054909"/>
    <w:rsid w:val="0005523B"/>
    <w:rsid w:val="00055965"/>
    <w:rsid w:val="00056E95"/>
    <w:rsid w:val="000572CB"/>
    <w:rsid w:val="00061B1F"/>
    <w:rsid w:val="00066ACD"/>
    <w:rsid w:val="00070FF5"/>
    <w:rsid w:val="00071D76"/>
    <w:rsid w:val="000731DD"/>
    <w:rsid w:val="000733C4"/>
    <w:rsid w:val="00074783"/>
    <w:rsid w:val="00074A66"/>
    <w:rsid w:val="00075C48"/>
    <w:rsid w:val="000761BB"/>
    <w:rsid w:val="00077473"/>
    <w:rsid w:val="0008070B"/>
    <w:rsid w:val="000810AC"/>
    <w:rsid w:val="0008145A"/>
    <w:rsid w:val="00081A00"/>
    <w:rsid w:val="00081A02"/>
    <w:rsid w:val="00082231"/>
    <w:rsid w:val="00082AC3"/>
    <w:rsid w:val="00083CA8"/>
    <w:rsid w:val="000847E5"/>
    <w:rsid w:val="00085350"/>
    <w:rsid w:val="000853CE"/>
    <w:rsid w:val="00086A12"/>
    <w:rsid w:val="00092D38"/>
    <w:rsid w:val="0009377B"/>
    <w:rsid w:val="000941AE"/>
    <w:rsid w:val="00094955"/>
    <w:rsid w:val="0009531E"/>
    <w:rsid w:val="00096AF0"/>
    <w:rsid w:val="00097E43"/>
    <w:rsid w:val="000A10D6"/>
    <w:rsid w:val="000A20C9"/>
    <w:rsid w:val="000A30A1"/>
    <w:rsid w:val="000B0319"/>
    <w:rsid w:val="000B058F"/>
    <w:rsid w:val="000B18AB"/>
    <w:rsid w:val="000B4467"/>
    <w:rsid w:val="000B4B56"/>
    <w:rsid w:val="000B4DB9"/>
    <w:rsid w:val="000B58DA"/>
    <w:rsid w:val="000C09AC"/>
    <w:rsid w:val="000C41A7"/>
    <w:rsid w:val="000C5FD8"/>
    <w:rsid w:val="000C6606"/>
    <w:rsid w:val="000C68F5"/>
    <w:rsid w:val="000C767F"/>
    <w:rsid w:val="000D25D1"/>
    <w:rsid w:val="000D57CD"/>
    <w:rsid w:val="000D5A44"/>
    <w:rsid w:val="000D6191"/>
    <w:rsid w:val="000D6717"/>
    <w:rsid w:val="000E0F3E"/>
    <w:rsid w:val="000E3ED2"/>
    <w:rsid w:val="000E427C"/>
    <w:rsid w:val="000E4907"/>
    <w:rsid w:val="000E5869"/>
    <w:rsid w:val="000E64F9"/>
    <w:rsid w:val="000F0545"/>
    <w:rsid w:val="000F073D"/>
    <w:rsid w:val="000F17E0"/>
    <w:rsid w:val="000F3B10"/>
    <w:rsid w:val="000F40E2"/>
    <w:rsid w:val="000F49F2"/>
    <w:rsid w:val="0010101E"/>
    <w:rsid w:val="001013CC"/>
    <w:rsid w:val="00101CE3"/>
    <w:rsid w:val="00110C06"/>
    <w:rsid w:val="0011337B"/>
    <w:rsid w:val="001141D6"/>
    <w:rsid w:val="00115E07"/>
    <w:rsid w:val="001170B4"/>
    <w:rsid w:val="0012426D"/>
    <w:rsid w:val="001251BE"/>
    <w:rsid w:val="00131F42"/>
    <w:rsid w:val="00134B95"/>
    <w:rsid w:val="00134BBD"/>
    <w:rsid w:val="001357F1"/>
    <w:rsid w:val="00135A43"/>
    <w:rsid w:val="00140B7C"/>
    <w:rsid w:val="00140FA8"/>
    <w:rsid w:val="001415FD"/>
    <w:rsid w:val="0014231D"/>
    <w:rsid w:val="00142879"/>
    <w:rsid w:val="00142FEB"/>
    <w:rsid w:val="00143A2D"/>
    <w:rsid w:val="001444D2"/>
    <w:rsid w:val="001456C4"/>
    <w:rsid w:val="00145A41"/>
    <w:rsid w:val="00146B2F"/>
    <w:rsid w:val="00147536"/>
    <w:rsid w:val="001479AD"/>
    <w:rsid w:val="00147AC4"/>
    <w:rsid w:val="001514E0"/>
    <w:rsid w:val="00151675"/>
    <w:rsid w:val="00152A2C"/>
    <w:rsid w:val="00153275"/>
    <w:rsid w:val="0015616D"/>
    <w:rsid w:val="00157435"/>
    <w:rsid w:val="0016013F"/>
    <w:rsid w:val="00160B38"/>
    <w:rsid w:val="001654E3"/>
    <w:rsid w:val="00165E6D"/>
    <w:rsid w:val="001674E1"/>
    <w:rsid w:val="00171207"/>
    <w:rsid w:val="00171D98"/>
    <w:rsid w:val="00172021"/>
    <w:rsid w:val="00172727"/>
    <w:rsid w:val="00172E8C"/>
    <w:rsid w:val="00174BCD"/>
    <w:rsid w:val="0017504D"/>
    <w:rsid w:val="0017671A"/>
    <w:rsid w:val="00176F02"/>
    <w:rsid w:val="00177422"/>
    <w:rsid w:val="001774C8"/>
    <w:rsid w:val="00177D80"/>
    <w:rsid w:val="0018078B"/>
    <w:rsid w:val="00180F33"/>
    <w:rsid w:val="00181954"/>
    <w:rsid w:val="001819AD"/>
    <w:rsid w:val="00182248"/>
    <w:rsid w:val="001830A8"/>
    <w:rsid w:val="00184590"/>
    <w:rsid w:val="00184A64"/>
    <w:rsid w:val="001866C9"/>
    <w:rsid w:val="001870D1"/>
    <w:rsid w:val="0018781E"/>
    <w:rsid w:val="00190A64"/>
    <w:rsid w:val="001924A3"/>
    <w:rsid w:val="0019262D"/>
    <w:rsid w:val="00192F1C"/>
    <w:rsid w:val="00192F8C"/>
    <w:rsid w:val="001958BF"/>
    <w:rsid w:val="00195985"/>
    <w:rsid w:val="00197FD0"/>
    <w:rsid w:val="001A0F61"/>
    <w:rsid w:val="001A1B35"/>
    <w:rsid w:val="001A1BFD"/>
    <w:rsid w:val="001A48A2"/>
    <w:rsid w:val="001A696D"/>
    <w:rsid w:val="001A6F61"/>
    <w:rsid w:val="001B259F"/>
    <w:rsid w:val="001B2907"/>
    <w:rsid w:val="001B2B98"/>
    <w:rsid w:val="001B2EE9"/>
    <w:rsid w:val="001B4C3C"/>
    <w:rsid w:val="001B4E76"/>
    <w:rsid w:val="001B72B8"/>
    <w:rsid w:val="001C1BC3"/>
    <w:rsid w:val="001C1CA1"/>
    <w:rsid w:val="001C3BE0"/>
    <w:rsid w:val="001C56B9"/>
    <w:rsid w:val="001C6944"/>
    <w:rsid w:val="001C69B3"/>
    <w:rsid w:val="001C728D"/>
    <w:rsid w:val="001C72BF"/>
    <w:rsid w:val="001D20DA"/>
    <w:rsid w:val="001D369A"/>
    <w:rsid w:val="001D45F1"/>
    <w:rsid w:val="001D5595"/>
    <w:rsid w:val="001D693B"/>
    <w:rsid w:val="001D6E0C"/>
    <w:rsid w:val="001D7874"/>
    <w:rsid w:val="001D7E0A"/>
    <w:rsid w:val="001D7F22"/>
    <w:rsid w:val="001E067A"/>
    <w:rsid w:val="001E2620"/>
    <w:rsid w:val="001E2A0D"/>
    <w:rsid w:val="001E5304"/>
    <w:rsid w:val="001E6469"/>
    <w:rsid w:val="001E6777"/>
    <w:rsid w:val="001E6AE9"/>
    <w:rsid w:val="001E77AA"/>
    <w:rsid w:val="001F01DB"/>
    <w:rsid w:val="001F08C4"/>
    <w:rsid w:val="001F0F17"/>
    <w:rsid w:val="001F3347"/>
    <w:rsid w:val="001F3604"/>
    <w:rsid w:val="001F4513"/>
    <w:rsid w:val="001F4C57"/>
    <w:rsid w:val="001F4E7B"/>
    <w:rsid w:val="001F5C10"/>
    <w:rsid w:val="001F69E4"/>
    <w:rsid w:val="00200651"/>
    <w:rsid w:val="00201066"/>
    <w:rsid w:val="00201A43"/>
    <w:rsid w:val="00202BC3"/>
    <w:rsid w:val="00202FBE"/>
    <w:rsid w:val="00205CD5"/>
    <w:rsid w:val="00206B12"/>
    <w:rsid w:val="0020714A"/>
    <w:rsid w:val="00207230"/>
    <w:rsid w:val="002125B4"/>
    <w:rsid w:val="00213062"/>
    <w:rsid w:val="002130C9"/>
    <w:rsid w:val="00214916"/>
    <w:rsid w:val="002155B8"/>
    <w:rsid w:val="00215A99"/>
    <w:rsid w:val="00215B4D"/>
    <w:rsid w:val="00217D36"/>
    <w:rsid w:val="00220622"/>
    <w:rsid w:val="002208CE"/>
    <w:rsid w:val="00220A03"/>
    <w:rsid w:val="00221457"/>
    <w:rsid w:val="00224839"/>
    <w:rsid w:val="002249B2"/>
    <w:rsid w:val="00226574"/>
    <w:rsid w:val="002278EC"/>
    <w:rsid w:val="00227E58"/>
    <w:rsid w:val="00227E7F"/>
    <w:rsid w:val="0023280E"/>
    <w:rsid w:val="00233F27"/>
    <w:rsid w:val="00235795"/>
    <w:rsid w:val="00235DAB"/>
    <w:rsid w:val="002363D2"/>
    <w:rsid w:val="00236AF3"/>
    <w:rsid w:val="002377D1"/>
    <w:rsid w:val="00237D87"/>
    <w:rsid w:val="00243010"/>
    <w:rsid w:val="00245358"/>
    <w:rsid w:val="00245594"/>
    <w:rsid w:val="00246A04"/>
    <w:rsid w:val="002506BC"/>
    <w:rsid w:val="00250C38"/>
    <w:rsid w:val="002513D8"/>
    <w:rsid w:val="00251F76"/>
    <w:rsid w:val="00252BD4"/>
    <w:rsid w:val="002533DD"/>
    <w:rsid w:val="00254345"/>
    <w:rsid w:val="00254BBD"/>
    <w:rsid w:val="00255B12"/>
    <w:rsid w:val="0025633C"/>
    <w:rsid w:val="002565E6"/>
    <w:rsid w:val="00257F3E"/>
    <w:rsid w:val="00260161"/>
    <w:rsid w:val="00262C70"/>
    <w:rsid w:val="00263A72"/>
    <w:rsid w:val="00263F9D"/>
    <w:rsid w:val="00264557"/>
    <w:rsid w:val="00264B06"/>
    <w:rsid w:val="00272D9E"/>
    <w:rsid w:val="00272EBA"/>
    <w:rsid w:val="00273EBE"/>
    <w:rsid w:val="00277FD5"/>
    <w:rsid w:val="00280164"/>
    <w:rsid w:val="002805AB"/>
    <w:rsid w:val="00284204"/>
    <w:rsid w:val="00286B10"/>
    <w:rsid w:val="002873B5"/>
    <w:rsid w:val="0029057A"/>
    <w:rsid w:val="00291773"/>
    <w:rsid w:val="002920FA"/>
    <w:rsid w:val="00294BC7"/>
    <w:rsid w:val="00294C76"/>
    <w:rsid w:val="0029598F"/>
    <w:rsid w:val="002977F1"/>
    <w:rsid w:val="002A01BC"/>
    <w:rsid w:val="002A14F4"/>
    <w:rsid w:val="002A168C"/>
    <w:rsid w:val="002A3DC7"/>
    <w:rsid w:val="002A606B"/>
    <w:rsid w:val="002A7BE5"/>
    <w:rsid w:val="002B100E"/>
    <w:rsid w:val="002B2785"/>
    <w:rsid w:val="002B49E2"/>
    <w:rsid w:val="002B49FF"/>
    <w:rsid w:val="002B561C"/>
    <w:rsid w:val="002B5BDF"/>
    <w:rsid w:val="002B7B00"/>
    <w:rsid w:val="002B7C44"/>
    <w:rsid w:val="002C1DDE"/>
    <w:rsid w:val="002C2B17"/>
    <w:rsid w:val="002C2D19"/>
    <w:rsid w:val="002C3DD5"/>
    <w:rsid w:val="002C6B9A"/>
    <w:rsid w:val="002C7B26"/>
    <w:rsid w:val="002D38B2"/>
    <w:rsid w:val="002D3DD0"/>
    <w:rsid w:val="002D4726"/>
    <w:rsid w:val="002D64C3"/>
    <w:rsid w:val="002E1456"/>
    <w:rsid w:val="002E1F3A"/>
    <w:rsid w:val="002E298A"/>
    <w:rsid w:val="002E4378"/>
    <w:rsid w:val="002E5360"/>
    <w:rsid w:val="002E5876"/>
    <w:rsid w:val="002F3223"/>
    <w:rsid w:val="003002B1"/>
    <w:rsid w:val="0030049E"/>
    <w:rsid w:val="00301978"/>
    <w:rsid w:val="00303258"/>
    <w:rsid w:val="0030332C"/>
    <w:rsid w:val="003036BB"/>
    <w:rsid w:val="003051C2"/>
    <w:rsid w:val="003054CD"/>
    <w:rsid w:val="00306E33"/>
    <w:rsid w:val="00312296"/>
    <w:rsid w:val="0031273A"/>
    <w:rsid w:val="00314F0E"/>
    <w:rsid w:val="00316FEC"/>
    <w:rsid w:val="00317C8B"/>
    <w:rsid w:val="00320352"/>
    <w:rsid w:val="00320B43"/>
    <w:rsid w:val="00321D8E"/>
    <w:rsid w:val="00322378"/>
    <w:rsid w:val="0032431F"/>
    <w:rsid w:val="00324670"/>
    <w:rsid w:val="00325928"/>
    <w:rsid w:val="00327739"/>
    <w:rsid w:val="00327815"/>
    <w:rsid w:val="00330902"/>
    <w:rsid w:val="0033139D"/>
    <w:rsid w:val="00332863"/>
    <w:rsid w:val="003340AB"/>
    <w:rsid w:val="0033416C"/>
    <w:rsid w:val="00336320"/>
    <w:rsid w:val="0033676B"/>
    <w:rsid w:val="0033684D"/>
    <w:rsid w:val="003377FC"/>
    <w:rsid w:val="00337B42"/>
    <w:rsid w:val="00337FA0"/>
    <w:rsid w:val="00341B42"/>
    <w:rsid w:val="00341E4C"/>
    <w:rsid w:val="00342380"/>
    <w:rsid w:val="0034348F"/>
    <w:rsid w:val="003435BC"/>
    <w:rsid w:val="00343F4E"/>
    <w:rsid w:val="003459BE"/>
    <w:rsid w:val="00347962"/>
    <w:rsid w:val="0035113F"/>
    <w:rsid w:val="0035116F"/>
    <w:rsid w:val="00352F20"/>
    <w:rsid w:val="00354E3A"/>
    <w:rsid w:val="00356134"/>
    <w:rsid w:val="00356653"/>
    <w:rsid w:val="00356D70"/>
    <w:rsid w:val="0035743F"/>
    <w:rsid w:val="00357B33"/>
    <w:rsid w:val="00357BE2"/>
    <w:rsid w:val="0036170C"/>
    <w:rsid w:val="003617C7"/>
    <w:rsid w:val="003629FA"/>
    <w:rsid w:val="00364632"/>
    <w:rsid w:val="00366E0F"/>
    <w:rsid w:val="00367653"/>
    <w:rsid w:val="00371313"/>
    <w:rsid w:val="00371F90"/>
    <w:rsid w:val="003722D2"/>
    <w:rsid w:val="00373621"/>
    <w:rsid w:val="00374450"/>
    <w:rsid w:val="00376827"/>
    <w:rsid w:val="00377D41"/>
    <w:rsid w:val="003800F3"/>
    <w:rsid w:val="00381A72"/>
    <w:rsid w:val="00381C87"/>
    <w:rsid w:val="00382A83"/>
    <w:rsid w:val="003835B2"/>
    <w:rsid w:val="00384676"/>
    <w:rsid w:val="00385BA0"/>
    <w:rsid w:val="00385E8D"/>
    <w:rsid w:val="00386037"/>
    <w:rsid w:val="00386A49"/>
    <w:rsid w:val="00390857"/>
    <w:rsid w:val="00392201"/>
    <w:rsid w:val="00392B69"/>
    <w:rsid w:val="00392EB5"/>
    <w:rsid w:val="0039438A"/>
    <w:rsid w:val="00394BA2"/>
    <w:rsid w:val="003A120A"/>
    <w:rsid w:val="003A4BF3"/>
    <w:rsid w:val="003A51D7"/>
    <w:rsid w:val="003A7842"/>
    <w:rsid w:val="003B0D05"/>
    <w:rsid w:val="003B0E3D"/>
    <w:rsid w:val="003B104B"/>
    <w:rsid w:val="003B1C34"/>
    <w:rsid w:val="003B3BAA"/>
    <w:rsid w:val="003B420D"/>
    <w:rsid w:val="003B67AE"/>
    <w:rsid w:val="003B7055"/>
    <w:rsid w:val="003C2640"/>
    <w:rsid w:val="003C3A00"/>
    <w:rsid w:val="003C3EE1"/>
    <w:rsid w:val="003C468C"/>
    <w:rsid w:val="003C60BB"/>
    <w:rsid w:val="003C6C16"/>
    <w:rsid w:val="003D252A"/>
    <w:rsid w:val="003D499E"/>
    <w:rsid w:val="003D7505"/>
    <w:rsid w:val="003D794D"/>
    <w:rsid w:val="003E0213"/>
    <w:rsid w:val="003E1199"/>
    <w:rsid w:val="003E2C9D"/>
    <w:rsid w:val="003E3058"/>
    <w:rsid w:val="003E4CD7"/>
    <w:rsid w:val="003E6AAC"/>
    <w:rsid w:val="003E6B59"/>
    <w:rsid w:val="003E76A9"/>
    <w:rsid w:val="003F0809"/>
    <w:rsid w:val="003F25E7"/>
    <w:rsid w:val="003F3B6C"/>
    <w:rsid w:val="003F6A8C"/>
    <w:rsid w:val="003F755C"/>
    <w:rsid w:val="0040011C"/>
    <w:rsid w:val="00401330"/>
    <w:rsid w:val="00402B52"/>
    <w:rsid w:val="00403176"/>
    <w:rsid w:val="004049B8"/>
    <w:rsid w:val="00405AB5"/>
    <w:rsid w:val="004067D2"/>
    <w:rsid w:val="00406F01"/>
    <w:rsid w:val="00410EF3"/>
    <w:rsid w:val="00411F65"/>
    <w:rsid w:val="00416D50"/>
    <w:rsid w:val="00416FD5"/>
    <w:rsid w:val="00417772"/>
    <w:rsid w:val="00420E6A"/>
    <w:rsid w:val="004250E7"/>
    <w:rsid w:val="00425712"/>
    <w:rsid w:val="004257ED"/>
    <w:rsid w:val="00425A9E"/>
    <w:rsid w:val="004262A0"/>
    <w:rsid w:val="004265BB"/>
    <w:rsid w:val="00426D6B"/>
    <w:rsid w:val="0043041D"/>
    <w:rsid w:val="00430EF7"/>
    <w:rsid w:val="00431E6C"/>
    <w:rsid w:val="00432A3E"/>
    <w:rsid w:val="00432B58"/>
    <w:rsid w:val="00433CE7"/>
    <w:rsid w:val="00434F51"/>
    <w:rsid w:val="00435C9D"/>
    <w:rsid w:val="00435D69"/>
    <w:rsid w:val="00437707"/>
    <w:rsid w:val="00437DD8"/>
    <w:rsid w:val="004408C0"/>
    <w:rsid w:val="0044141F"/>
    <w:rsid w:val="0044163B"/>
    <w:rsid w:val="00447183"/>
    <w:rsid w:val="0044783D"/>
    <w:rsid w:val="00451483"/>
    <w:rsid w:val="00452738"/>
    <w:rsid w:val="004528B0"/>
    <w:rsid w:val="00452941"/>
    <w:rsid w:val="004534BF"/>
    <w:rsid w:val="004539D9"/>
    <w:rsid w:val="00456091"/>
    <w:rsid w:val="00456DD6"/>
    <w:rsid w:val="00460BC4"/>
    <w:rsid w:val="004621F8"/>
    <w:rsid w:val="00464AE8"/>
    <w:rsid w:val="004653F8"/>
    <w:rsid w:val="00465CF8"/>
    <w:rsid w:val="00466321"/>
    <w:rsid w:val="00467889"/>
    <w:rsid w:val="004738A1"/>
    <w:rsid w:val="00473D10"/>
    <w:rsid w:val="004811C0"/>
    <w:rsid w:val="004811CC"/>
    <w:rsid w:val="00482DBF"/>
    <w:rsid w:val="00483E74"/>
    <w:rsid w:val="00484B9B"/>
    <w:rsid w:val="00484F8E"/>
    <w:rsid w:val="004855F6"/>
    <w:rsid w:val="0048661E"/>
    <w:rsid w:val="00492C7B"/>
    <w:rsid w:val="00493602"/>
    <w:rsid w:val="00494670"/>
    <w:rsid w:val="00496022"/>
    <w:rsid w:val="00496F2E"/>
    <w:rsid w:val="004A23D1"/>
    <w:rsid w:val="004A2552"/>
    <w:rsid w:val="004A2E0B"/>
    <w:rsid w:val="004A34BC"/>
    <w:rsid w:val="004A3823"/>
    <w:rsid w:val="004B448C"/>
    <w:rsid w:val="004B5EAE"/>
    <w:rsid w:val="004C06F2"/>
    <w:rsid w:val="004C363B"/>
    <w:rsid w:val="004C6A21"/>
    <w:rsid w:val="004D137C"/>
    <w:rsid w:val="004D5440"/>
    <w:rsid w:val="004D69AC"/>
    <w:rsid w:val="004D6F91"/>
    <w:rsid w:val="004D7017"/>
    <w:rsid w:val="004D7EC3"/>
    <w:rsid w:val="004E21B3"/>
    <w:rsid w:val="004E2CD9"/>
    <w:rsid w:val="004E326F"/>
    <w:rsid w:val="004E6946"/>
    <w:rsid w:val="004E6990"/>
    <w:rsid w:val="004E69CA"/>
    <w:rsid w:val="004F0E21"/>
    <w:rsid w:val="004F1AD8"/>
    <w:rsid w:val="004F1C25"/>
    <w:rsid w:val="004F3840"/>
    <w:rsid w:val="004F3913"/>
    <w:rsid w:val="004F5A87"/>
    <w:rsid w:val="004F6DED"/>
    <w:rsid w:val="004F7F0A"/>
    <w:rsid w:val="00501787"/>
    <w:rsid w:val="00501FE0"/>
    <w:rsid w:val="005022F3"/>
    <w:rsid w:val="005039CB"/>
    <w:rsid w:val="00503A5D"/>
    <w:rsid w:val="0050433A"/>
    <w:rsid w:val="0050558F"/>
    <w:rsid w:val="00505AB1"/>
    <w:rsid w:val="00505CC0"/>
    <w:rsid w:val="00506286"/>
    <w:rsid w:val="0050680F"/>
    <w:rsid w:val="005073AE"/>
    <w:rsid w:val="00507F71"/>
    <w:rsid w:val="00510813"/>
    <w:rsid w:val="00511990"/>
    <w:rsid w:val="00511DE0"/>
    <w:rsid w:val="00512FFD"/>
    <w:rsid w:val="00513209"/>
    <w:rsid w:val="005146D2"/>
    <w:rsid w:val="00514870"/>
    <w:rsid w:val="00514B9B"/>
    <w:rsid w:val="00517C1E"/>
    <w:rsid w:val="00517F02"/>
    <w:rsid w:val="00520EE8"/>
    <w:rsid w:val="00524303"/>
    <w:rsid w:val="0052459C"/>
    <w:rsid w:val="005258A2"/>
    <w:rsid w:val="005304F3"/>
    <w:rsid w:val="00534B61"/>
    <w:rsid w:val="005352A4"/>
    <w:rsid w:val="00535328"/>
    <w:rsid w:val="00535351"/>
    <w:rsid w:val="005401AE"/>
    <w:rsid w:val="00542E07"/>
    <w:rsid w:val="0054537C"/>
    <w:rsid w:val="00545424"/>
    <w:rsid w:val="00545834"/>
    <w:rsid w:val="00545C97"/>
    <w:rsid w:val="005513F5"/>
    <w:rsid w:val="00552B35"/>
    <w:rsid w:val="00554A7B"/>
    <w:rsid w:val="00555385"/>
    <w:rsid w:val="0055572C"/>
    <w:rsid w:val="005560BF"/>
    <w:rsid w:val="00557CE5"/>
    <w:rsid w:val="0056106A"/>
    <w:rsid w:val="00565279"/>
    <w:rsid w:val="00570031"/>
    <w:rsid w:val="0057074C"/>
    <w:rsid w:val="005720AE"/>
    <w:rsid w:val="005746D9"/>
    <w:rsid w:val="005756D4"/>
    <w:rsid w:val="005776C0"/>
    <w:rsid w:val="005816B9"/>
    <w:rsid w:val="005848E3"/>
    <w:rsid w:val="00585D9D"/>
    <w:rsid w:val="00590CF8"/>
    <w:rsid w:val="00591E63"/>
    <w:rsid w:val="0059233D"/>
    <w:rsid w:val="00592C98"/>
    <w:rsid w:val="005939C4"/>
    <w:rsid w:val="00594D77"/>
    <w:rsid w:val="00595684"/>
    <w:rsid w:val="005963AD"/>
    <w:rsid w:val="005969E4"/>
    <w:rsid w:val="00597E83"/>
    <w:rsid w:val="00597F9B"/>
    <w:rsid w:val="005A06B7"/>
    <w:rsid w:val="005A1495"/>
    <w:rsid w:val="005A1759"/>
    <w:rsid w:val="005A1B9B"/>
    <w:rsid w:val="005A30BB"/>
    <w:rsid w:val="005A45FF"/>
    <w:rsid w:val="005A64A5"/>
    <w:rsid w:val="005A68A7"/>
    <w:rsid w:val="005B05FF"/>
    <w:rsid w:val="005B21B9"/>
    <w:rsid w:val="005B2CAA"/>
    <w:rsid w:val="005B2DA9"/>
    <w:rsid w:val="005B3A7B"/>
    <w:rsid w:val="005B4597"/>
    <w:rsid w:val="005B5274"/>
    <w:rsid w:val="005C0F4D"/>
    <w:rsid w:val="005C1C04"/>
    <w:rsid w:val="005C43CB"/>
    <w:rsid w:val="005C4A48"/>
    <w:rsid w:val="005C6166"/>
    <w:rsid w:val="005C75ED"/>
    <w:rsid w:val="005D0431"/>
    <w:rsid w:val="005D0704"/>
    <w:rsid w:val="005D1939"/>
    <w:rsid w:val="005D36AB"/>
    <w:rsid w:val="005D43C6"/>
    <w:rsid w:val="005D5546"/>
    <w:rsid w:val="005E0FEE"/>
    <w:rsid w:val="005E2C67"/>
    <w:rsid w:val="005E3FBF"/>
    <w:rsid w:val="005E4E28"/>
    <w:rsid w:val="005E5D9B"/>
    <w:rsid w:val="005E5F10"/>
    <w:rsid w:val="005E5F81"/>
    <w:rsid w:val="005F2B19"/>
    <w:rsid w:val="005F4DE7"/>
    <w:rsid w:val="005F5783"/>
    <w:rsid w:val="00600590"/>
    <w:rsid w:val="00604DF0"/>
    <w:rsid w:val="00605435"/>
    <w:rsid w:val="00605BBC"/>
    <w:rsid w:val="00611651"/>
    <w:rsid w:val="00611EB0"/>
    <w:rsid w:val="00615651"/>
    <w:rsid w:val="0061646D"/>
    <w:rsid w:val="00617CC3"/>
    <w:rsid w:val="0062335B"/>
    <w:rsid w:val="0062367D"/>
    <w:rsid w:val="00624DEA"/>
    <w:rsid w:val="00630786"/>
    <w:rsid w:val="00630E76"/>
    <w:rsid w:val="00632571"/>
    <w:rsid w:val="006334AC"/>
    <w:rsid w:val="0063501F"/>
    <w:rsid w:val="00636AD5"/>
    <w:rsid w:val="006377A6"/>
    <w:rsid w:val="00637A3D"/>
    <w:rsid w:val="006411EF"/>
    <w:rsid w:val="00650151"/>
    <w:rsid w:val="00652148"/>
    <w:rsid w:val="00653A11"/>
    <w:rsid w:val="00657145"/>
    <w:rsid w:val="00661480"/>
    <w:rsid w:val="00661E4A"/>
    <w:rsid w:val="00663FCF"/>
    <w:rsid w:val="00666F47"/>
    <w:rsid w:val="006711E2"/>
    <w:rsid w:val="006748B8"/>
    <w:rsid w:val="006775C3"/>
    <w:rsid w:val="00680AA1"/>
    <w:rsid w:val="006816E8"/>
    <w:rsid w:val="006821DA"/>
    <w:rsid w:val="00682BD9"/>
    <w:rsid w:val="00683750"/>
    <w:rsid w:val="00683EED"/>
    <w:rsid w:val="00684125"/>
    <w:rsid w:val="00684AE5"/>
    <w:rsid w:val="00684B1A"/>
    <w:rsid w:val="00686E02"/>
    <w:rsid w:val="00691B14"/>
    <w:rsid w:val="006928D1"/>
    <w:rsid w:val="0069290A"/>
    <w:rsid w:val="00694C34"/>
    <w:rsid w:val="0069543C"/>
    <w:rsid w:val="006969AA"/>
    <w:rsid w:val="00696FF5"/>
    <w:rsid w:val="0069775A"/>
    <w:rsid w:val="00697813"/>
    <w:rsid w:val="006A20E9"/>
    <w:rsid w:val="006A2583"/>
    <w:rsid w:val="006A39E9"/>
    <w:rsid w:val="006A3EE8"/>
    <w:rsid w:val="006A485B"/>
    <w:rsid w:val="006A4CFA"/>
    <w:rsid w:val="006A5113"/>
    <w:rsid w:val="006A72BF"/>
    <w:rsid w:val="006A7548"/>
    <w:rsid w:val="006A7FF2"/>
    <w:rsid w:val="006B0062"/>
    <w:rsid w:val="006B03F2"/>
    <w:rsid w:val="006B3746"/>
    <w:rsid w:val="006B37DC"/>
    <w:rsid w:val="006B4F68"/>
    <w:rsid w:val="006C0592"/>
    <w:rsid w:val="006C1491"/>
    <w:rsid w:val="006C272E"/>
    <w:rsid w:val="006C4088"/>
    <w:rsid w:val="006C47B2"/>
    <w:rsid w:val="006C5479"/>
    <w:rsid w:val="006C6304"/>
    <w:rsid w:val="006C683B"/>
    <w:rsid w:val="006C76A7"/>
    <w:rsid w:val="006D1120"/>
    <w:rsid w:val="006D13B5"/>
    <w:rsid w:val="006D43F5"/>
    <w:rsid w:val="006D5DB6"/>
    <w:rsid w:val="006D716F"/>
    <w:rsid w:val="006D77C9"/>
    <w:rsid w:val="006E088F"/>
    <w:rsid w:val="006E12FF"/>
    <w:rsid w:val="006E2E52"/>
    <w:rsid w:val="006E607E"/>
    <w:rsid w:val="006F3AB9"/>
    <w:rsid w:val="006F42D2"/>
    <w:rsid w:val="006F52A2"/>
    <w:rsid w:val="006F5EF5"/>
    <w:rsid w:val="007004B7"/>
    <w:rsid w:val="0070595C"/>
    <w:rsid w:val="00706C5D"/>
    <w:rsid w:val="007078E1"/>
    <w:rsid w:val="00711441"/>
    <w:rsid w:val="007142E6"/>
    <w:rsid w:val="00715A26"/>
    <w:rsid w:val="00715E9A"/>
    <w:rsid w:val="00720B44"/>
    <w:rsid w:val="007229B7"/>
    <w:rsid w:val="00722D43"/>
    <w:rsid w:val="007258F1"/>
    <w:rsid w:val="00726C72"/>
    <w:rsid w:val="00727987"/>
    <w:rsid w:val="00731E62"/>
    <w:rsid w:val="00732922"/>
    <w:rsid w:val="0073303C"/>
    <w:rsid w:val="007338CE"/>
    <w:rsid w:val="007350E1"/>
    <w:rsid w:val="0073759A"/>
    <w:rsid w:val="00741A69"/>
    <w:rsid w:val="007420EE"/>
    <w:rsid w:val="00746172"/>
    <w:rsid w:val="00746E57"/>
    <w:rsid w:val="0075162E"/>
    <w:rsid w:val="00752CBC"/>
    <w:rsid w:val="00752FD6"/>
    <w:rsid w:val="00754034"/>
    <w:rsid w:val="00754172"/>
    <w:rsid w:val="00756278"/>
    <w:rsid w:val="00756556"/>
    <w:rsid w:val="00756F33"/>
    <w:rsid w:val="00757C8F"/>
    <w:rsid w:val="007607E2"/>
    <w:rsid w:val="007609EB"/>
    <w:rsid w:val="00761021"/>
    <w:rsid w:val="00761140"/>
    <w:rsid w:val="007618C4"/>
    <w:rsid w:val="00761A49"/>
    <w:rsid w:val="00765558"/>
    <w:rsid w:val="0076670E"/>
    <w:rsid w:val="00767980"/>
    <w:rsid w:val="007708C2"/>
    <w:rsid w:val="00770B19"/>
    <w:rsid w:val="007712AB"/>
    <w:rsid w:val="007744ED"/>
    <w:rsid w:val="0077463F"/>
    <w:rsid w:val="007747EB"/>
    <w:rsid w:val="00775D2F"/>
    <w:rsid w:val="00781E41"/>
    <w:rsid w:val="007835AF"/>
    <w:rsid w:val="007836EA"/>
    <w:rsid w:val="00784CDA"/>
    <w:rsid w:val="0078674F"/>
    <w:rsid w:val="00787F11"/>
    <w:rsid w:val="007906C4"/>
    <w:rsid w:val="007912D5"/>
    <w:rsid w:val="00792623"/>
    <w:rsid w:val="00792D78"/>
    <w:rsid w:val="007940EA"/>
    <w:rsid w:val="007967E8"/>
    <w:rsid w:val="00796A8B"/>
    <w:rsid w:val="00797C72"/>
    <w:rsid w:val="007A0254"/>
    <w:rsid w:val="007A1AFC"/>
    <w:rsid w:val="007A2170"/>
    <w:rsid w:val="007A22BF"/>
    <w:rsid w:val="007A2EF1"/>
    <w:rsid w:val="007A3323"/>
    <w:rsid w:val="007A673A"/>
    <w:rsid w:val="007A71E1"/>
    <w:rsid w:val="007B3125"/>
    <w:rsid w:val="007B4D74"/>
    <w:rsid w:val="007B72B8"/>
    <w:rsid w:val="007B7A58"/>
    <w:rsid w:val="007C21B5"/>
    <w:rsid w:val="007C232E"/>
    <w:rsid w:val="007C2572"/>
    <w:rsid w:val="007C3581"/>
    <w:rsid w:val="007C5251"/>
    <w:rsid w:val="007D1AB6"/>
    <w:rsid w:val="007D35A5"/>
    <w:rsid w:val="007D4B58"/>
    <w:rsid w:val="007D7914"/>
    <w:rsid w:val="007E00AB"/>
    <w:rsid w:val="007E14FA"/>
    <w:rsid w:val="007E322B"/>
    <w:rsid w:val="007E4535"/>
    <w:rsid w:val="007E4BD2"/>
    <w:rsid w:val="007E591D"/>
    <w:rsid w:val="007E6779"/>
    <w:rsid w:val="007E6E0D"/>
    <w:rsid w:val="007E7EFC"/>
    <w:rsid w:val="007F0A1D"/>
    <w:rsid w:val="007F0F0F"/>
    <w:rsid w:val="007F44D8"/>
    <w:rsid w:val="007F65D2"/>
    <w:rsid w:val="008012F2"/>
    <w:rsid w:val="00801393"/>
    <w:rsid w:val="00802F88"/>
    <w:rsid w:val="00802FBB"/>
    <w:rsid w:val="00802FE1"/>
    <w:rsid w:val="00804758"/>
    <w:rsid w:val="00804A02"/>
    <w:rsid w:val="00805D1B"/>
    <w:rsid w:val="00806430"/>
    <w:rsid w:val="00812010"/>
    <w:rsid w:val="0081293E"/>
    <w:rsid w:val="00812AA3"/>
    <w:rsid w:val="00813676"/>
    <w:rsid w:val="00815242"/>
    <w:rsid w:val="00815465"/>
    <w:rsid w:val="00815E87"/>
    <w:rsid w:val="0081654A"/>
    <w:rsid w:val="00816EE5"/>
    <w:rsid w:val="00817021"/>
    <w:rsid w:val="00817E9A"/>
    <w:rsid w:val="008203B1"/>
    <w:rsid w:val="00820CC2"/>
    <w:rsid w:val="0082362B"/>
    <w:rsid w:val="00823C9F"/>
    <w:rsid w:val="00825608"/>
    <w:rsid w:val="00825E75"/>
    <w:rsid w:val="008306BD"/>
    <w:rsid w:val="00831A80"/>
    <w:rsid w:val="00833743"/>
    <w:rsid w:val="00833B2A"/>
    <w:rsid w:val="008340A4"/>
    <w:rsid w:val="00837835"/>
    <w:rsid w:val="008403AB"/>
    <w:rsid w:val="008414D7"/>
    <w:rsid w:val="008432AE"/>
    <w:rsid w:val="00843F74"/>
    <w:rsid w:val="008447E0"/>
    <w:rsid w:val="008470E5"/>
    <w:rsid w:val="008508AB"/>
    <w:rsid w:val="00850B13"/>
    <w:rsid w:val="00850D53"/>
    <w:rsid w:val="00853E86"/>
    <w:rsid w:val="0085485B"/>
    <w:rsid w:val="00854A4B"/>
    <w:rsid w:val="00857DC9"/>
    <w:rsid w:val="00860CE2"/>
    <w:rsid w:val="008623B3"/>
    <w:rsid w:val="00865C0F"/>
    <w:rsid w:val="00865CBB"/>
    <w:rsid w:val="00865D0B"/>
    <w:rsid w:val="0087135F"/>
    <w:rsid w:val="008717B9"/>
    <w:rsid w:val="00872D94"/>
    <w:rsid w:val="008739FD"/>
    <w:rsid w:val="00876372"/>
    <w:rsid w:val="00876B3D"/>
    <w:rsid w:val="008772A9"/>
    <w:rsid w:val="00880364"/>
    <w:rsid w:val="0088118D"/>
    <w:rsid w:val="008812DF"/>
    <w:rsid w:val="00883778"/>
    <w:rsid w:val="00883CBC"/>
    <w:rsid w:val="008852D8"/>
    <w:rsid w:val="00885A98"/>
    <w:rsid w:val="00891592"/>
    <w:rsid w:val="008915DE"/>
    <w:rsid w:val="00891E9E"/>
    <w:rsid w:val="00894133"/>
    <w:rsid w:val="00894CC7"/>
    <w:rsid w:val="00895595"/>
    <w:rsid w:val="00895777"/>
    <w:rsid w:val="008A29B3"/>
    <w:rsid w:val="008A2F68"/>
    <w:rsid w:val="008A6543"/>
    <w:rsid w:val="008A7AC2"/>
    <w:rsid w:val="008B0D60"/>
    <w:rsid w:val="008B35EB"/>
    <w:rsid w:val="008B4FA6"/>
    <w:rsid w:val="008B5282"/>
    <w:rsid w:val="008B6174"/>
    <w:rsid w:val="008B6943"/>
    <w:rsid w:val="008B728A"/>
    <w:rsid w:val="008B794F"/>
    <w:rsid w:val="008B7C17"/>
    <w:rsid w:val="008C143C"/>
    <w:rsid w:val="008C2D01"/>
    <w:rsid w:val="008C333A"/>
    <w:rsid w:val="008C39CE"/>
    <w:rsid w:val="008C40E6"/>
    <w:rsid w:val="008C5765"/>
    <w:rsid w:val="008D007B"/>
    <w:rsid w:val="008D0342"/>
    <w:rsid w:val="008D0C2A"/>
    <w:rsid w:val="008D0F7A"/>
    <w:rsid w:val="008D27A9"/>
    <w:rsid w:val="008D304A"/>
    <w:rsid w:val="008D478C"/>
    <w:rsid w:val="008D575F"/>
    <w:rsid w:val="008D68E4"/>
    <w:rsid w:val="008D6A39"/>
    <w:rsid w:val="008D6E88"/>
    <w:rsid w:val="008D73EF"/>
    <w:rsid w:val="008E0506"/>
    <w:rsid w:val="008E09A3"/>
    <w:rsid w:val="008E0CFF"/>
    <w:rsid w:val="008E1211"/>
    <w:rsid w:val="008E12E0"/>
    <w:rsid w:val="008E186B"/>
    <w:rsid w:val="008E2571"/>
    <w:rsid w:val="008E273D"/>
    <w:rsid w:val="008E3463"/>
    <w:rsid w:val="008E5D6B"/>
    <w:rsid w:val="008E631C"/>
    <w:rsid w:val="008E6415"/>
    <w:rsid w:val="008E76F0"/>
    <w:rsid w:val="008E7FB4"/>
    <w:rsid w:val="008F15FE"/>
    <w:rsid w:val="008F2D29"/>
    <w:rsid w:val="008F3269"/>
    <w:rsid w:val="008F3F08"/>
    <w:rsid w:val="008F4D8E"/>
    <w:rsid w:val="008F5187"/>
    <w:rsid w:val="008F5D11"/>
    <w:rsid w:val="008F5DEA"/>
    <w:rsid w:val="008F60D8"/>
    <w:rsid w:val="00900129"/>
    <w:rsid w:val="009007E8"/>
    <w:rsid w:val="00902086"/>
    <w:rsid w:val="00902727"/>
    <w:rsid w:val="00902BD4"/>
    <w:rsid w:val="0090312B"/>
    <w:rsid w:val="009040FA"/>
    <w:rsid w:val="00906FE0"/>
    <w:rsid w:val="009102A6"/>
    <w:rsid w:val="00910990"/>
    <w:rsid w:val="009161A5"/>
    <w:rsid w:val="0091736D"/>
    <w:rsid w:val="0092195C"/>
    <w:rsid w:val="00922521"/>
    <w:rsid w:val="00922CB7"/>
    <w:rsid w:val="00924C4B"/>
    <w:rsid w:val="00926172"/>
    <w:rsid w:val="00926ECC"/>
    <w:rsid w:val="0093037A"/>
    <w:rsid w:val="0093101D"/>
    <w:rsid w:val="00934E70"/>
    <w:rsid w:val="00935A7E"/>
    <w:rsid w:val="0094154D"/>
    <w:rsid w:val="009419B3"/>
    <w:rsid w:val="009420E4"/>
    <w:rsid w:val="00942D32"/>
    <w:rsid w:val="00950852"/>
    <w:rsid w:val="0095155F"/>
    <w:rsid w:val="00951648"/>
    <w:rsid w:val="0095294F"/>
    <w:rsid w:val="00954429"/>
    <w:rsid w:val="009563CE"/>
    <w:rsid w:val="00961278"/>
    <w:rsid w:val="00963B71"/>
    <w:rsid w:val="009649BA"/>
    <w:rsid w:val="00970407"/>
    <w:rsid w:val="00971B9B"/>
    <w:rsid w:val="009720EC"/>
    <w:rsid w:val="0097357C"/>
    <w:rsid w:val="00974272"/>
    <w:rsid w:val="00976328"/>
    <w:rsid w:val="0097639D"/>
    <w:rsid w:val="00976735"/>
    <w:rsid w:val="0097680D"/>
    <w:rsid w:val="00982438"/>
    <w:rsid w:val="00983BE8"/>
    <w:rsid w:val="00983DFF"/>
    <w:rsid w:val="0098404C"/>
    <w:rsid w:val="00985283"/>
    <w:rsid w:val="009900CC"/>
    <w:rsid w:val="009907FD"/>
    <w:rsid w:val="00990C2C"/>
    <w:rsid w:val="00993098"/>
    <w:rsid w:val="009950F0"/>
    <w:rsid w:val="00995992"/>
    <w:rsid w:val="009A03E5"/>
    <w:rsid w:val="009A0F3B"/>
    <w:rsid w:val="009A1BB4"/>
    <w:rsid w:val="009A2628"/>
    <w:rsid w:val="009A2B86"/>
    <w:rsid w:val="009A3200"/>
    <w:rsid w:val="009A4BB9"/>
    <w:rsid w:val="009A50D9"/>
    <w:rsid w:val="009A6607"/>
    <w:rsid w:val="009B0897"/>
    <w:rsid w:val="009B4466"/>
    <w:rsid w:val="009B4BFC"/>
    <w:rsid w:val="009B7BD9"/>
    <w:rsid w:val="009C29FD"/>
    <w:rsid w:val="009C367F"/>
    <w:rsid w:val="009C7DD5"/>
    <w:rsid w:val="009D3DC1"/>
    <w:rsid w:val="009D3EC8"/>
    <w:rsid w:val="009D49C8"/>
    <w:rsid w:val="009D666B"/>
    <w:rsid w:val="009D6861"/>
    <w:rsid w:val="009D6EB6"/>
    <w:rsid w:val="009D775A"/>
    <w:rsid w:val="009E0D49"/>
    <w:rsid w:val="009E18F7"/>
    <w:rsid w:val="009E227D"/>
    <w:rsid w:val="009E2464"/>
    <w:rsid w:val="009E26FF"/>
    <w:rsid w:val="009E2D55"/>
    <w:rsid w:val="009E3EC5"/>
    <w:rsid w:val="009E3EE5"/>
    <w:rsid w:val="009E5019"/>
    <w:rsid w:val="009E6359"/>
    <w:rsid w:val="009F2E6D"/>
    <w:rsid w:val="009F375F"/>
    <w:rsid w:val="009F515E"/>
    <w:rsid w:val="00A0240F"/>
    <w:rsid w:val="00A04F1B"/>
    <w:rsid w:val="00A0501B"/>
    <w:rsid w:val="00A053BE"/>
    <w:rsid w:val="00A14048"/>
    <w:rsid w:val="00A1436A"/>
    <w:rsid w:val="00A14947"/>
    <w:rsid w:val="00A14E50"/>
    <w:rsid w:val="00A16EC9"/>
    <w:rsid w:val="00A1798E"/>
    <w:rsid w:val="00A248BE"/>
    <w:rsid w:val="00A253CF"/>
    <w:rsid w:val="00A2557A"/>
    <w:rsid w:val="00A25E0F"/>
    <w:rsid w:val="00A267A6"/>
    <w:rsid w:val="00A26ACB"/>
    <w:rsid w:val="00A317FD"/>
    <w:rsid w:val="00A32492"/>
    <w:rsid w:val="00A32A83"/>
    <w:rsid w:val="00A34EA2"/>
    <w:rsid w:val="00A34FB6"/>
    <w:rsid w:val="00A3576D"/>
    <w:rsid w:val="00A368DB"/>
    <w:rsid w:val="00A36A59"/>
    <w:rsid w:val="00A40222"/>
    <w:rsid w:val="00A407CA"/>
    <w:rsid w:val="00A41D1F"/>
    <w:rsid w:val="00A423AA"/>
    <w:rsid w:val="00A4372D"/>
    <w:rsid w:val="00A44F1A"/>
    <w:rsid w:val="00A456DE"/>
    <w:rsid w:val="00A45CDD"/>
    <w:rsid w:val="00A4647D"/>
    <w:rsid w:val="00A46FE9"/>
    <w:rsid w:val="00A47890"/>
    <w:rsid w:val="00A52C12"/>
    <w:rsid w:val="00A5304E"/>
    <w:rsid w:val="00A53EC6"/>
    <w:rsid w:val="00A55C0F"/>
    <w:rsid w:val="00A5755B"/>
    <w:rsid w:val="00A57663"/>
    <w:rsid w:val="00A60DCD"/>
    <w:rsid w:val="00A61AD1"/>
    <w:rsid w:val="00A64E06"/>
    <w:rsid w:val="00A6538A"/>
    <w:rsid w:val="00A71F3F"/>
    <w:rsid w:val="00A72C87"/>
    <w:rsid w:val="00A743EB"/>
    <w:rsid w:val="00A7443D"/>
    <w:rsid w:val="00A82D69"/>
    <w:rsid w:val="00A85F51"/>
    <w:rsid w:val="00A870DE"/>
    <w:rsid w:val="00A8713F"/>
    <w:rsid w:val="00A87FCA"/>
    <w:rsid w:val="00A909B8"/>
    <w:rsid w:val="00A90BA1"/>
    <w:rsid w:val="00A90EE9"/>
    <w:rsid w:val="00A92D07"/>
    <w:rsid w:val="00A931CA"/>
    <w:rsid w:val="00A947C5"/>
    <w:rsid w:val="00A95AD3"/>
    <w:rsid w:val="00A97A9A"/>
    <w:rsid w:val="00AA04E9"/>
    <w:rsid w:val="00AA0671"/>
    <w:rsid w:val="00AA17D1"/>
    <w:rsid w:val="00AA2531"/>
    <w:rsid w:val="00AA443E"/>
    <w:rsid w:val="00AA5A8A"/>
    <w:rsid w:val="00AA69BE"/>
    <w:rsid w:val="00AA73D0"/>
    <w:rsid w:val="00AB1C74"/>
    <w:rsid w:val="00AB1E09"/>
    <w:rsid w:val="00AB21FA"/>
    <w:rsid w:val="00AB2A3E"/>
    <w:rsid w:val="00AB379C"/>
    <w:rsid w:val="00AB5330"/>
    <w:rsid w:val="00AB7747"/>
    <w:rsid w:val="00AC14CE"/>
    <w:rsid w:val="00AC2A56"/>
    <w:rsid w:val="00AC2B87"/>
    <w:rsid w:val="00AC34C3"/>
    <w:rsid w:val="00AC3B13"/>
    <w:rsid w:val="00AC40D3"/>
    <w:rsid w:val="00AC571B"/>
    <w:rsid w:val="00AD055E"/>
    <w:rsid w:val="00AD21C1"/>
    <w:rsid w:val="00AD47A7"/>
    <w:rsid w:val="00AD49CE"/>
    <w:rsid w:val="00AD5AE9"/>
    <w:rsid w:val="00AE0AB7"/>
    <w:rsid w:val="00AE3400"/>
    <w:rsid w:val="00AE56E4"/>
    <w:rsid w:val="00AE5A69"/>
    <w:rsid w:val="00AF00C5"/>
    <w:rsid w:val="00AF0CBF"/>
    <w:rsid w:val="00AF15DB"/>
    <w:rsid w:val="00AF1894"/>
    <w:rsid w:val="00AF257F"/>
    <w:rsid w:val="00AF2844"/>
    <w:rsid w:val="00AF33CF"/>
    <w:rsid w:val="00AF455B"/>
    <w:rsid w:val="00AF4D50"/>
    <w:rsid w:val="00AF4F36"/>
    <w:rsid w:val="00AF6179"/>
    <w:rsid w:val="00B0064E"/>
    <w:rsid w:val="00B0231D"/>
    <w:rsid w:val="00B0319D"/>
    <w:rsid w:val="00B04417"/>
    <w:rsid w:val="00B07AFE"/>
    <w:rsid w:val="00B10D36"/>
    <w:rsid w:val="00B1115E"/>
    <w:rsid w:val="00B1295A"/>
    <w:rsid w:val="00B13A8F"/>
    <w:rsid w:val="00B1608B"/>
    <w:rsid w:val="00B20A45"/>
    <w:rsid w:val="00B2290E"/>
    <w:rsid w:val="00B22C5C"/>
    <w:rsid w:val="00B22D32"/>
    <w:rsid w:val="00B24F30"/>
    <w:rsid w:val="00B2658B"/>
    <w:rsid w:val="00B266EC"/>
    <w:rsid w:val="00B27986"/>
    <w:rsid w:val="00B30997"/>
    <w:rsid w:val="00B31ABF"/>
    <w:rsid w:val="00B31D18"/>
    <w:rsid w:val="00B33BE3"/>
    <w:rsid w:val="00B33D96"/>
    <w:rsid w:val="00B3454E"/>
    <w:rsid w:val="00B37F75"/>
    <w:rsid w:val="00B40ACD"/>
    <w:rsid w:val="00B45112"/>
    <w:rsid w:val="00B533AC"/>
    <w:rsid w:val="00B53449"/>
    <w:rsid w:val="00B53B5D"/>
    <w:rsid w:val="00B56498"/>
    <w:rsid w:val="00B564C6"/>
    <w:rsid w:val="00B57B7F"/>
    <w:rsid w:val="00B6055E"/>
    <w:rsid w:val="00B60AA9"/>
    <w:rsid w:val="00B6317D"/>
    <w:rsid w:val="00B63C2E"/>
    <w:rsid w:val="00B64D37"/>
    <w:rsid w:val="00B73E3F"/>
    <w:rsid w:val="00B7407A"/>
    <w:rsid w:val="00B75789"/>
    <w:rsid w:val="00B7723F"/>
    <w:rsid w:val="00B80534"/>
    <w:rsid w:val="00B81D1E"/>
    <w:rsid w:val="00B8330F"/>
    <w:rsid w:val="00B83A7F"/>
    <w:rsid w:val="00B8433C"/>
    <w:rsid w:val="00B87491"/>
    <w:rsid w:val="00B911EA"/>
    <w:rsid w:val="00B9330E"/>
    <w:rsid w:val="00B95C9D"/>
    <w:rsid w:val="00BA0D50"/>
    <w:rsid w:val="00BA29E9"/>
    <w:rsid w:val="00BA3B58"/>
    <w:rsid w:val="00BA7142"/>
    <w:rsid w:val="00BB04C8"/>
    <w:rsid w:val="00BB0B84"/>
    <w:rsid w:val="00BB1A22"/>
    <w:rsid w:val="00BB237C"/>
    <w:rsid w:val="00BB2694"/>
    <w:rsid w:val="00BB3148"/>
    <w:rsid w:val="00BB41A3"/>
    <w:rsid w:val="00BB43A7"/>
    <w:rsid w:val="00BB663C"/>
    <w:rsid w:val="00BB6A1A"/>
    <w:rsid w:val="00BB6F40"/>
    <w:rsid w:val="00BC32DC"/>
    <w:rsid w:val="00BC35B6"/>
    <w:rsid w:val="00BC400B"/>
    <w:rsid w:val="00BC5044"/>
    <w:rsid w:val="00BC6D90"/>
    <w:rsid w:val="00BD0B84"/>
    <w:rsid w:val="00BD1B51"/>
    <w:rsid w:val="00BD3F15"/>
    <w:rsid w:val="00BD4596"/>
    <w:rsid w:val="00BD480E"/>
    <w:rsid w:val="00BD4D52"/>
    <w:rsid w:val="00BD5B3F"/>
    <w:rsid w:val="00BE1405"/>
    <w:rsid w:val="00BE312D"/>
    <w:rsid w:val="00BE3ED8"/>
    <w:rsid w:val="00BE64F7"/>
    <w:rsid w:val="00BE74E3"/>
    <w:rsid w:val="00BF1C20"/>
    <w:rsid w:val="00BF3FA5"/>
    <w:rsid w:val="00BF62B5"/>
    <w:rsid w:val="00BF682C"/>
    <w:rsid w:val="00C00FFE"/>
    <w:rsid w:val="00C01FA0"/>
    <w:rsid w:val="00C05300"/>
    <w:rsid w:val="00C05977"/>
    <w:rsid w:val="00C07D3D"/>
    <w:rsid w:val="00C10578"/>
    <w:rsid w:val="00C11EC8"/>
    <w:rsid w:val="00C135BC"/>
    <w:rsid w:val="00C13CE0"/>
    <w:rsid w:val="00C13EAE"/>
    <w:rsid w:val="00C142F2"/>
    <w:rsid w:val="00C15C95"/>
    <w:rsid w:val="00C172C1"/>
    <w:rsid w:val="00C172D2"/>
    <w:rsid w:val="00C17B1C"/>
    <w:rsid w:val="00C17CC0"/>
    <w:rsid w:val="00C23431"/>
    <w:rsid w:val="00C2428D"/>
    <w:rsid w:val="00C2596A"/>
    <w:rsid w:val="00C27537"/>
    <w:rsid w:val="00C27959"/>
    <w:rsid w:val="00C300EE"/>
    <w:rsid w:val="00C324FC"/>
    <w:rsid w:val="00C328FE"/>
    <w:rsid w:val="00C33507"/>
    <w:rsid w:val="00C34DBB"/>
    <w:rsid w:val="00C35C9D"/>
    <w:rsid w:val="00C361CD"/>
    <w:rsid w:val="00C36433"/>
    <w:rsid w:val="00C400C3"/>
    <w:rsid w:val="00C41A27"/>
    <w:rsid w:val="00C438E8"/>
    <w:rsid w:val="00C4409D"/>
    <w:rsid w:val="00C44E72"/>
    <w:rsid w:val="00C45A06"/>
    <w:rsid w:val="00C479C4"/>
    <w:rsid w:val="00C47E5B"/>
    <w:rsid w:val="00C50267"/>
    <w:rsid w:val="00C515D4"/>
    <w:rsid w:val="00C5420A"/>
    <w:rsid w:val="00C554D7"/>
    <w:rsid w:val="00C561F1"/>
    <w:rsid w:val="00C5681B"/>
    <w:rsid w:val="00C56EFB"/>
    <w:rsid w:val="00C603FA"/>
    <w:rsid w:val="00C614BF"/>
    <w:rsid w:val="00C61E4B"/>
    <w:rsid w:val="00C62360"/>
    <w:rsid w:val="00C642DD"/>
    <w:rsid w:val="00C64BFF"/>
    <w:rsid w:val="00C65050"/>
    <w:rsid w:val="00C704E9"/>
    <w:rsid w:val="00C70997"/>
    <w:rsid w:val="00C70C67"/>
    <w:rsid w:val="00C71537"/>
    <w:rsid w:val="00C71C6C"/>
    <w:rsid w:val="00C71CB2"/>
    <w:rsid w:val="00C7604A"/>
    <w:rsid w:val="00C763C9"/>
    <w:rsid w:val="00C8001F"/>
    <w:rsid w:val="00C80057"/>
    <w:rsid w:val="00C80841"/>
    <w:rsid w:val="00C80E5E"/>
    <w:rsid w:val="00C82232"/>
    <w:rsid w:val="00C82913"/>
    <w:rsid w:val="00C83813"/>
    <w:rsid w:val="00C84673"/>
    <w:rsid w:val="00C85490"/>
    <w:rsid w:val="00C85CAF"/>
    <w:rsid w:val="00C8669B"/>
    <w:rsid w:val="00C87E0B"/>
    <w:rsid w:val="00C91472"/>
    <w:rsid w:val="00C9276C"/>
    <w:rsid w:val="00C92F77"/>
    <w:rsid w:val="00C93AF2"/>
    <w:rsid w:val="00C95B25"/>
    <w:rsid w:val="00C9606E"/>
    <w:rsid w:val="00C972B1"/>
    <w:rsid w:val="00CA184D"/>
    <w:rsid w:val="00CA2CCE"/>
    <w:rsid w:val="00CA43FD"/>
    <w:rsid w:val="00CA683A"/>
    <w:rsid w:val="00CA7C4D"/>
    <w:rsid w:val="00CA7EF8"/>
    <w:rsid w:val="00CB0211"/>
    <w:rsid w:val="00CB0C16"/>
    <w:rsid w:val="00CB2FFF"/>
    <w:rsid w:val="00CB3F28"/>
    <w:rsid w:val="00CB6937"/>
    <w:rsid w:val="00CB7D8C"/>
    <w:rsid w:val="00CC0620"/>
    <w:rsid w:val="00CC0F59"/>
    <w:rsid w:val="00CC1A10"/>
    <w:rsid w:val="00CC1EA9"/>
    <w:rsid w:val="00CC2102"/>
    <w:rsid w:val="00CC27D7"/>
    <w:rsid w:val="00CC43A3"/>
    <w:rsid w:val="00CC489B"/>
    <w:rsid w:val="00CD2966"/>
    <w:rsid w:val="00CD2BCD"/>
    <w:rsid w:val="00CD3086"/>
    <w:rsid w:val="00CD3A4C"/>
    <w:rsid w:val="00CD50C7"/>
    <w:rsid w:val="00CD5296"/>
    <w:rsid w:val="00CD69BC"/>
    <w:rsid w:val="00CE10E9"/>
    <w:rsid w:val="00CE2910"/>
    <w:rsid w:val="00CE3E17"/>
    <w:rsid w:val="00CE5393"/>
    <w:rsid w:val="00CE7C69"/>
    <w:rsid w:val="00CF0ABD"/>
    <w:rsid w:val="00CF0AF2"/>
    <w:rsid w:val="00CF1E44"/>
    <w:rsid w:val="00CF2BA5"/>
    <w:rsid w:val="00CF36BE"/>
    <w:rsid w:val="00CF3C5B"/>
    <w:rsid w:val="00CF3D4C"/>
    <w:rsid w:val="00CF6000"/>
    <w:rsid w:val="00D003F3"/>
    <w:rsid w:val="00D02A7D"/>
    <w:rsid w:val="00D0364F"/>
    <w:rsid w:val="00D06833"/>
    <w:rsid w:val="00D06834"/>
    <w:rsid w:val="00D10E0A"/>
    <w:rsid w:val="00D1186E"/>
    <w:rsid w:val="00D11AAA"/>
    <w:rsid w:val="00D11EC0"/>
    <w:rsid w:val="00D130A9"/>
    <w:rsid w:val="00D14024"/>
    <w:rsid w:val="00D156AD"/>
    <w:rsid w:val="00D15C51"/>
    <w:rsid w:val="00D16778"/>
    <w:rsid w:val="00D22DFC"/>
    <w:rsid w:val="00D22FF7"/>
    <w:rsid w:val="00D2348E"/>
    <w:rsid w:val="00D25CC1"/>
    <w:rsid w:val="00D26CCA"/>
    <w:rsid w:val="00D308ED"/>
    <w:rsid w:val="00D31BF4"/>
    <w:rsid w:val="00D34E61"/>
    <w:rsid w:val="00D364AE"/>
    <w:rsid w:val="00D36D86"/>
    <w:rsid w:val="00D36F74"/>
    <w:rsid w:val="00D3751A"/>
    <w:rsid w:val="00D4021C"/>
    <w:rsid w:val="00D40BE3"/>
    <w:rsid w:val="00D42770"/>
    <w:rsid w:val="00D428AA"/>
    <w:rsid w:val="00D42B9E"/>
    <w:rsid w:val="00D42EAB"/>
    <w:rsid w:val="00D46106"/>
    <w:rsid w:val="00D50A34"/>
    <w:rsid w:val="00D53EFA"/>
    <w:rsid w:val="00D5663A"/>
    <w:rsid w:val="00D574D9"/>
    <w:rsid w:val="00D60CCA"/>
    <w:rsid w:val="00D62721"/>
    <w:rsid w:val="00D62D5F"/>
    <w:rsid w:val="00D64074"/>
    <w:rsid w:val="00D6430B"/>
    <w:rsid w:val="00D65B08"/>
    <w:rsid w:val="00D667AE"/>
    <w:rsid w:val="00D673D3"/>
    <w:rsid w:val="00D678A4"/>
    <w:rsid w:val="00D67C51"/>
    <w:rsid w:val="00D7232D"/>
    <w:rsid w:val="00D74FB3"/>
    <w:rsid w:val="00D80F19"/>
    <w:rsid w:val="00D81306"/>
    <w:rsid w:val="00D82BC5"/>
    <w:rsid w:val="00D853F5"/>
    <w:rsid w:val="00D8785B"/>
    <w:rsid w:val="00D905E4"/>
    <w:rsid w:val="00D91E79"/>
    <w:rsid w:val="00D92442"/>
    <w:rsid w:val="00D92952"/>
    <w:rsid w:val="00D94A7C"/>
    <w:rsid w:val="00D95896"/>
    <w:rsid w:val="00DA1C1A"/>
    <w:rsid w:val="00DA537D"/>
    <w:rsid w:val="00DA7BDB"/>
    <w:rsid w:val="00DB169B"/>
    <w:rsid w:val="00DB2983"/>
    <w:rsid w:val="00DB2CF6"/>
    <w:rsid w:val="00DB50F5"/>
    <w:rsid w:val="00DB5663"/>
    <w:rsid w:val="00DC0D7A"/>
    <w:rsid w:val="00DC1257"/>
    <w:rsid w:val="00DC25D5"/>
    <w:rsid w:val="00DC3DC0"/>
    <w:rsid w:val="00DC5317"/>
    <w:rsid w:val="00DC5B2B"/>
    <w:rsid w:val="00DC6932"/>
    <w:rsid w:val="00DD2FA7"/>
    <w:rsid w:val="00DD318D"/>
    <w:rsid w:val="00DD3FF0"/>
    <w:rsid w:val="00DD7C11"/>
    <w:rsid w:val="00DE0B0C"/>
    <w:rsid w:val="00DE2675"/>
    <w:rsid w:val="00DE4541"/>
    <w:rsid w:val="00DE6B06"/>
    <w:rsid w:val="00DF1545"/>
    <w:rsid w:val="00DF2253"/>
    <w:rsid w:val="00DF2579"/>
    <w:rsid w:val="00DF2E12"/>
    <w:rsid w:val="00DF3606"/>
    <w:rsid w:val="00DF428B"/>
    <w:rsid w:val="00DF48DB"/>
    <w:rsid w:val="00DF514A"/>
    <w:rsid w:val="00DF6690"/>
    <w:rsid w:val="00DF6804"/>
    <w:rsid w:val="00DF6C90"/>
    <w:rsid w:val="00E006BD"/>
    <w:rsid w:val="00E01F00"/>
    <w:rsid w:val="00E0358D"/>
    <w:rsid w:val="00E04323"/>
    <w:rsid w:val="00E047EB"/>
    <w:rsid w:val="00E04FE6"/>
    <w:rsid w:val="00E05DC2"/>
    <w:rsid w:val="00E070A2"/>
    <w:rsid w:val="00E11A01"/>
    <w:rsid w:val="00E1312D"/>
    <w:rsid w:val="00E15DB2"/>
    <w:rsid w:val="00E167BB"/>
    <w:rsid w:val="00E16BF0"/>
    <w:rsid w:val="00E16D33"/>
    <w:rsid w:val="00E221C1"/>
    <w:rsid w:val="00E24FEA"/>
    <w:rsid w:val="00E2656A"/>
    <w:rsid w:val="00E26C67"/>
    <w:rsid w:val="00E2781F"/>
    <w:rsid w:val="00E316A4"/>
    <w:rsid w:val="00E320CE"/>
    <w:rsid w:val="00E34416"/>
    <w:rsid w:val="00E35956"/>
    <w:rsid w:val="00E35D21"/>
    <w:rsid w:val="00E36237"/>
    <w:rsid w:val="00E36958"/>
    <w:rsid w:val="00E376FF"/>
    <w:rsid w:val="00E40135"/>
    <w:rsid w:val="00E40CFA"/>
    <w:rsid w:val="00E412D0"/>
    <w:rsid w:val="00E441CE"/>
    <w:rsid w:val="00E443FB"/>
    <w:rsid w:val="00E46DF2"/>
    <w:rsid w:val="00E500A6"/>
    <w:rsid w:val="00E51D54"/>
    <w:rsid w:val="00E52D09"/>
    <w:rsid w:val="00E5307B"/>
    <w:rsid w:val="00E5434A"/>
    <w:rsid w:val="00E54EDF"/>
    <w:rsid w:val="00E56322"/>
    <w:rsid w:val="00E56960"/>
    <w:rsid w:val="00E56CD8"/>
    <w:rsid w:val="00E56DB4"/>
    <w:rsid w:val="00E57C2C"/>
    <w:rsid w:val="00E60982"/>
    <w:rsid w:val="00E61147"/>
    <w:rsid w:val="00E6278F"/>
    <w:rsid w:val="00E62C62"/>
    <w:rsid w:val="00E63DEA"/>
    <w:rsid w:val="00E644A8"/>
    <w:rsid w:val="00E654C1"/>
    <w:rsid w:val="00E65D97"/>
    <w:rsid w:val="00E65E2A"/>
    <w:rsid w:val="00E7251C"/>
    <w:rsid w:val="00E7262D"/>
    <w:rsid w:val="00E72A5A"/>
    <w:rsid w:val="00E73354"/>
    <w:rsid w:val="00E7600F"/>
    <w:rsid w:val="00E76D2E"/>
    <w:rsid w:val="00E774AE"/>
    <w:rsid w:val="00E84C30"/>
    <w:rsid w:val="00E861D8"/>
    <w:rsid w:val="00E86A08"/>
    <w:rsid w:val="00E9242D"/>
    <w:rsid w:val="00E9475E"/>
    <w:rsid w:val="00E95515"/>
    <w:rsid w:val="00E96613"/>
    <w:rsid w:val="00E96738"/>
    <w:rsid w:val="00EA1E44"/>
    <w:rsid w:val="00EA2F51"/>
    <w:rsid w:val="00EA3847"/>
    <w:rsid w:val="00EA3E9F"/>
    <w:rsid w:val="00EA63B2"/>
    <w:rsid w:val="00EB41F7"/>
    <w:rsid w:val="00EB5255"/>
    <w:rsid w:val="00EB5C47"/>
    <w:rsid w:val="00EB6086"/>
    <w:rsid w:val="00EC0FBB"/>
    <w:rsid w:val="00EC4CDF"/>
    <w:rsid w:val="00EC4DD1"/>
    <w:rsid w:val="00EC64B6"/>
    <w:rsid w:val="00EC657F"/>
    <w:rsid w:val="00ED0639"/>
    <w:rsid w:val="00ED0698"/>
    <w:rsid w:val="00ED0C73"/>
    <w:rsid w:val="00ED2580"/>
    <w:rsid w:val="00ED5BEC"/>
    <w:rsid w:val="00ED5C25"/>
    <w:rsid w:val="00EE0211"/>
    <w:rsid w:val="00EE07A2"/>
    <w:rsid w:val="00EE47E9"/>
    <w:rsid w:val="00EF1623"/>
    <w:rsid w:val="00EF4755"/>
    <w:rsid w:val="00EF5B4F"/>
    <w:rsid w:val="00EF5CC1"/>
    <w:rsid w:val="00EF70AF"/>
    <w:rsid w:val="00EF7135"/>
    <w:rsid w:val="00EF7D90"/>
    <w:rsid w:val="00F0074F"/>
    <w:rsid w:val="00F00EB8"/>
    <w:rsid w:val="00F027DB"/>
    <w:rsid w:val="00F029CB"/>
    <w:rsid w:val="00F0434D"/>
    <w:rsid w:val="00F05AE0"/>
    <w:rsid w:val="00F14940"/>
    <w:rsid w:val="00F14A7A"/>
    <w:rsid w:val="00F1601A"/>
    <w:rsid w:val="00F1604D"/>
    <w:rsid w:val="00F178F5"/>
    <w:rsid w:val="00F2021D"/>
    <w:rsid w:val="00F204BA"/>
    <w:rsid w:val="00F215BF"/>
    <w:rsid w:val="00F22985"/>
    <w:rsid w:val="00F24894"/>
    <w:rsid w:val="00F24E42"/>
    <w:rsid w:val="00F250DD"/>
    <w:rsid w:val="00F27E38"/>
    <w:rsid w:val="00F27F5C"/>
    <w:rsid w:val="00F32ACD"/>
    <w:rsid w:val="00F3383E"/>
    <w:rsid w:val="00F3427D"/>
    <w:rsid w:val="00F3518B"/>
    <w:rsid w:val="00F35C8D"/>
    <w:rsid w:val="00F36B93"/>
    <w:rsid w:val="00F4080D"/>
    <w:rsid w:val="00F419F4"/>
    <w:rsid w:val="00F45518"/>
    <w:rsid w:val="00F465A7"/>
    <w:rsid w:val="00F50B7C"/>
    <w:rsid w:val="00F543F7"/>
    <w:rsid w:val="00F550E6"/>
    <w:rsid w:val="00F61533"/>
    <w:rsid w:val="00F629DC"/>
    <w:rsid w:val="00F63E39"/>
    <w:rsid w:val="00F67DA0"/>
    <w:rsid w:val="00F73B2B"/>
    <w:rsid w:val="00F74345"/>
    <w:rsid w:val="00F7735A"/>
    <w:rsid w:val="00F80A0A"/>
    <w:rsid w:val="00F82B19"/>
    <w:rsid w:val="00F85090"/>
    <w:rsid w:val="00F861B9"/>
    <w:rsid w:val="00F864A9"/>
    <w:rsid w:val="00F91CC8"/>
    <w:rsid w:val="00F9212D"/>
    <w:rsid w:val="00F9405A"/>
    <w:rsid w:val="00F9413D"/>
    <w:rsid w:val="00F94A49"/>
    <w:rsid w:val="00F94F82"/>
    <w:rsid w:val="00F95633"/>
    <w:rsid w:val="00F95DA3"/>
    <w:rsid w:val="00F965DA"/>
    <w:rsid w:val="00F97802"/>
    <w:rsid w:val="00F979B9"/>
    <w:rsid w:val="00FA14A4"/>
    <w:rsid w:val="00FA1A85"/>
    <w:rsid w:val="00FA1C65"/>
    <w:rsid w:val="00FA2C80"/>
    <w:rsid w:val="00FA3CD7"/>
    <w:rsid w:val="00FA406A"/>
    <w:rsid w:val="00FA44CF"/>
    <w:rsid w:val="00FA518C"/>
    <w:rsid w:val="00FA5465"/>
    <w:rsid w:val="00FA6FFC"/>
    <w:rsid w:val="00FB1992"/>
    <w:rsid w:val="00FB4D56"/>
    <w:rsid w:val="00FB503A"/>
    <w:rsid w:val="00FB516C"/>
    <w:rsid w:val="00FB5767"/>
    <w:rsid w:val="00FB6671"/>
    <w:rsid w:val="00FB7CDD"/>
    <w:rsid w:val="00FC0D7D"/>
    <w:rsid w:val="00FC1416"/>
    <w:rsid w:val="00FC298C"/>
    <w:rsid w:val="00FC4108"/>
    <w:rsid w:val="00FC4CAC"/>
    <w:rsid w:val="00FC6579"/>
    <w:rsid w:val="00FD0236"/>
    <w:rsid w:val="00FD150D"/>
    <w:rsid w:val="00FD18F4"/>
    <w:rsid w:val="00FD243C"/>
    <w:rsid w:val="00FD27E8"/>
    <w:rsid w:val="00FD2F0B"/>
    <w:rsid w:val="00FD4EE8"/>
    <w:rsid w:val="00FD54DB"/>
    <w:rsid w:val="00FD58C6"/>
    <w:rsid w:val="00FD619F"/>
    <w:rsid w:val="00FD6875"/>
    <w:rsid w:val="00FD74F2"/>
    <w:rsid w:val="00FE12CD"/>
    <w:rsid w:val="00FE30CB"/>
    <w:rsid w:val="00FE560F"/>
    <w:rsid w:val="00FE7D2A"/>
    <w:rsid w:val="00FF1E6F"/>
    <w:rsid w:val="00FF2FC9"/>
    <w:rsid w:val="00FF5625"/>
    <w:rsid w:val="00FF6C5E"/>
    <w:rsid w:val="0101041B"/>
    <w:rsid w:val="01072C17"/>
    <w:rsid w:val="011341D6"/>
    <w:rsid w:val="01153F91"/>
    <w:rsid w:val="011A535B"/>
    <w:rsid w:val="011D2710"/>
    <w:rsid w:val="011D7405"/>
    <w:rsid w:val="012747D9"/>
    <w:rsid w:val="0127533C"/>
    <w:rsid w:val="01290F7E"/>
    <w:rsid w:val="01457820"/>
    <w:rsid w:val="014955A3"/>
    <w:rsid w:val="014E6E44"/>
    <w:rsid w:val="015100D9"/>
    <w:rsid w:val="015216B7"/>
    <w:rsid w:val="015D0D5E"/>
    <w:rsid w:val="015D1E09"/>
    <w:rsid w:val="015D20F6"/>
    <w:rsid w:val="015D639B"/>
    <w:rsid w:val="015E3940"/>
    <w:rsid w:val="01615851"/>
    <w:rsid w:val="01640849"/>
    <w:rsid w:val="01661F15"/>
    <w:rsid w:val="016932E4"/>
    <w:rsid w:val="01697AC4"/>
    <w:rsid w:val="016C1B3A"/>
    <w:rsid w:val="01715005"/>
    <w:rsid w:val="0172607C"/>
    <w:rsid w:val="01773970"/>
    <w:rsid w:val="0179668C"/>
    <w:rsid w:val="01856394"/>
    <w:rsid w:val="018C5AE6"/>
    <w:rsid w:val="018E0A20"/>
    <w:rsid w:val="01934F18"/>
    <w:rsid w:val="0199287F"/>
    <w:rsid w:val="019E081A"/>
    <w:rsid w:val="01A00F61"/>
    <w:rsid w:val="01AC2864"/>
    <w:rsid w:val="01B21C29"/>
    <w:rsid w:val="01B74FFD"/>
    <w:rsid w:val="01B87E5F"/>
    <w:rsid w:val="01B9643D"/>
    <w:rsid w:val="01BA62B7"/>
    <w:rsid w:val="01C44A47"/>
    <w:rsid w:val="01C468B7"/>
    <w:rsid w:val="01C81CE9"/>
    <w:rsid w:val="01CD1F49"/>
    <w:rsid w:val="01CE1437"/>
    <w:rsid w:val="01CF7648"/>
    <w:rsid w:val="01D22B07"/>
    <w:rsid w:val="01D94E0F"/>
    <w:rsid w:val="01DC4345"/>
    <w:rsid w:val="01DF1E88"/>
    <w:rsid w:val="01E15AED"/>
    <w:rsid w:val="01E46D89"/>
    <w:rsid w:val="01E50189"/>
    <w:rsid w:val="01E54BEB"/>
    <w:rsid w:val="01E91D31"/>
    <w:rsid w:val="01F412C8"/>
    <w:rsid w:val="01FA5FA8"/>
    <w:rsid w:val="0211213A"/>
    <w:rsid w:val="02157165"/>
    <w:rsid w:val="021B4272"/>
    <w:rsid w:val="021B542E"/>
    <w:rsid w:val="02203EE5"/>
    <w:rsid w:val="02257072"/>
    <w:rsid w:val="02292B4E"/>
    <w:rsid w:val="022C32F9"/>
    <w:rsid w:val="02355837"/>
    <w:rsid w:val="02380F18"/>
    <w:rsid w:val="023B1DA2"/>
    <w:rsid w:val="024120ED"/>
    <w:rsid w:val="024242BB"/>
    <w:rsid w:val="02437AD9"/>
    <w:rsid w:val="024411A8"/>
    <w:rsid w:val="024902C5"/>
    <w:rsid w:val="02563AEF"/>
    <w:rsid w:val="0258151A"/>
    <w:rsid w:val="025832D3"/>
    <w:rsid w:val="025A6301"/>
    <w:rsid w:val="025C7268"/>
    <w:rsid w:val="025D125E"/>
    <w:rsid w:val="026073E9"/>
    <w:rsid w:val="02632797"/>
    <w:rsid w:val="02685C0C"/>
    <w:rsid w:val="02697903"/>
    <w:rsid w:val="026C4FD1"/>
    <w:rsid w:val="026D41E6"/>
    <w:rsid w:val="026F602B"/>
    <w:rsid w:val="027206FE"/>
    <w:rsid w:val="02760AE6"/>
    <w:rsid w:val="02764E65"/>
    <w:rsid w:val="02784F59"/>
    <w:rsid w:val="027A0C8F"/>
    <w:rsid w:val="027F2EBB"/>
    <w:rsid w:val="02803566"/>
    <w:rsid w:val="02823CC9"/>
    <w:rsid w:val="0283427D"/>
    <w:rsid w:val="02892125"/>
    <w:rsid w:val="02895940"/>
    <w:rsid w:val="02907449"/>
    <w:rsid w:val="02913B83"/>
    <w:rsid w:val="0292172C"/>
    <w:rsid w:val="02922C89"/>
    <w:rsid w:val="029415DA"/>
    <w:rsid w:val="029968D6"/>
    <w:rsid w:val="029969CA"/>
    <w:rsid w:val="02A427EF"/>
    <w:rsid w:val="02A9006E"/>
    <w:rsid w:val="02B26E86"/>
    <w:rsid w:val="02B34B14"/>
    <w:rsid w:val="02BE5B82"/>
    <w:rsid w:val="02C02DD6"/>
    <w:rsid w:val="02C0482F"/>
    <w:rsid w:val="02C40969"/>
    <w:rsid w:val="02C53A41"/>
    <w:rsid w:val="02C62933"/>
    <w:rsid w:val="02CA0518"/>
    <w:rsid w:val="02CB6CEF"/>
    <w:rsid w:val="02CE5560"/>
    <w:rsid w:val="02D15DF8"/>
    <w:rsid w:val="02D73C00"/>
    <w:rsid w:val="02DE3646"/>
    <w:rsid w:val="02DE573B"/>
    <w:rsid w:val="02E62FD5"/>
    <w:rsid w:val="02E63B49"/>
    <w:rsid w:val="02E84FA9"/>
    <w:rsid w:val="02F3103C"/>
    <w:rsid w:val="02F33AE9"/>
    <w:rsid w:val="02F96569"/>
    <w:rsid w:val="03020855"/>
    <w:rsid w:val="030600D0"/>
    <w:rsid w:val="030B458D"/>
    <w:rsid w:val="030C1CC0"/>
    <w:rsid w:val="0313544C"/>
    <w:rsid w:val="031552A3"/>
    <w:rsid w:val="031A455B"/>
    <w:rsid w:val="03202200"/>
    <w:rsid w:val="032064E7"/>
    <w:rsid w:val="03241095"/>
    <w:rsid w:val="03324F31"/>
    <w:rsid w:val="03367C5C"/>
    <w:rsid w:val="03393105"/>
    <w:rsid w:val="03433852"/>
    <w:rsid w:val="03494CE3"/>
    <w:rsid w:val="034E331E"/>
    <w:rsid w:val="03531816"/>
    <w:rsid w:val="03592219"/>
    <w:rsid w:val="03646C52"/>
    <w:rsid w:val="036D409D"/>
    <w:rsid w:val="036F3BD2"/>
    <w:rsid w:val="03722043"/>
    <w:rsid w:val="03731F88"/>
    <w:rsid w:val="037339A9"/>
    <w:rsid w:val="037F3D98"/>
    <w:rsid w:val="03805CEB"/>
    <w:rsid w:val="0387108A"/>
    <w:rsid w:val="038B61E0"/>
    <w:rsid w:val="03932368"/>
    <w:rsid w:val="039B7BB6"/>
    <w:rsid w:val="03A003C1"/>
    <w:rsid w:val="03A020DB"/>
    <w:rsid w:val="03AE7806"/>
    <w:rsid w:val="03B11EDE"/>
    <w:rsid w:val="03BB7FBE"/>
    <w:rsid w:val="03BF0AF3"/>
    <w:rsid w:val="03C81A69"/>
    <w:rsid w:val="03CC1213"/>
    <w:rsid w:val="03D04586"/>
    <w:rsid w:val="03D123B8"/>
    <w:rsid w:val="03DB58F2"/>
    <w:rsid w:val="03DD5B2F"/>
    <w:rsid w:val="03DE7CFE"/>
    <w:rsid w:val="03E02952"/>
    <w:rsid w:val="03E401D7"/>
    <w:rsid w:val="03EA7B21"/>
    <w:rsid w:val="03F06F8C"/>
    <w:rsid w:val="03F6755F"/>
    <w:rsid w:val="03F847DE"/>
    <w:rsid w:val="03FD2307"/>
    <w:rsid w:val="03FE2814"/>
    <w:rsid w:val="03FE67FF"/>
    <w:rsid w:val="040338D2"/>
    <w:rsid w:val="040919BE"/>
    <w:rsid w:val="04111444"/>
    <w:rsid w:val="041163E6"/>
    <w:rsid w:val="04152B32"/>
    <w:rsid w:val="04207E21"/>
    <w:rsid w:val="042219D6"/>
    <w:rsid w:val="04241A42"/>
    <w:rsid w:val="04310280"/>
    <w:rsid w:val="04313419"/>
    <w:rsid w:val="04317550"/>
    <w:rsid w:val="043313B7"/>
    <w:rsid w:val="043F50B9"/>
    <w:rsid w:val="044376C8"/>
    <w:rsid w:val="044C0C16"/>
    <w:rsid w:val="04542245"/>
    <w:rsid w:val="0454584F"/>
    <w:rsid w:val="04590783"/>
    <w:rsid w:val="046067C2"/>
    <w:rsid w:val="046C05A7"/>
    <w:rsid w:val="046F0AED"/>
    <w:rsid w:val="04755EDE"/>
    <w:rsid w:val="047D40D4"/>
    <w:rsid w:val="047F4228"/>
    <w:rsid w:val="0485080F"/>
    <w:rsid w:val="0488602C"/>
    <w:rsid w:val="048A2C92"/>
    <w:rsid w:val="048E2961"/>
    <w:rsid w:val="04916F45"/>
    <w:rsid w:val="049527AC"/>
    <w:rsid w:val="04A07EC3"/>
    <w:rsid w:val="04A10476"/>
    <w:rsid w:val="04A156CC"/>
    <w:rsid w:val="04A77482"/>
    <w:rsid w:val="04B273BF"/>
    <w:rsid w:val="04BB0F66"/>
    <w:rsid w:val="04C121B3"/>
    <w:rsid w:val="04CB2835"/>
    <w:rsid w:val="04CD6CE8"/>
    <w:rsid w:val="04CD73DD"/>
    <w:rsid w:val="04CE1F73"/>
    <w:rsid w:val="04D36CD6"/>
    <w:rsid w:val="04DA7199"/>
    <w:rsid w:val="04DC297C"/>
    <w:rsid w:val="04DD5D12"/>
    <w:rsid w:val="04E672BC"/>
    <w:rsid w:val="04ED23F9"/>
    <w:rsid w:val="04EE33FC"/>
    <w:rsid w:val="04EF5A40"/>
    <w:rsid w:val="04F37645"/>
    <w:rsid w:val="04F54E5E"/>
    <w:rsid w:val="04FA6AE6"/>
    <w:rsid w:val="04FF2876"/>
    <w:rsid w:val="05015EA4"/>
    <w:rsid w:val="05045825"/>
    <w:rsid w:val="0507205D"/>
    <w:rsid w:val="05081C4F"/>
    <w:rsid w:val="050E71FF"/>
    <w:rsid w:val="050F6C9F"/>
    <w:rsid w:val="05101EF2"/>
    <w:rsid w:val="05131E0A"/>
    <w:rsid w:val="051563BF"/>
    <w:rsid w:val="05193731"/>
    <w:rsid w:val="051A3EF6"/>
    <w:rsid w:val="051B151A"/>
    <w:rsid w:val="051C225E"/>
    <w:rsid w:val="051C6DAC"/>
    <w:rsid w:val="051F1AB1"/>
    <w:rsid w:val="052175A4"/>
    <w:rsid w:val="05292EB9"/>
    <w:rsid w:val="052A37D4"/>
    <w:rsid w:val="052D6C54"/>
    <w:rsid w:val="052F6A55"/>
    <w:rsid w:val="05300FEB"/>
    <w:rsid w:val="0532455B"/>
    <w:rsid w:val="05363C8F"/>
    <w:rsid w:val="05377B18"/>
    <w:rsid w:val="053A5B25"/>
    <w:rsid w:val="053F11DB"/>
    <w:rsid w:val="05442D52"/>
    <w:rsid w:val="054E2A1E"/>
    <w:rsid w:val="05504736"/>
    <w:rsid w:val="055178E1"/>
    <w:rsid w:val="0553254B"/>
    <w:rsid w:val="056169E8"/>
    <w:rsid w:val="05656433"/>
    <w:rsid w:val="0568383D"/>
    <w:rsid w:val="05686195"/>
    <w:rsid w:val="0573207E"/>
    <w:rsid w:val="05772DBA"/>
    <w:rsid w:val="0582799A"/>
    <w:rsid w:val="05837DD0"/>
    <w:rsid w:val="05856AD5"/>
    <w:rsid w:val="059B5085"/>
    <w:rsid w:val="059C6A32"/>
    <w:rsid w:val="059E4F18"/>
    <w:rsid w:val="059E6D54"/>
    <w:rsid w:val="05A10773"/>
    <w:rsid w:val="05A439F7"/>
    <w:rsid w:val="05A55C17"/>
    <w:rsid w:val="05A76733"/>
    <w:rsid w:val="05AC4062"/>
    <w:rsid w:val="05B20BA6"/>
    <w:rsid w:val="05B70D94"/>
    <w:rsid w:val="05B82D56"/>
    <w:rsid w:val="05B971AC"/>
    <w:rsid w:val="05BF4D54"/>
    <w:rsid w:val="05BF4E7D"/>
    <w:rsid w:val="05C35124"/>
    <w:rsid w:val="05C767E6"/>
    <w:rsid w:val="05D83E61"/>
    <w:rsid w:val="05DE6F09"/>
    <w:rsid w:val="05E533D7"/>
    <w:rsid w:val="05E61CE6"/>
    <w:rsid w:val="05E678DC"/>
    <w:rsid w:val="05E8072E"/>
    <w:rsid w:val="05E8758D"/>
    <w:rsid w:val="05E876B2"/>
    <w:rsid w:val="05F01A07"/>
    <w:rsid w:val="05F31DB0"/>
    <w:rsid w:val="05F55029"/>
    <w:rsid w:val="05F73205"/>
    <w:rsid w:val="05F83EAE"/>
    <w:rsid w:val="05FA6D67"/>
    <w:rsid w:val="05FF0998"/>
    <w:rsid w:val="06001F1C"/>
    <w:rsid w:val="060352EA"/>
    <w:rsid w:val="0605203B"/>
    <w:rsid w:val="060B44CA"/>
    <w:rsid w:val="06135AE4"/>
    <w:rsid w:val="0617661D"/>
    <w:rsid w:val="06235933"/>
    <w:rsid w:val="062B2387"/>
    <w:rsid w:val="06344E4E"/>
    <w:rsid w:val="0637605E"/>
    <w:rsid w:val="0639324A"/>
    <w:rsid w:val="063A24CF"/>
    <w:rsid w:val="063C3196"/>
    <w:rsid w:val="063E7D85"/>
    <w:rsid w:val="06420118"/>
    <w:rsid w:val="0645240D"/>
    <w:rsid w:val="064606B6"/>
    <w:rsid w:val="0654535D"/>
    <w:rsid w:val="06552D1D"/>
    <w:rsid w:val="06563643"/>
    <w:rsid w:val="06652BE0"/>
    <w:rsid w:val="066D0AA6"/>
    <w:rsid w:val="066D7A0C"/>
    <w:rsid w:val="06707F96"/>
    <w:rsid w:val="0679334F"/>
    <w:rsid w:val="067A6C74"/>
    <w:rsid w:val="067E515E"/>
    <w:rsid w:val="06803806"/>
    <w:rsid w:val="06845136"/>
    <w:rsid w:val="06874326"/>
    <w:rsid w:val="06892433"/>
    <w:rsid w:val="068A061E"/>
    <w:rsid w:val="068F5617"/>
    <w:rsid w:val="06901017"/>
    <w:rsid w:val="06904FF9"/>
    <w:rsid w:val="0692505E"/>
    <w:rsid w:val="069570A1"/>
    <w:rsid w:val="06985395"/>
    <w:rsid w:val="069E34B0"/>
    <w:rsid w:val="06A27008"/>
    <w:rsid w:val="06A66C43"/>
    <w:rsid w:val="06AD4DCB"/>
    <w:rsid w:val="06AE5BB8"/>
    <w:rsid w:val="06B54581"/>
    <w:rsid w:val="06B861B8"/>
    <w:rsid w:val="06BF2A5C"/>
    <w:rsid w:val="06BF5D4E"/>
    <w:rsid w:val="06BF7477"/>
    <w:rsid w:val="06C230ED"/>
    <w:rsid w:val="06CB0A34"/>
    <w:rsid w:val="06CC2873"/>
    <w:rsid w:val="06CE77FC"/>
    <w:rsid w:val="06D77C86"/>
    <w:rsid w:val="06D8690E"/>
    <w:rsid w:val="06DC26AD"/>
    <w:rsid w:val="06E145A1"/>
    <w:rsid w:val="06E17D3B"/>
    <w:rsid w:val="06F94F3A"/>
    <w:rsid w:val="06FF5E07"/>
    <w:rsid w:val="07001A13"/>
    <w:rsid w:val="070967BA"/>
    <w:rsid w:val="070A5F1B"/>
    <w:rsid w:val="070B2C2F"/>
    <w:rsid w:val="070C1B8B"/>
    <w:rsid w:val="070D7489"/>
    <w:rsid w:val="0710429D"/>
    <w:rsid w:val="07112A5F"/>
    <w:rsid w:val="07131EBF"/>
    <w:rsid w:val="07155C37"/>
    <w:rsid w:val="07202349"/>
    <w:rsid w:val="07231FE7"/>
    <w:rsid w:val="07244E0F"/>
    <w:rsid w:val="07293586"/>
    <w:rsid w:val="07295285"/>
    <w:rsid w:val="072A3F1E"/>
    <w:rsid w:val="073231FE"/>
    <w:rsid w:val="07362BF1"/>
    <w:rsid w:val="07470275"/>
    <w:rsid w:val="07481946"/>
    <w:rsid w:val="074952FC"/>
    <w:rsid w:val="0750048E"/>
    <w:rsid w:val="0759145E"/>
    <w:rsid w:val="07636392"/>
    <w:rsid w:val="0774295E"/>
    <w:rsid w:val="0775031D"/>
    <w:rsid w:val="077653D0"/>
    <w:rsid w:val="07770C56"/>
    <w:rsid w:val="07770F69"/>
    <w:rsid w:val="077B167C"/>
    <w:rsid w:val="07801362"/>
    <w:rsid w:val="07804616"/>
    <w:rsid w:val="0781319B"/>
    <w:rsid w:val="07824F70"/>
    <w:rsid w:val="07863B0D"/>
    <w:rsid w:val="079C0106"/>
    <w:rsid w:val="079E561E"/>
    <w:rsid w:val="07A04E79"/>
    <w:rsid w:val="07A62D33"/>
    <w:rsid w:val="07AA747B"/>
    <w:rsid w:val="07AB2264"/>
    <w:rsid w:val="07B74E71"/>
    <w:rsid w:val="07C56D4C"/>
    <w:rsid w:val="07C75A34"/>
    <w:rsid w:val="07CB281C"/>
    <w:rsid w:val="07CE6C5A"/>
    <w:rsid w:val="07D9181E"/>
    <w:rsid w:val="07E26C70"/>
    <w:rsid w:val="07E37350"/>
    <w:rsid w:val="07E953EA"/>
    <w:rsid w:val="07EC571F"/>
    <w:rsid w:val="07F45681"/>
    <w:rsid w:val="080A5BD2"/>
    <w:rsid w:val="081B53E9"/>
    <w:rsid w:val="081D57C1"/>
    <w:rsid w:val="081E358A"/>
    <w:rsid w:val="08282854"/>
    <w:rsid w:val="0831084F"/>
    <w:rsid w:val="08322F3A"/>
    <w:rsid w:val="083657B1"/>
    <w:rsid w:val="083C1FF9"/>
    <w:rsid w:val="084C40BD"/>
    <w:rsid w:val="084E1867"/>
    <w:rsid w:val="08525CF6"/>
    <w:rsid w:val="08536A17"/>
    <w:rsid w:val="08585403"/>
    <w:rsid w:val="08590022"/>
    <w:rsid w:val="085B2C95"/>
    <w:rsid w:val="085B429F"/>
    <w:rsid w:val="085E7C53"/>
    <w:rsid w:val="0861149B"/>
    <w:rsid w:val="08655F7F"/>
    <w:rsid w:val="086D1E98"/>
    <w:rsid w:val="08712AE0"/>
    <w:rsid w:val="08784B62"/>
    <w:rsid w:val="087A0259"/>
    <w:rsid w:val="087A4FBF"/>
    <w:rsid w:val="087E1A6B"/>
    <w:rsid w:val="087F2A72"/>
    <w:rsid w:val="088347D4"/>
    <w:rsid w:val="088423BD"/>
    <w:rsid w:val="08907CB3"/>
    <w:rsid w:val="0895036A"/>
    <w:rsid w:val="08964B56"/>
    <w:rsid w:val="089E380F"/>
    <w:rsid w:val="08A31BE9"/>
    <w:rsid w:val="08A454C4"/>
    <w:rsid w:val="08A763CF"/>
    <w:rsid w:val="08A84A3A"/>
    <w:rsid w:val="08AC1096"/>
    <w:rsid w:val="08B01F9C"/>
    <w:rsid w:val="08BE0A1D"/>
    <w:rsid w:val="08C01399"/>
    <w:rsid w:val="08C05466"/>
    <w:rsid w:val="08C124F2"/>
    <w:rsid w:val="08C83B73"/>
    <w:rsid w:val="08D37B58"/>
    <w:rsid w:val="08D648C4"/>
    <w:rsid w:val="08DB6A0C"/>
    <w:rsid w:val="08DE521A"/>
    <w:rsid w:val="08E52240"/>
    <w:rsid w:val="08E83926"/>
    <w:rsid w:val="08EC52B9"/>
    <w:rsid w:val="08ED2727"/>
    <w:rsid w:val="08F85810"/>
    <w:rsid w:val="08FB0628"/>
    <w:rsid w:val="090B7F4C"/>
    <w:rsid w:val="090E47F0"/>
    <w:rsid w:val="092217DD"/>
    <w:rsid w:val="09235746"/>
    <w:rsid w:val="09254C7A"/>
    <w:rsid w:val="09282D3D"/>
    <w:rsid w:val="09287AE6"/>
    <w:rsid w:val="0931691A"/>
    <w:rsid w:val="093453BD"/>
    <w:rsid w:val="09380E13"/>
    <w:rsid w:val="093A7294"/>
    <w:rsid w:val="09412309"/>
    <w:rsid w:val="09445B5F"/>
    <w:rsid w:val="09455161"/>
    <w:rsid w:val="09461B5C"/>
    <w:rsid w:val="0949303B"/>
    <w:rsid w:val="094A01B3"/>
    <w:rsid w:val="094F44C9"/>
    <w:rsid w:val="09501C8D"/>
    <w:rsid w:val="09510162"/>
    <w:rsid w:val="09522491"/>
    <w:rsid w:val="09560AF4"/>
    <w:rsid w:val="0960323B"/>
    <w:rsid w:val="09605C9C"/>
    <w:rsid w:val="096225CE"/>
    <w:rsid w:val="0962784C"/>
    <w:rsid w:val="09664528"/>
    <w:rsid w:val="09676248"/>
    <w:rsid w:val="096A4BF9"/>
    <w:rsid w:val="096C6437"/>
    <w:rsid w:val="096D1D5A"/>
    <w:rsid w:val="096D58B6"/>
    <w:rsid w:val="097319D5"/>
    <w:rsid w:val="09740747"/>
    <w:rsid w:val="09752351"/>
    <w:rsid w:val="09755A5A"/>
    <w:rsid w:val="097A5642"/>
    <w:rsid w:val="097C4FB9"/>
    <w:rsid w:val="097E0CEA"/>
    <w:rsid w:val="09802193"/>
    <w:rsid w:val="0981299A"/>
    <w:rsid w:val="09891DCD"/>
    <w:rsid w:val="09897C56"/>
    <w:rsid w:val="098D7D07"/>
    <w:rsid w:val="098F6715"/>
    <w:rsid w:val="09934E16"/>
    <w:rsid w:val="09990D33"/>
    <w:rsid w:val="099A01B0"/>
    <w:rsid w:val="09A63FF9"/>
    <w:rsid w:val="09A950D4"/>
    <w:rsid w:val="09AA00D8"/>
    <w:rsid w:val="09AB3F93"/>
    <w:rsid w:val="09AF0029"/>
    <w:rsid w:val="09BB6C68"/>
    <w:rsid w:val="09C019C8"/>
    <w:rsid w:val="09C474A0"/>
    <w:rsid w:val="09D872DA"/>
    <w:rsid w:val="09DA5344"/>
    <w:rsid w:val="09DE7EC4"/>
    <w:rsid w:val="09DF085C"/>
    <w:rsid w:val="09E1221D"/>
    <w:rsid w:val="09E307E4"/>
    <w:rsid w:val="09E30A9D"/>
    <w:rsid w:val="09E335D2"/>
    <w:rsid w:val="09E93908"/>
    <w:rsid w:val="09EA0995"/>
    <w:rsid w:val="09EF559D"/>
    <w:rsid w:val="09F246F8"/>
    <w:rsid w:val="09FD5EBF"/>
    <w:rsid w:val="0A0B44DF"/>
    <w:rsid w:val="0A1265BB"/>
    <w:rsid w:val="0A2239B0"/>
    <w:rsid w:val="0A231EBB"/>
    <w:rsid w:val="0A263993"/>
    <w:rsid w:val="0A2809B3"/>
    <w:rsid w:val="0A2D3AC2"/>
    <w:rsid w:val="0A2F5262"/>
    <w:rsid w:val="0A301E81"/>
    <w:rsid w:val="0A3055E7"/>
    <w:rsid w:val="0A312D88"/>
    <w:rsid w:val="0A357627"/>
    <w:rsid w:val="0A403A82"/>
    <w:rsid w:val="0A47525C"/>
    <w:rsid w:val="0A5224D4"/>
    <w:rsid w:val="0A540824"/>
    <w:rsid w:val="0A561369"/>
    <w:rsid w:val="0A5D5482"/>
    <w:rsid w:val="0A604C71"/>
    <w:rsid w:val="0A61031C"/>
    <w:rsid w:val="0A64350C"/>
    <w:rsid w:val="0A71522A"/>
    <w:rsid w:val="0A8729A8"/>
    <w:rsid w:val="0A9529C5"/>
    <w:rsid w:val="0A99092D"/>
    <w:rsid w:val="0A9C1EE5"/>
    <w:rsid w:val="0A9D47C4"/>
    <w:rsid w:val="0A9E7C2C"/>
    <w:rsid w:val="0AA0243E"/>
    <w:rsid w:val="0AA338DC"/>
    <w:rsid w:val="0AA54B75"/>
    <w:rsid w:val="0AA55723"/>
    <w:rsid w:val="0AA755DF"/>
    <w:rsid w:val="0AA8296B"/>
    <w:rsid w:val="0AB033E1"/>
    <w:rsid w:val="0AB0736A"/>
    <w:rsid w:val="0ABF303A"/>
    <w:rsid w:val="0AC15E50"/>
    <w:rsid w:val="0ACA2F28"/>
    <w:rsid w:val="0AD55E09"/>
    <w:rsid w:val="0AD90EE7"/>
    <w:rsid w:val="0ADC6BB0"/>
    <w:rsid w:val="0ADD1FD9"/>
    <w:rsid w:val="0AE95E38"/>
    <w:rsid w:val="0AEC16C6"/>
    <w:rsid w:val="0AEC4E0F"/>
    <w:rsid w:val="0AED7B48"/>
    <w:rsid w:val="0AF03373"/>
    <w:rsid w:val="0AF6360F"/>
    <w:rsid w:val="0AF762EC"/>
    <w:rsid w:val="0AF9193B"/>
    <w:rsid w:val="0AFA3D6F"/>
    <w:rsid w:val="0B002882"/>
    <w:rsid w:val="0B052047"/>
    <w:rsid w:val="0B0829D4"/>
    <w:rsid w:val="0B085C27"/>
    <w:rsid w:val="0B0B23FC"/>
    <w:rsid w:val="0B100BEF"/>
    <w:rsid w:val="0B120D44"/>
    <w:rsid w:val="0B13248D"/>
    <w:rsid w:val="0B16589A"/>
    <w:rsid w:val="0B1667CF"/>
    <w:rsid w:val="0B183D7E"/>
    <w:rsid w:val="0B1865CA"/>
    <w:rsid w:val="0B2C20AB"/>
    <w:rsid w:val="0B320255"/>
    <w:rsid w:val="0B391CB7"/>
    <w:rsid w:val="0B480F9E"/>
    <w:rsid w:val="0B4B3B2E"/>
    <w:rsid w:val="0B503427"/>
    <w:rsid w:val="0B5B3C84"/>
    <w:rsid w:val="0B66674A"/>
    <w:rsid w:val="0B6A1D67"/>
    <w:rsid w:val="0B7463FB"/>
    <w:rsid w:val="0B7836A2"/>
    <w:rsid w:val="0B7C3CEE"/>
    <w:rsid w:val="0B7E563B"/>
    <w:rsid w:val="0B85745E"/>
    <w:rsid w:val="0B87021D"/>
    <w:rsid w:val="0B9B68F3"/>
    <w:rsid w:val="0B9F54DD"/>
    <w:rsid w:val="0BA15194"/>
    <w:rsid w:val="0BA17B39"/>
    <w:rsid w:val="0BA22B61"/>
    <w:rsid w:val="0BA467BC"/>
    <w:rsid w:val="0BA7228E"/>
    <w:rsid w:val="0BB457F6"/>
    <w:rsid w:val="0BBB351D"/>
    <w:rsid w:val="0BBE689D"/>
    <w:rsid w:val="0BC0689B"/>
    <w:rsid w:val="0BC16738"/>
    <w:rsid w:val="0BC30111"/>
    <w:rsid w:val="0BCC1344"/>
    <w:rsid w:val="0BCC3FCE"/>
    <w:rsid w:val="0BCF45B9"/>
    <w:rsid w:val="0BD27BF6"/>
    <w:rsid w:val="0BD32DAB"/>
    <w:rsid w:val="0BD34FCB"/>
    <w:rsid w:val="0BE37CDB"/>
    <w:rsid w:val="0BE47980"/>
    <w:rsid w:val="0BEC5284"/>
    <w:rsid w:val="0BEF4D03"/>
    <w:rsid w:val="0BF13291"/>
    <w:rsid w:val="0BF45623"/>
    <w:rsid w:val="0BF64289"/>
    <w:rsid w:val="0BF801B0"/>
    <w:rsid w:val="0BFD114D"/>
    <w:rsid w:val="0BFE3EC7"/>
    <w:rsid w:val="0C0677CD"/>
    <w:rsid w:val="0C092A38"/>
    <w:rsid w:val="0C0D6046"/>
    <w:rsid w:val="0C124DD0"/>
    <w:rsid w:val="0C136357"/>
    <w:rsid w:val="0C14591D"/>
    <w:rsid w:val="0C1A23B3"/>
    <w:rsid w:val="0C1E58F0"/>
    <w:rsid w:val="0C260ADD"/>
    <w:rsid w:val="0C263D26"/>
    <w:rsid w:val="0C2A2FBA"/>
    <w:rsid w:val="0C2A7A8F"/>
    <w:rsid w:val="0C303BD4"/>
    <w:rsid w:val="0C3072CE"/>
    <w:rsid w:val="0C3628D7"/>
    <w:rsid w:val="0C385F2F"/>
    <w:rsid w:val="0C3B3C7D"/>
    <w:rsid w:val="0C4843B9"/>
    <w:rsid w:val="0C4B116C"/>
    <w:rsid w:val="0C4E642B"/>
    <w:rsid w:val="0C4F7A54"/>
    <w:rsid w:val="0C5367A3"/>
    <w:rsid w:val="0C5578A0"/>
    <w:rsid w:val="0C5870B4"/>
    <w:rsid w:val="0C5D6775"/>
    <w:rsid w:val="0C5E23BE"/>
    <w:rsid w:val="0C5F2D44"/>
    <w:rsid w:val="0C627F3E"/>
    <w:rsid w:val="0C6E79E9"/>
    <w:rsid w:val="0C7B25A2"/>
    <w:rsid w:val="0C7C1A0D"/>
    <w:rsid w:val="0C832E47"/>
    <w:rsid w:val="0C8815D5"/>
    <w:rsid w:val="0C954A4A"/>
    <w:rsid w:val="0C9E5B83"/>
    <w:rsid w:val="0CA12F7A"/>
    <w:rsid w:val="0CA17E5F"/>
    <w:rsid w:val="0CA70292"/>
    <w:rsid w:val="0CA87FFD"/>
    <w:rsid w:val="0CAB2EAE"/>
    <w:rsid w:val="0CAE413B"/>
    <w:rsid w:val="0CB3217A"/>
    <w:rsid w:val="0CB653E7"/>
    <w:rsid w:val="0CB84D32"/>
    <w:rsid w:val="0CBE28CD"/>
    <w:rsid w:val="0CC021A1"/>
    <w:rsid w:val="0CC45B04"/>
    <w:rsid w:val="0CC809FC"/>
    <w:rsid w:val="0CCC5E27"/>
    <w:rsid w:val="0CD15CF4"/>
    <w:rsid w:val="0CD5574C"/>
    <w:rsid w:val="0CD74EE6"/>
    <w:rsid w:val="0CDB7353"/>
    <w:rsid w:val="0CE7407C"/>
    <w:rsid w:val="0CE77935"/>
    <w:rsid w:val="0CE84DBB"/>
    <w:rsid w:val="0CEA4397"/>
    <w:rsid w:val="0CF07200"/>
    <w:rsid w:val="0CF261AE"/>
    <w:rsid w:val="0CF538DC"/>
    <w:rsid w:val="0CF75D42"/>
    <w:rsid w:val="0CFA7F8E"/>
    <w:rsid w:val="0D051E9D"/>
    <w:rsid w:val="0D113487"/>
    <w:rsid w:val="0D133045"/>
    <w:rsid w:val="0D144ECB"/>
    <w:rsid w:val="0D18143A"/>
    <w:rsid w:val="0D192E75"/>
    <w:rsid w:val="0D1E1801"/>
    <w:rsid w:val="0D1E5233"/>
    <w:rsid w:val="0D212F5B"/>
    <w:rsid w:val="0D241865"/>
    <w:rsid w:val="0D327D25"/>
    <w:rsid w:val="0D383D46"/>
    <w:rsid w:val="0D3B53A5"/>
    <w:rsid w:val="0D3F1FBD"/>
    <w:rsid w:val="0D411172"/>
    <w:rsid w:val="0D446FB5"/>
    <w:rsid w:val="0D4641F1"/>
    <w:rsid w:val="0D49598B"/>
    <w:rsid w:val="0D4A471F"/>
    <w:rsid w:val="0D4B668C"/>
    <w:rsid w:val="0D4F13A0"/>
    <w:rsid w:val="0D503BDD"/>
    <w:rsid w:val="0D51729D"/>
    <w:rsid w:val="0D577B8B"/>
    <w:rsid w:val="0D5D2DC1"/>
    <w:rsid w:val="0D5E58CA"/>
    <w:rsid w:val="0D5E65D2"/>
    <w:rsid w:val="0D5F2B11"/>
    <w:rsid w:val="0D614063"/>
    <w:rsid w:val="0D621C7D"/>
    <w:rsid w:val="0D6236D3"/>
    <w:rsid w:val="0D625FF2"/>
    <w:rsid w:val="0D6E7778"/>
    <w:rsid w:val="0D725DB3"/>
    <w:rsid w:val="0D7D0E65"/>
    <w:rsid w:val="0D810DC2"/>
    <w:rsid w:val="0D941590"/>
    <w:rsid w:val="0D9D5B46"/>
    <w:rsid w:val="0D9E562C"/>
    <w:rsid w:val="0DA268A7"/>
    <w:rsid w:val="0DA80B5B"/>
    <w:rsid w:val="0DA9532B"/>
    <w:rsid w:val="0DB41372"/>
    <w:rsid w:val="0DB57661"/>
    <w:rsid w:val="0DBB4CDB"/>
    <w:rsid w:val="0DBE2016"/>
    <w:rsid w:val="0DE1159A"/>
    <w:rsid w:val="0DE22CAF"/>
    <w:rsid w:val="0DF02486"/>
    <w:rsid w:val="0DF45274"/>
    <w:rsid w:val="0E0543E5"/>
    <w:rsid w:val="0E0C3E47"/>
    <w:rsid w:val="0E0D7668"/>
    <w:rsid w:val="0E10758A"/>
    <w:rsid w:val="0E143086"/>
    <w:rsid w:val="0E176B93"/>
    <w:rsid w:val="0E271C14"/>
    <w:rsid w:val="0E280395"/>
    <w:rsid w:val="0E2A646C"/>
    <w:rsid w:val="0E2C0515"/>
    <w:rsid w:val="0E36270D"/>
    <w:rsid w:val="0E3716FB"/>
    <w:rsid w:val="0E3771A3"/>
    <w:rsid w:val="0E3A21B8"/>
    <w:rsid w:val="0E3A3CCB"/>
    <w:rsid w:val="0E44679B"/>
    <w:rsid w:val="0E587606"/>
    <w:rsid w:val="0E5A53FC"/>
    <w:rsid w:val="0E632D8C"/>
    <w:rsid w:val="0E6E0F7B"/>
    <w:rsid w:val="0E713BE8"/>
    <w:rsid w:val="0E73034D"/>
    <w:rsid w:val="0E730A8F"/>
    <w:rsid w:val="0E753006"/>
    <w:rsid w:val="0E792F4F"/>
    <w:rsid w:val="0E7C50AA"/>
    <w:rsid w:val="0E81621B"/>
    <w:rsid w:val="0E853E3D"/>
    <w:rsid w:val="0E8A1FDE"/>
    <w:rsid w:val="0E8B0956"/>
    <w:rsid w:val="0E8B1436"/>
    <w:rsid w:val="0E9C0590"/>
    <w:rsid w:val="0EA146E4"/>
    <w:rsid w:val="0EA86B66"/>
    <w:rsid w:val="0EB17167"/>
    <w:rsid w:val="0EB34183"/>
    <w:rsid w:val="0EBA7EAC"/>
    <w:rsid w:val="0EBF319D"/>
    <w:rsid w:val="0EC50CE6"/>
    <w:rsid w:val="0EC5102C"/>
    <w:rsid w:val="0EC51CF1"/>
    <w:rsid w:val="0EC52ED7"/>
    <w:rsid w:val="0ECC7523"/>
    <w:rsid w:val="0ED25B74"/>
    <w:rsid w:val="0ED70A81"/>
    <w:rsid w:val="0ED83599"/>
    <w:rsid w:val="0ED91CDA"/>
    <w:rsid w:val="0ED977A3"/>
    <w:rsid w:val="0EE0441C"/>
    <w:rsid w:val="0EE13405"/>
    <w:rsid w:val="0EEF1FB1"/>
    <w:rsid w:val="0EF035B5"/>
    <w:rsid w:val="0EF10D38"/>
    <w:rsid w:val="0EF136B0"/>
    <w:rsid w:val="0EFD72F9"/>
    <w:rsid w:val="0F0B5E27"/>
    <w:rsid w:val="0F1133B5"/>
    <w:rsid w:val="0F13775A"/>
    <w:rsid w:val="0F1449CA"/>
    <w:rsid w:val="0F164981"/>
    <w:rsid w:val="0F1D4114"/>
    <w:rsid w:val="0F1D5C86"/>
    <w:rsid w:val="0F1F7B1C"/>
    <w:rsid w:val="0F296AE5"/>
    <w:rsid w:val="0F2C7229"/>
    <w:rsid w:val="0F344584"/>
    <w:rsid w:val="0F380715"/>
    <w:rsid w:val="0F3E2E16"/>
    <w:rsid w:val="0F3E5A60"/>
    <w:rsid w:val="0F451083"/>
    <w:rsid w:val="0F453A56"/>
    <w:rsid w:val="0F543075"/>
    <w:rsid w:val="0F56690C"/>
    <w:rsid w:val="0F5F4446"/>
    <w:rsid w:val="0F5F45FE"/>
    <w:rsid w:val="0F623DB0"/>
    <w:rsid w:val="0F6A07D4"/>
    <w:rsid w:val="0F701735"/>
    <w:rsid w:val="0F7872B3"/>
    <w:rsid w:val="0F7E7546"/>
    <w:rsid w:val="0F876B0D"/>
    <w:rsid w:val="0F8D48EF"/>
    <w:rsid w:val="0F8D4E0A"/>
    <w:rsid w:val="0F8E6586"/>
    <w:rsid w:val="0F8F33EF"/>
    <w:rsid w:val="0F946FBF"/>
    <w:rsid w:val="0F9A112B"/>
    <w:rsid w:val="0F9F2542"/>
    <w:rsid w:val="0FA14BF8"/>
    <w:rsid w:val="0FA732D3"/>
    <w:rsid w:val="0FAC58F0"/>
    <w:rsid w:val="0FB40BB5"/>
    <w:rsid w:val="0FB438EA"/>
    <w:rsid w:val="0FB46767"/>
    <w:rsid w:val="0FB640D3"/>
    <w:rsid w:val="0FB82636"/>
    <w:rsid w:val="0FBB0129"/>
    <w:rsid w:val="0FBB05DE"/>
    <w:rsid w:val="0FBD5DFF"/>
    <w:rsid w:val="0FC00F05"/>
    <w:rsid w:val="0FC6694E"/>
    <w:rsid w:val="0FC7140D"/>
    <w:rsid w:val="0FCB7937"/>
    <w:rsid w:val="0FD11E69"/>
    <w:rsid w:val="0FD63CF1"/>
    <w:rsid w:val="0FD702D3"/>
    <w:rsid w:val="0FE93CA7"/>
    <w:rsid w:val="0FEB3077"/>
    <w:rsid w:val="0FF763E0"/>
    <w:rsid w:val="0FF83F2B"/>
    <w:rsid w:val="0FFA41B2"/>
    <w:rsid w:val="0FFF12A7"/>
    <w:rsid w:val="10024B94"/>
    <w:rsid w:val="10025E0F"/>
    <w:rsid w:val="10036850"/>
    <w:rsid w:val="10060C54"/>
    <w:rsid w:val="1015033A"/>
    <w:rsid w:val="10181568"/>
    <w:rsid w:val="101B50FD"/>
    <w:rsid w:val="101D2E77"/>
    <w:rsid w:val="10241E1F"/>
    <w:rsid w:val="10255D35"/>
    <w:rsid w:val="1028327D"/>
    <w:rsid w:val="103235EF"/>
    <w:rsid w:val="10353600"/>
    <w:rsid w:val="10366EBC"/>
    <w:rsid w:val="103F64F2"/>
    <w:rsid w:val="1044019E"/>
    <w:rsid w:val="104E0B38"/>
    <w:rsid w:val="10507CE0"/>
    <w:rsid w:val="10515CD6"/>
    <w:rsid w:val="105B73BE"/>
    <w:rsid w:val="106D1792"/>
    <w:rsid w:val="106D2F64"/>
    <w:rsid w:val="107D52B9"/>
    <w:rsid w:val="10862555"/>
    <w:rsid w:val="108A31F2"/>
    <w:rsid w:val="108A3D00"/>
    <w:rsid w:val="108E56FC"/>
    <w:rsid w:val="109202F8"/>
    <w:rsid w:val="10921C62"/>
    <w:rsid w:val="1093387D"/>
    <w:rsid w:val="10966C7B"/>
    <w:rsid w:val="10967F2C"/>
    <w:rsid w:val="1097311A"/>
    <w:rsid w:val="10980792"/>
    <w:rsid w:val="10A533B3"/>
    <w:rsid w:val="10B04E76"/>
    <w:rsid w:val="10B4201D"/>
    <w:rsid w:val="10B63710"/>
    <w:rsid w:val="10C00442"/>
    <w:rsid w:val="10C474D6"/>
    <w:rsid w:val="10C65912"/>
    <w:rsid w:val="10CB6FBC"/>
    <w:rsid w:val="10CE0547"/>
    <w:rsid w:val="10D03FE6"/>
    <w:rsid w:val="10D677D8"/>
    <w:rsid w:val="10DA36E8"/>
    <w:rsid w:val="10E434D5"/>
    <w:rsid w:val="10F04C9C"/>
    <w:rsid w:val="10F10820"/>
    <w:rsid w:val="10FD1C37"/>
    <w:rsid w:val="10FE34B2"/>
    <w:rsid w:val="110216B0"/>
    <w:rsid w:val="110C6E05"/>
    <w:rsid w:val="110D1810"/>
    <w:rsid w:val="11193D85"/>
    <w:rsid w:val="111B02EE"/>
    <w:rsid w:val="111C2F7A"/>
    <w:rsid w:val="11207DCD"/>
    <w:rsid w:val="112232FF"/>
    <w:rsid w:val="11267133"/>
    <w:rsid w:val="112948FD"/>
    <w:rsid w:val="1135169B"/>
    <w:rsid w:val="113840CD"/>
    <w:rsid w:val="11384504"/>
    <w:rsid w:val="113B5E45"/>
    <w:rsid w:val="11432B43"/>
    <w:rsid w:val="114B55DD"/>
    <w:rsid w:val="114C6FC1"/>
    <w:rsid w:val="115B41E0"/>
    <w:rsid w:val="115E08CA"/>
    <w:rsid w:val="116111BF"/>
    <w:rsid w:val="11623742"/>
    <w:rsid w:val="116326B4"/>
    <w:rsid w:val="11665CA1"/>
    <w:rsid w:val="11667325"/>
    <w:rsid w:val="1168620E"/>
    <w:rsid w:val="11694467"/>
    <w:rsid w:val="116A2B04"/>
    <w:rsid w:val="116A56CC"/>
    <w:rsid w:val="11737690"/>
    <w:rsid w:val="1179261D"/>
    <w:rsid w:val="117B1B4F"/>
    <w:rsid w:val="118077A6"/>
    <w:rsid w:val="118357AE"/>
    <w:rsid w:val="118512EF"/>
    <w:rsid w:val="11853DDA"/>
    <w:rsid w:val="118A5448"/>
    <w:rsid w:val="118F3041"/>
    <w:rsid w:val="11915AA7"/>
    <w:rsid w:val="11945928"/>
    <w:rsid w:val="11962A89"/>
    <w:rsid w:val="119C0AE2"/>
    <w:rsid w:val="11A21CE2"/>
    <w:rsid w:val="11B11D7D"/>
    <w:rsid w:val="11B52250"/>
    <w:rsid w:val="11C221B4"/>
    <w:rsid w:val="11C40B0D"/>
    <w:rsid w:val="11C52008"/>
    <w:rsid w:val="11CD3CCC"/>
    <w:rsid w:val="11D56ED6"/>
    <w:rsid w:val="11DD0060"/>
    <w:rsid w:val="11DD316B"/>
    <w:rsid w:val="11E16E5F"/>
    <w:rsid w:val="11E71987"/>
    <w:rsid w:val="11EA2D53"/>
    <w:rsid w:val="11ED52DE"/>
    <w:rsid w:val="11F27529"/>
    <w:rsid w:val="11F97259"/>
    <w:rsid w:val="11FB0620"/>
    <w:rsid w:val="12002022"/>
    <w:rsid w:val="120202FB"/>
    <w:rsid w:val="12047144"/>
    <w:rsid w:val="1207021C"/>
    <w:rsid w:val="121224B9"/>
    <w:rsid w:val="12152F8F"/>
    <w:rsid w:val="1218411C"/>
    <w:rsid w:val="121E2DD3"/>
    <w:rsid w:val="12217B86"/>
    <w:rsid w:val="12275E61"/>
    <w:rsid w:val="1228756F"/>
    <w:rsid w:val="122C0E49"/>
    <w:rsid w:val="122C48A4"/>
    <w:rsid w:val="122F76CD"/>
    <w:rsid w:val="123450A4"/>
    <w:rsid w:val="12380A48"/>
    <w:rsid w:val="123E20D2"/>
    <w:rsid w:val="124505BA"/>
    <w:rsid w:val="124C7B6A"/>
    <w:rsid w:val="12530A8A"/>
    <w:rsid w:val="125951D1"/>
    <w:rsid w:val="125F24B6"/>
    <w:rsid w:val="126B6039"/>
    <w:rsid w:val="12741FD7"/>
    <w:rsid w:val="12934C9A"/>
    <w:rsid w:val="129555D8"/>
    <w:rsid w:val="129E2A91"/>
    <w:rsid w:val="12A07D05"/>
    <w:rsid w:val="12AE18E4"/>
    <w:rsid w:val="12AE41D6"/>
    <w:rsid w:val="12B027FD"/>
    <w:rsid w:val="12B3311E"/>
    <w:rsid w:val="12B57D2C"/>
    <w:rsid w:val="12B94680"/>
    <w:rsid w:val="12BC46A8"/>
    <w:rsid w:val="12BD50B9"/>
    <w:rsid w:val="12C66037"/>
    <w:rsid w:val="12C96BF8"/>
    <w:rsid w:val="12D073A6"/>
    <w:rsid w:val="12D202CD"/>
    <w:rsid w:val="12D665F5"/>
    <w:rsid w:val="12DD75F8"/>
    <w:rsid w:val="12E80F15"/>
    <w:rsid w:val="12EA36E6"/>
    <w:rsid w:val="12EA61CA"/>
    <w:rsid w:val="12F2484E"/>
    <w:rsid w:val="12F60B1D"/>
    <w:rsid w:val="12F75B76"/>
    <w:rsid w:val="12F9132B"/>
    <w:rsid w:val="12FB2402"/>
    <w:rsid w:val="12FB31B8"/>
    <w:rsid w:val="130A78CB"/>
    <w:rsid w:val="130C75FE"/>
    <w:rsid w:val="131561AC"/>
    <w:rsid w:val="131F3B08"/>
    <w:rsid w:val="1327118E"/>
    <w:rsid w:val="132D30B3"/>
    <w:rsid w:val="1331784B"/>
    <w:rsid w:val="13422905"/>
    <w:rsid w:val="13427DB4"/>
    <w:rsid w:val="13477BE1"/>
    <w:rsid w:val="135409D8"/>
    <w:rsid w:val="13571335"/>
    <w:rsid w:val="135E44C2"/>
    <w:rsid w:val="135F2507"/>
    <w:rsid w:val="13613C79"/>
    <w:rsid w:val="13631129"/>
    <w:rsid w:val="13756D15"/>
    <w:rsid w:val="13757F52"/>
    <w:rsid w:val="137665A5"/>
    <w:rsid w:val="13813384"/>
    <w:rsid w:val="1381358F"/>
    <w:rsid w:val="13846A2B"/>
    <w:rsid w:val="1386011E"/>
    <w:rsid w:val="13897791"/>
    <w:rsid w:val="138B2047"/>
    <w:rsid w:val="13951726"/>
    <w:rsid w:val="1398187F"/>
    <w:rsid w:val="13AF1624"/>
    <w:rsid w:val="13B10A37"/>
    <w:rsid w:val="13B11C69"/>
    <w:rsid w:val="13B14F39"/>
    <w:rsid w:val="13B32370"/>
    <w:rsid w:val="13B67C31"/>
    <w:rsid w:val="13BF0641"/>
    <w:rsid w:val="13BF0CD9"/>
    <w:rsid w:val="13CB7399"/>
    <w:rsid w:val="13CD4921"/>
    <w:rsid w:val="13CE09D5"/>
    <w:rsid w:val="13DB164B"/>
    <w:rsid w:val="13DC29BE"/>
    <w:rsid w:val="13E77DA4"/>
    <w:rsid w:val="13EC5B14"/>
    <w:rsid w:val="13F11112"/>
    <w:rsid w:val="13F63CC2"/>
    <w:rsid w:val="13FE2E7D"/>
    <w:rsid w:val="14026747"/>
    <w:rsid w:val="14085D22"/>
    <w:rsid w:val="140908D1"/>
    <w:rsid w:val="140E7B23"/>
    <w:rsid w:val="141A6064"/>
    <w:rsid w:val="141D32EA"/>
    <w:rsid w:val="142403AE"/>
    <w:rsid w:val="143220AF"/>
    <w:rsid w:val="1433594E"/>
    <w:rsid w:val="14340076"/>
    <w:rsid w:val="14351940"/>
    <w:rsid w:val="14396509"/>
    <w:rsid w:val="143C29CF"/>
    <w:rsid w:val="143E138E"/>
    <w:rsid w:val="14496625"/>
    <w:rsid w:val="144D7CEA"/>
    <w:rsid w:val="145423E1"/>
    <w:rsid w:val="14556641"/>
    <w:rsid w:val="14561469"/>
    <w:rsid w:val="145A197E"/>
    <w:rsid w:val="145C5F13"/>
    <w:rsid w:val="145E475A"/>
    <w:rsid w:val="14607FC9"/>
    <w:rsid w:val="14617ADB"/>
    <w:rsid w:val="146A749E"/>
    <w:rsid w:val="146B3D46"/>
    <w:rsid w:val="147171C8"/>
    <w:rsid w:val="147A7E64"/>
    <w:rsid w:val="14801A85"/>
    <w:rsid w:val="14874A92"/>
    <w:rsid w:val="14893649"/>
    <w:rsid w:val="148A55D1"/>
    <w:rsid w:val="148A7C64"/>
    <w:rsid w:val="1490686C"/>
    <w:rsid w:val="14940F6E"/>
    <w:rsid w:val="14A116D9"/>
    <w:rsid w:val="14A34882"/>
    <w:rsid w:val="14A410B0"/>
    <w:rsid w:val="14AB3737"/>
    <w:rsid w:val="14AE6E74"/>
    <w:rsid w:val="14AF76CB"/>
    <w:rsid w:val="14B2216A"/>
    <w:rsid w:val="14B6767D"/>
    <w:rsid w:val="14BA29AA"/>
    <w:rsid w:val="14BA646F"/>
    <w:rsid w:val="14C57190"/>
    <w:rsid w:val="14CE04D5"/>
    <w:rsid w:val="14D55858"/>
    <w:rsid w:val="14D94748"/>
    <w:rsid w:val="14DA3CBE"/>
    <w:rsid w:val="14DB54C1"/>
    <w:rsid w:val="14DC1060"/>
    <w:rsid w:val="14DC1F4D"/>
    <w:rsid w:val="14DD2C3C"/>
    <w:rsid w:val="14DE0B92"/>
    <w:rsid w:val="14DE617B"/>
    <w:rsid w:val="14E209EF"/>
    <w:rsid w:val="14E50713"/>
    <w:rsid w:val="14E86CAF"/>
    <w:rsid w:val="14EB5EE2"/>
    <w:rsid w:val="14ED460A"/>
    <w:rsid w:val="14EF7AC7"/>
    <w:rsid w:val="14F24541"/>
    <w:rsid w:val="14F42640"/>
    <w:rsid w:val="14F916E0"/>
    <w:rsid w:val="14F96B98"/>
    <w:rsid w:val="14FC1309"/>
    <w:rsid w:val="14FC3F92"/>
    <w:rsid w:val="15007FFB"/>
    <w:rsid w:val="150F3760"/>
    <w:rsid w:val="15142605"/>
    <w:rsid w:val="151D17F0"/>
    <w:rsid w:val="151F2D11"/>
    <w:rsid w:val="152230D3"/>
    <w:rsid w:val="152B3F97"/>
    <w:rsid w:val="153100E0"/>
    <w:rsid w:val="1541524B"/>
    <w:rsid w:val="15437E13"/>
    <w:rsid w:val="154C5F99"/>
    <w:rsid w:val="154F22EE"/>
    <w:rsid w:val="15553D82"/>
    <w:rsid w:val="1556738A"/>
    <w:rsid w:val="156027C6"/>
    <w:rsid w:val="1567127A"/>
    <w:rsid w:val="157007EE"/>
    <w:rsid w:val="157962DF"/>
    <w:rsid w:val="157C0464"/>
    <w:rsid w:val="157D736C"/>
    <w:rsid w:val="157D7544"/>
    <w:rsid w:val="157E1963"/>
    <w:rsid w:val="158100AB"/>
    <w:rsid w:val="15810359"/>
    <w:rsid w:val="15854FC7"/>
    <w:rsid w:val="158B77D3"/>
    <w:rsid w:val="158C2B18"/>
    <w:rsid w:val="159D3227"/>
    <w:rsid w:val="15A33D79"/>
    <w:rsid w:val="15A47D16"/>
    <w:rsid w:val="15B4763C"/>
    <w:rsid w:val="15B76C71"/>
    <w:rsid w:val="15B91E83"/>
    <w:rsid w:val="15BE3912"/>
    <w:rsid w:val="15C07CD8"/>
    <w:rsid w:val="15CC591B"/>
    <w:rsid w:val="15CF2518"/>
    <w:rsid w:val="15D70C9F"/>
    <w:rsid w:val="15DD33A7"/>
    <w:rsid w:val="15E5487F"/>
    <w:rsid w:val="15EF74E6"/>
    <w:rsid w:val="15F01D32"/>
    <w:rsid w:val="15F0682D"/>
    <w:rsid w:val="15F209CC"/>
    <w:rsid w:val="15F31839"/>
    <w:rsid w:val="15F50BB5"/>
    <w:rsid w:val="15F61E9A"/>
    <w:rsid w:val="16087E1D"/>
    <w:rsid w:val="16095600"/>
    <w:rsid w:val="16095949"/>
    <w:rsid w:val="16096D2E"/>
    <w:rsid w:val="160B161E"/>
    <w:rsid w:val="160B61B8"/>
    <w:rsid w:val="16163901"/>
    <w:rsid w:val="162815F2"/>
    <w:rsid w:val="1628637B"/>
    <w:rsid w:val="162C6AF9"/>
    <w:rsid w:val="16306369"/>
    <w:rsid w:val="163E43BF"/>
    <w:rsid w:val="163E5993"/>
    <w:rsid w:val="16417E33"/>
    <w:rsid w:val="16505ECE"/>
    <w:rsid w:val="16532B7C"/>
    <w:rsid w:val="16597DA8"/>
    <w:rsid w:val="1666025D"/>
    <w:rsid w:val="166C5148"/>
    <w:rsid w:val="166D341C"/>
    <w:rsid w:val="166F5DD6"/>
    <w:rsid w:val="16704CB6"/>
    <w:rsid w:val="1678059E"/>
    <w:rsid w:val="16791E59"/>
    <w:rsid w:val="167C5F0F"/>
    <w:rsid w:val="16802CFA"/>
    <w:rsid w:val="168128C2"/>
    <w:rsid w:val="16816E45"/>
    <w:rsid w:val="16840370"/>
    <w:rsid w:val="168615A5"/>
    <w:rsid w:val="168B5EA1"/>
    <w:rsid w:val="168D3A3C"/>
    <w:rsid w:val="168E5CC6"/>
    <w:rsid w:val="16911B9B"/>
    <w:rsid w:val="169F3000"/>
    <w:rsid w:val="16A11295"/>
    <w:rsid w:val="16A13F2E"/>
    <w:rsid w:val="16A34643"/>
    <w:rsid w:val="16B12090"/>
    <w:rsid w:val="16B61344"/>
    <w:rsid w:val="16BC0089"/>
    <w:rsid w:val="16BE59A3"/>
    <w:rsid w:val="16BF097A"/>
    <w:rsid w:val="16C33471"/>
    <w:rsid w:val="16C423B9"/>
    <w:rsid w:val="16C51BEB"/>
    <w:rsid w:val="16DB7B02"/>
    <w:rsid w:val="16E53451"/>
    <w:rsid w:val="16E55626"/>
    <w:rsid w:val="16E875EA"/>
    <w:rsid w:val="16E922CE"/>
    <w:rsid w:val="16EA0898"/>
    <w:rsid w:val="16EB0762"/>
    <w:rsid w:val="16EC563C"/>
    <w:rsid w:val="16F13BA0"/>
    <w:rsid w:val="16F43B4C"/>
    <w:rsid w:val="16F730A1"/>
    <w:rsid w:val="16F81436"/>
    <w:rsid w:val="16FC1987"/>
    <w:rsid w:val="16FD03A9"/>
    <w:rsid w:val="16FF4982"/>
    <w:rsid w:val="1703526F"/>
    <w:rsid w:val="1706559C"/>
    <w:rsid w:val="17191442"/>
    <w:rsid w:val="171A1FA1"/>
    <w:rsid w:val="171F1F29"/>
    <w:rsid w:val="172E5762"/>
    <w:rsid w:val="1735378C"/>
    <w:rsid w:val="17353E72"/>
    <w:rsid w:val="173A0E08"/>
    <w:rsid w:val="173B2357"/>
    <w:rsid w:val="17403E6E"/>
    <w:rsid w:val="17425DBE"/>
    <w:rsid w:val="17435EA8"/>
    <w:rsid w:val="17437C51"/>
    <w:rsid w:val="17471A3A"/>
    <w:rsid w:val="174D6A83"/>
    <w:rsid w:val="174F4234"/>
    <w:rsid w:val="1751103C"/>
    <w:rsid w:val="1754501A"/>
    <w:rsid w:val="1755679C"/>
    <w:rsid w:val="17565ED5"/>
    <w:rsid w:val="17594C91"/>
    <w:rsid w:val="176909F1"/>
    <w:rsid w:val="176C6845"/>
    <w:rsid w:val="176E0569"/>
    <w:rsid w:val="17701D14"/>
    <w:rsid w:val="17710A0C"/>
    <w:rsid w:val="17735226"/>
    <w:rsid w:val="17740758"/>
    <w:rsid w:val="17766890"/>
    <w:rsid w:val="17794C86"/>
    <w:rsid w:val="177B0D21"/>
    <w:rsid w:val="177E3384"/>
    <w:rsid w:val="17872A6A"/>
    <w:rsid w:val="178863EE"/>
    <w:rsid w:val="178B38F7"/>
    <w:rsid w:val="17931AB1"/>
    <w:rsid w:val="17945A73"/>
    <w:rsid w:val="17970792"/>
    <w:rsid w:val="17992378"/>
    <w:rsid w:val="179F338B"/>
    <w:rsid w:val="17AF1185"/>
    <w:rsid w:val="17B02013"/>
    <w:rsid w:val="17B56E25"/>
    <w:rsid w:val="17BA3B3F"/>
    <w:rsid w:val="17C45CB6"/>
    <w:rsid w:val="17C46DE4"/>
    <w:rsid w:val="17D2169F"/>
    <w:rsid w:val="17D62623"/>
    <w:rsid w:val="17D905BB"/>
    <w:rsid w:val="17DC3F81"/>
    <w:rsid w:val="17DC7BCE"/>
    <w:rsid w:val="17E01774"/>
    <w:rsid w:val="17E973E5"/>
    <w:rsid w:val="17EF7DDE"/>
    <w:rsid w:val="17F23C73"/>
    <w:rsid w:val="18004166"/>
    <w:rsid w:val="18070071"/>
    <w:rsid w:val="18082813"/>
    <w:rsid w:val="180875AC"/>
    <w:rsid w:val="18095344"/>
    <w:rsid w:val="18127F70"/>
    <w:rsid w:val="18195213"/>
    <w:rsid w:val="181A0633"/>
    <w:rsid w:val="181B3AA7"/>
    <w:rsid w:val="18203749"/>
    <w:rsid w:val="182201B4"/>
    <w:rsid w:val="182466DF"/>
    <w:rsid w:val="1825515F"/>
    <w:rsid w:val="182D0AC7"/>
    <w:rsid w:val="182F3B24"/>
    <w:rsid w:val="182F6953"/>
    <w:rsid w:val="183D2279"/>
    <w:rsid w:val="1842054C"/>
    <w:rsid w:val="18484D14"/>
    <w:rsid w:val="184F7C56"/>
    <w:rsid w:val="185252E6"/>
    <w:rsid w:val="18533088"/>
    <w:rsid w:val="185666E3"/>
    <w:rsid w:val="18623249"/>
    <w:rsid w:val="18646AEC"/>
    <w:rsid w:val="186D23AA"/>
    <w:rsid w:val="186F4917"/>
    <w:rsid w:val="18700F1F"/>
    <w:rsid w:val="187C5BCF"/>
    <w:rsid w:val="188002BF"/>
    <w:rsid w:val="188258E5"/>
    <w:rsid w:val="1886798B"/>
    <w:rsid w:val="1888528B"/>
    <w:rsid w:val="18962693"/>
    <w:rsid w:val="189B5928"/>
    <w:rsid w:val="189C7034"/>
    <w:rsid w:val="189F624C"/>
    <w:rsid w:val="18A2079E"/>
    <w:rsid w:val="18A577F8"/>
    <w:rsid w:val="18A64941"/>
    <w:rsid w:val="18A72D74"/>
    <w:rsid w:val="18A8170F"/>
    <w:rsid w:val="18A9596F"/>
    <w:rsid w:val="18AA44FE"/>
    <w:rsid w:val="18AE7E2F"/>
    <w:rsid w:val="18AF51C2"/>
    <w:rsid w:val="18B76D63"/>
    <w:rsid w:val="18C833C8"/>
    <w:rsid w:val="18CD4156"/>
    <w:rsid w:val="18CE5BAA"/>
    <w:rsid w:val="18D54106"/>
    <w:rsid w:val="18DA10FB"/>
    <w:rsid w:val="18E2281E"/>
    <w:rsid w:val="18E32AAE"/>
    <w:rsid w:val="18E37561"/>
    <w:rsid w:val="18E6319D"/>
    <w:rsid w:val="18E6386E"/>
    <w:rsid w:val="18E65685"/>
    <w:rsid w:val="18E71CE8"/>
    <w:rsid w:val="18E86345"/>
    <w:rsid w:val="18F72560"/>
    <w:rsid w:val="18F76E27"/>
    <w:rsid w:val="18F8181C"/>
    <w:rsid w:val="18F9168E"/>
    <w:rsid w:val="18FE07FD"/>
    <w:rsid w:val="19005103"/>
    <w:rsid w:val="19143AC4"/>
    <w:rsid w:val="19155E8E"/>
    <w:rsid w:val="19171366"/>
    <w:rsid w:val="19181703"/>
    <w:rsid w:val="19234989"/>
    <w:rsid w:val="1928024F"/>
    <w:rsid w:val="19293BF2"/>
    <w:rsid w:val="192C4788"/>
    <w:rsid w:val="192E5253"/>
    <w:rsid w:val="19330CBA"/>
    <w:rsid w:val="19424583"/>
    <w:rsid w:val="19456779"/>
    <w:rsid w:val="19461A4C"/>
    <w:rsid w:val="19474E18"/>
    <w:rsid w:val="194E1F27"/>
    <w:rsid w:val="194F6977"/>
    <w:rsid w:val="19516C4F"/>
    <w:rsid w:val="19586526"/>
    <w:rsid w:val="195B3701"/>
    <w:rsid w:val="195E5870"/>
    <w:rsid w:val="19676254"/>
    <w:rsid w:val="196E2048"/>
    <w:rsid w:val="196F54DC"/>
    <w:rsid w:val="197C6EC3"/>
    <w:rsid w:val="19801636"/>
    <w:rsid w:val="199203E6"/>
    <w:rsid w:val="1994760F"/>
    <w:rsid w:val="19AA616A"/>
    <w:rsid w:val="19B5364F"/>
    <w:rsid w:val="19B72F5E"/>
    <w:rsid w:val="19BA0F0F"/>
    <w:rsid w:val="19BB39A9"/>
    <w:rsid w:val="19BD299F"/>
    <w:rsid w:val="19BF32C9"/>
    <w:rsid w:val="19C13939"/>
    <w:rsid w:val="19C474C1"/>
    <w:rsid w:val="19C560B0"/>
    <w:rsid w:val="19CC4BF7"/>
    <w:rsid w:val="19D873EA"/>
    <w:rsid w:val="19DC5484"/>
    <w:rsid w:val="19DE0FD0"/>
    <w:rsid w:val="19DE210A"/>
    <w:rsid w:val="19E11267"/>
    <w:rsid w:val="19E55EEE"/>
    <w:rsid w:val="19E97D73"/>
    <w:rsid w:val="19ED13BF"/>
    <w:rsid w:val="19F72729"/>
    <w:rsid w:val="19FA460C"/>
    <w:rsid w:val="19FD6210"/>
    <w:rsid w:val="19FF40D3"/>
    <w:rsid w:val="1A05498F"/>
    <w:rsid w:val="1A0713D0"/>
    <w:rsid w:val="1A0E0BF9"/>
    <w:rsid w:val="1A11725F"/>
    <w:rsid w:val="1A133AB7"/>
    <w:rsid w:val="1A1876E8"/>
    <w:rsid w:val="1A1B71BD"/>
    <w:rsid w:val="1A1C391D"/>
    <w:rsid w:val="1A1C66C0"/>
    <w:rsid w:val="1A1F3627"/>
    <w:rsid w:val="1A240EAC"/>
    <w:rsid w:val="1A262601"/>
    <w:rsid w:val="1A311534"/>
    <w:rsid w:val="1A3514FC"/>
    <w:rsid w:val="1A3966F5"/>
    <w:rsid w:val="1A3E6B2E"/>
    <w:rsid w:val="1A42393B"/>
    <w:rsid w:val="1A512ED4"/>
    <w:rsid w:val="1A563DC6"/>
    <w:rsid w:val="1A593839"/>
    <w:rsid w:val="1A6020E5"/>
    <w:rsid w:val="1A64440F"/>
    <w:rsid w:val="1A677DE9"/>
    <w:rsid w:val="1A6A7903"/>
    <w:rsid w:val="1A704D85"/>
    <w:rsid w:val="1A716EBF"/>
    <w:rsid w:val="1A730635"/>
    <w:rsid w:val="1A770156"/>
    <w:rsid w:val="1A7F0D42"/>
    <w:rsid w:val="1A813927"/>
    <w:rsid w:val="1A820D8E"/>
    <w:rsid w:val="1A83266C"/>
    <w:rsid w:val="1A860487"/>
    <w:rsid w:val="1A8A5B5C"/>
    <w:rsid w:val="1A8B0292"/>
    <w:rsid w:val="1A8B3F3C"/>
    <w:rsid w:val="1A8E329C"/>
    <w:rsid w:val="1A8E7BBC"/>
    <w:rsid w:val="1A8F7ABC"/>
    <w:rsid w:val="1A92298A"/>
    <w:rsid w:val="1A954C6D"/>
    <w:rsid w:val="1A9D656B"/>
    <w:rsid w:val="1AA26A1F"/>
    <w:rsid w:val="1AA52AF5"/>
    <w:rsid w:val="1AAA647C"/>
    <w:rsid w:val="1AAC430B"/>
    <w:rsid w:val="1AAD45DE"/>
    <w:rsid w:val="1AB07CF9"/>
    <w:rsid w:val="1AB86905"/>
    <w:rsid w:val="1ABB1378"/>
    <w:rsid w:val="1ABF5458"/>
    <w:rsid w:val="1ABF6E0B"/>
    <w:rsid w:val="1AC35120"/>
    <w:rsid w:val="1AC41F27"/>
    <w:rsid w:val="1AC7340E"/>
    <w:rsid w:val="1AC94917"/>
    <w:rsid w:val="1ACA3010"/>
    <w:rsid w:val="1ACE2A5A"/>
    <w:rsid w:val="1ACF0052"/>
    <w:rsid w:val="1AD05D0B"/>
    <w:rsid w:val="1AD55FD7"/>
    <w:rsid w:val="1ADC66C8"/>
    <w:rsid w:val="1AE50CDB"/>
    <w:rsid w:val="1AE52DC4"/>
    <w:rsid w:val="1AF07BEF"/>
    <w:rsid w:val="1AFA1A8A"/>
    <w:rsid w:val="1AFA4BA9"/>
    <w:rsid w:val="1AFB4C0A"/>
    <w:rsid w:val="1AFB7061"/>
    <w:rsid w:val="1B012302"/>
    <w:rsid w:val="1B046F80"/>
    <w:rsid w:val="1B130FEF"/>
    <w:rsid w:val="1B17494F"/>
    <w:rsid w:val="1B1954F5"/>
    <w:rsid w:val="1B1C50E3"/>
    <w:rsid w:val="1B1E1106"/>
    <w:rsid w:val="1B1E2351"/>
    <w:rsid w:val="1B1E4B60"/>
    <w:rsid w:val="1B207B1A"/>
    <w:rsid w:val="1B214619"/>
    <w:rsid w:val="1B230660"/>
    <w:rsid w:val="1B2726A7"/>
    <w:rsid w:val="1B2D290B"/>
    <w:rsid w:val="1B2D3893"/>
    <w:rsid w:val="1B3267B5"/>
    <w:rsid w:val="1B3C33B5"/>
    <w:rsid w:val="1B40161D"/>
    <w:rsid w:val="1B441859"/>
    <w:rsid w:val="1B443323"/>
    <w:rsid w:val="1B491FBB"/>
    <w:rsid w:val="1B4C1D34"/>
    <w:rsid w:val="1B4D7D15"/>
    <w:rsid w:val="1B514C3C"/>
    <w:rsid w:val="1B526E6B"/>
    <w:rsid w:val="1B564467"/>
    <w:rsid w:val="1B623A50"/>
    <w:rsid w:val="1B6606B1"/>
    <w:rsid w:val="1B683BEA"/>
    <w:rsid w:val="1B687983"/>
    <w:rsid w:val="1B6B2E6F"/>
    <w:rsid w:val="1B727865"/>
    <w:rsid w:val="1B783CA6"/>
    <w:rsid w:val="1B80739F"/>
    <w:rsid w:val="1B8151F1"/>
    <w:rsid w:val="1B840D71"/>
    <w:rsid w:val="1B8C7DEF"/>
    <w:rsid w:val="1BA05297"/>
    <w:rsid w:val="1BAA2221"/>
    <w:rsid w:val="1BAA4748"/>
    <w:rsid w:val="1BAC18EF"/>
    <w:rsid w:val="1BBC4D0F"/>
    <w:rsid w:val="1BBF33D0"/>
    <w:rsid w:val="1BC01B80"/>
    <w:rsid w:val="1BC27DF0"/>
    <w:rsid w:val="1BC53330"/>
    <w:rsid w:val="1BC746DD"/>
    <w:rsid w:val="1BC85FA4"/>
    <w:rsid w:val="1BD066A9"/>
    <w:rsid w:val="1BD3604E"/>
    <w:rsid w:val="1BD67C72"/>
    <w:rsid w:val="1BD9327F"/>
    <w:rsid w:val="1BDE015B"/>
    <w:rsid w:val="1BE06B87"/>
    <w:rsid w:val="1BE102EB"/>
    <w:rsid w:val="1BE73CD1"/>
    <w:rsid w:val="1BEF3966"/>
    <w:rsid w:val="1BF01CE4"/>
    <w:rsid w:val="1BF540CC"/>
    <w:rsid w:val="1BF85FA0"/>
    <w:rsid w:val="1BFA29F4"/>
    <w:rsid w:val="1BFD664D"/>
    <w:rsid w:val="1BFF3F45"/>
    <w:rsid w:val="1C0320AA"/>
    <w:rsid w:val="1C115520"/>
    <w:rsid w:val="1C127645"/>
    <w:rsid w:val="1C1824A7"/>
    <w:rsid w:val="1C182A2C"/>
    <w:rsid w:val="1C1A59B7"/>
    <w:rsid w:val="1C272967"/>
    <w:rsid w:val="1C2A3ADB"/>
    <w:rsid w:val="1C2D7653"/>
    <w:rsid w:val="1C316C87"/>
    <w:rsid w:val="1C317E52"/>
    <w:rsid w:val="1C330BE1"/>
    <w:rsid w:val="1C3770CF"/>
    <w:rsid w:val="1C441669"/>
    <w:rsid w:val="1C4D675D"/>
    <w:rsid w:val="1C4E3900"/>
    <w:rsid w:val="1C5C6434"/>
    <w:rsid w:val="1C5D1147"/>
    <w:rsid w:val="1C5E7925"/>
    <w:rsid w:val="1C630DDA"/>
    <w:rsid w:val="1C63766D"/>
    <w:rsid w:val="1C6A7DFB"/>
    <w:rsid w:val="1C6E2625"/>
    <w:rsid w:val="1C712CB3"/>
    <w:rsid w:val="1C771E0C"/>
    <w:rsid w:val="1C796CC0"/>
    <w:rsid w:val="1C7D31C8"/>
    <w:rsid w:val="1C7F5C3F"/>
    <w:rsid w:val="1C8512DE"/>
    <w:rsid w:val="1C8D5720"/>
    <w:rsid w:val="1C8E5E18"/>
    <w:rsid w:val="1C9176B6"/>
    <w:rsid w:val="1C936F71"/>
    <w:rsid w:val="1C9A2A0F"/>
    <w:rsid w:val="1C9A64D6"/>
    <w:rsid w:val="1C9D42AD"/>
    <w:rsid w:val="1CA41DE2"/>
    <w:rsid w:val="1CAC1E8C"/>
    <w:rsid w:val="1CAE3250"/>
    <w:rsid w:val="1CAF7177"/>
    <w:rsid w:val="1CB26E62"/>
    <w:rsid w:val="1CB81A64"/>
    <w:rsid w:val="1CB90A50"/>
    <w:rsid w:val="1CBB7641"/>
    <w:rsid w:val="1CC07F24"/>
    <w:rsid w:val="1CCA1585"/>
    <w:rsid w:val="1CD42313"/>
    <w:rsid w:val="1CD47013"/>
    <w:rsid w:val="1CD504C7"/>
    <w:rsid w:val="1CE3321E"/>
    <w:rsid w:val="1CE41EDC"/>
    <w:rsid w:val="1CE837A3"/>
    <w:rsid w:val="1CED6B91"/>
    <w:rsid w:val="1CEE2EF0"/>
    <w:rsid w:val="1CFA34AD"/>
    <w:rsid w:val="1CFD070F"/>
    <w:rsid w:val="1CFE2569"/>
    <w:rsid w:val="1CFF1D5F"/>
    <w:rsid w:val="1D0008C2"/>
    <w:rsid w:val="1D006CB1"/>
    <w:rsid w:val="1D04257E"/>
    <w:rsid w:val="1D076C26"/>
    <w:rsid w:val="1D083FCA"/>
    <w:rsid w:val="1D11268D"/>
    <w:rsid w:val="1D163C20"/>
    <w:rsid w:val="1D1C5196"/>
    <w:rsid w:val="1D1D62B7"/>
    <w:rsid w:val="1D1E1265"/>
    <w:rsid w:val="1D2D055E"/>
    <w:rsid w:val="1D2E6121"/>
    <w:rsid w:val="1D2F30F5"/>
    <w:rsid w:val="1D300A91"/>
    <w:rsid w:val="1D33327C"/>
    <w:rsid w:val="1D383BA5"/>
    <w:rsid w:val="1D3C287C"/>
    <w:rsid w:val="1D3D6B23"/>
    <w:rsid w:val="1D3E485C"/>
    <w:rsid w:val="1D420495"/>
    <w:rsid w:val="1D464973"/>
    <w:rsid w:val="1D48081E"/>
    <w:rsid w:val="1D4B3102"/>
    <w:rsid w:val="1D4D7BEE"/>
    <w:rsid w:val="1D4E4B60"/>
    <w:rsid w:val="1D4F72CF"/>
    <w:rsid w:val="1D5735CD"/>
    <w:rsid w:val="1D5A5541"/>
    <w:rsid w:val="1D5F6196"/>
    <w:rsid w:val="1D6132A5"/>
    <w:rsid w:val="1D6A25F7"/>
    <w:rsid w:val="1D6B6159"/>
    <w:rsid w:val="1D6C5237"/>
    <w:rsid w:val="1D6F78ED"/>
    <w:rsid w:val="1D727C95"/>
    <w:rsid w:val="1D755B4D"/>
    <w:rsid w:val="1D815CB6"/>
    <w:rsid w:val="1D827EC2"/>
    <w:rsid w:val="1D850809"/>
    <w:rsid w:val="1D865EA0"/>
    <w:rsid w:val="1D897A9A"/>
    <w:rsid w:val="1D8E56D5"/>
    <w:rsid w:val="1D927B25"/>
    <w:rsid w:val="1D943D00"/>
    <w:rsid w:val="1DA506B7"/>
    <w:rsid w:val="1DAA6E23"/>
    <w:rsid w:val="1DB472C7"/>
    <w:rsid w:val="1DC16139"/>
    <w:rsid w:val="1DC820A4"/>
    <w:rsid w:val="1DCC45AB"/>
    <w:rsid w:val="1DDB1D29"/>
    <w:rsid w:val="1DDF5B34"/>
    <w:rsid w:val="1DE50D6C"/>
    <w:rsid w:val="1DE8737F"/>
    <w:rsid w:val="1DF005A0"/>
    <w:rsid w:val="1DF44011"/>
    <w:rsid w:val="1DF5112A"/>
    <w:rsid w:val="1DFB3104"/>
    <w:rsid w:val="1E072632"/>
    <w:rsid w:val="1E0B58D0"/>
    <w:rsid w:val="1E17221C"/>
    <w:rsid w:val="1E187B04"/>
    <w:rsid w:val="1E1D56A5"/>
    <w:rsid w:val="1E281B04"/>
    <w:rsid w:val="1E2C1658"/>
    <w:rsid w:val="1E2D1660"/>
    <w:rsid w:val="1E324FFC"/>
    <w:rsid w:val="1E347DEA"/>
    <w:rsid w:val="1E3576CC"/>
    <w:rsid w:val="1E391B38"/>
    <w:rsid w:val="1E3A34F1"/>
    <w:rsid w:val="1E3D2EDA"/>
    <w:rsid w:val="1E426EBA"/>
    <w:rsid w:val="1E4343E0"/>
    <w:rsid w:val="1E472265"/>
    <w:rsid w:val="1E4A61BF"/>
    <w:rsid w:val="1E4F5A7B"/>
    <w:rsid w:val="1E517984"/>
    <w:rsid w:val="1E545887"/>
    <w:rsid w:val="1E56574D"/>
    <w:rsid w:val="1E5828FE"/>
    <w:rsid w:val="1E5D25FA"/>
    <w:rsid w:val="1E601D8E"/>
    <w:rsid w:val="1E641C3C"/>
    <w:rsid w:val="1E6A5A15"/>
    <w:rsid w:val="1E6D365E"/>
    <w:rsid w:val="1E6E40CC"/>
    <w:rsid w:val="1E7145AC"/>
    <w:rsid w:val="1E760352"/>
    <w:rsid w:val="1E7A43DA"/>
    <w:rsid w:val="1E7E72F9"/>
    <w:rsid w:val="1E7F3BDF"/>
    <w:rsid w:val="1E804C18"/>
    <w:rsid w:val="1E835FC0"/>
    <w:rsid w:val="1E8374F4"/>
    <w:rsid w:val="1E8B467F"/>
    <w:rsid w:val="1E8D1F92"/>
    <w:rsid w:val="1E8F5EBB"/>
    <w:rsid w:val="1EA2089A"/>
    <w:rsid w:val="1EA36DE4"/>
    <w:rsid w:val="1EA83EE7"/>
    <w:rsid w:val="1EAA298D"/>
    <w:rsid w:val="1EB0364A"/>
    <w:rsid w:val="1EB334D9"/>
    <w:rsid w:val="1EB52346"/>
    <w:rsid w:val="1EC067AD"/>
    <w:rsid w:val="1ECD661C"/>
    <w:rsid w:val="1ED75B80"/>
    <w:rsid w:val="1ED86D55"/>
    <w:rsid w:val="1EDB258E"/>
    <w:rsid w:val="1EE91AD8"/>
    <w:rsid w:val="1EF41220"/>
    <w:rsid w:val="1EF70E70"/>
    <w:rsid w:val="1EFA59E6"/>
    <w:rsid w:val="1EFE0E07"/>
    <w:rsid w:val="1EFE3E3C"/>
    <w:rsid w:val="1EFF3AD1"/>
    <w:rsid w:val="1F023736"/>
    <w:rsid w:val="1F065805"/>
    <w:rsid w:val="1F0A5E6C"/>
    <w:rsid w:val="1F221FA3"/>
    <w:rsid w:val="1F233B1B"/>
    <w:rsid w:val="1F2D7B6A"/>
    <w:rsid w:val="1F305286"/>
    <w:rsid w:val="1F3470BD"/>
    <w:rsid w:val="1F35415D"/>
    <w:rsid w:val="1F3D3B25"/>
    <w:rsid w:val="1F3F6D29"/>
    <w:rsid w:val="1F4B0604"/>
    <w:rsid w:val="1F521F15"/>
    <w:rsid w:val="1F566DD0"/>
    <w:rsid w:val="1F5F67E5"/>
    <w:rsid w:val="1F6920C4"/>
    <w:rsid w:val="1F6A1654"/>
    <w:rsid w:val="1F6C6F7C"/>
    <w:rsid w:val="1F7F030A"/>
    <w:rsid w:val="1F83744B"/>
    <w:rsid w:val="1F890E82"/>
    <w:rsid w:val="1F8A0055"/>
    <w:rsid w:val="1F941779"/>
    <w:rsid w:val="1F9B448D"/>
    <w:rsid w:val="1F9D56E9"/>
    <w:rsid w:val="1F9E6920"/>
    <w:rsid w:val="1FAD305A"/>
    <w:rsid w:val="1FAD7213"/>
    <w:rsid w:val="1FB06CEE"/>
    <w:rsid w:val="1FB64928"/>
    <w:rsid w:val="1FB66FE6"/>
    <w:rsid w:val="1FB76ED1"/>
    <w:rsid w:val="1FB95BB6"/>
    <w:rsid w:val="1FBE4B69"/>
    <w:rsid w:val="1FBE4C66"/>
    <w:rsid w:val="1FC25682"/>
    <w:rsid w:val="1FC72BE9"/>
    <w:rsid w:val="1FC93264"/>
    <w:rsid w:val="1FCC0332"/>
    <w:rsid w:val="1FCE48F2"/>
    <w:rsid w:val="1FCF6D47"/>
    <w:rsid w:val="1FDA2090"/>
    <w:rsid w:val="1FDF0B66"/>
    <w:rsid w:val="1FDF4383"/>
    <w:rsid w:val="1FE06DC3"/>
    <w:rsid w:val="1FE7539E"/>
    <w:rsid w:val="1FE75843"/>
    <w:rsid w:val="1FE91456"/>
    <w:rsid w:val="1FEC013D"/>
    <w:rsid w:val="1FF13E31"/>
    <w:rsid w:val="200060F4"/>
    <w:rsid w:val="20066115"/>
    <w:rsid w:val="200E0C18"/>
    <w:rsid w:val="2018490D"/>
    <w:rsid w:val="201A56DF"/>
    <w:rsid w:val="201A731F"/>
    <w:rsid w:val="201B74B3"/>
    <w:rsid w:val="202251F5"/>
    <w:rsid w:val="2022649A"/>
    <w:rsid w:val="20226F38"/>
    <w:rsid w:val="20231909"/>
    <w:rsid w:val="202B426D"/>
    <w:rsid w:val="202C6FA0"/>
    <w:rsid w:val="203002EF"/>
    <w:rsid w:val="20321019"/>
    <w:rsid w:val="20324AB8"/>
    <w:rsid w:val="203450D6"/>
    <w:rsid w:val="20472FCB"/>
    <w:rsid w:val="204A44F9"/>
    <w:rsid w:val="204C2F0D"/>
    <w:rsid w:val="205046E1"/>
    <w:rsid w:val="20534976"/>
    <w:rsid w:val="205A60CE"/>
    <w:rsid w:val="205A6687"/>
    <w:rsid w:val="205F3122"/>
    <w:rsid w:val="20603265"/>
    <w:rsid w:val="20671BE0"/>
    <w:rsid w:val="206C7F54"/>
    <w:rsid w:val="207575A9"/>
    <w:rsid w:val="207C1D42"/>
    <w:rsid w:val="207C5630"/>
    <w:rsid w:val="207D2846"/>
    <w:rsid w:val="208732B9"/>
    <w:rsid w:val="208F53F1"/>
    <w:rsid w:val="20963CB8"/>
    <w:rsid w:val="20980B5A"/>
    <w:rsid w:val="209E298B"/>
    <w:rsid w:val="209E5928"/>
    <w:rsid w:val="209E6479"/>
    <w:rsid w:val="20A0232A"/>
    <w:rsid w:val="20A21CC6"/>
    <w:rsid w:val="20A4554A"/>
    <w:rsid w:val="20A81A1B"/>
    <w:rsid w:val="20AA18C4"/>
    <w:rsid w:val="20AB7DB2"/>
    <w:rsid w:val="20AC2D10"/>
    <w:rsid w:val="20AF2CB7"/>
    <w:rsid w:val="20B07FB6"/>
    <w:rsid w:val="20B646FB"/>
    <w:rsid w:val="20BF78A4"/>
    <w:rsid w:val="20C15A7E"/>
    <w:rsid w:val="20C21A7F"/>
    <w:rsid w:val="20C32803"/>
    <w:rsid w:val="20CC6897"/>
    <w:rsid w:val="20CE16CA"/>
    <w:rsid w:val="20CF0823"/>
    <w:rsid w:val="20DB35F6"/>
    <w:rsid w:val="20E438EF"/>
    <w:rsid w:val="20E71C96"/>
    <w:rsid w:val="20E97B9E"/>
    <w:rsid w:val="20EA28E9"/>
    <w:rsid w:val="20EA3839"/>
    <w:rsid w:val="20ED5DA6"/>
    <w:rsid w:val="20EE463F"/>
    <w:rsid w:val="20EF4A30"/>
    <w:rsid w:val="20FD4F9D"/>
    <w:rsid w:val="210463B2"/>
    <w:rsid w:val="2108529B"/>
    <w:rsid w:val="2109539C"/>
    <w:rsid w:val="210C0F58"/>
    <w:rsid w:val="211636AC"/>
    <w:rsid w:val="211663DC"/>
    <w:rsid w:val="211B3642"/>
    <w:rsid w:val="211C6210"/>
    <w:rsid w:val="21231999"/>
    <w:rsid w:val="212942EF"/>
    <w:rsid w:val="213043B9"/>
    <w:rsid w:val="213260DF"/>
    <w:rsid w:val="213264FE"/>
    <w:rsid w:val="21360DC6"/>
    <w:rsid w:val="213879CE"/>
    <w:rsid w:val="213B74B1"/>
    <w:rsid w:val="213D002E"/>
    <w:rsid w:val="213E5850"/>
    <w:rsid w:val="21497E94"/>
    <w:rsid w:val="215440A2"/>
    <w:rsid w:val="215A2310"/>
    <w:rsid w:val="215A6CB0"/>
    <w:rsid w:val="215C4736"/>
    <w:rsid w:val="215D682C"/>
    <w:rsid w:val="216C69E9"/>
    <w:rsid w:val="21717721"/>
    <w:rsid w:val="217355DC"/>
    <w:rsid w:val="218315BB"/>
    <w:rsid w:val="21867BCC"/>
    <w:rsid w:val="21873A76"/>
    <w:rsid w:val="218A7E86"/>
    <w:rsid w:val="219263AA"/>
    <w:rsid w:val="21961E42"/>
    <w:rsid w:val="219806C7"/>
    <w:rsid w:val="21A63C04"/>
    <w:rsid w:val="21A74838"/>
    <w:rsid w:val="21AD5DC4"/>
    <w:rsid w:val="21B03969"/>
    <w:rsid w:val="21B63B7D"/>
    <w:rsid w:val="21BF0395"/>
    <w:rsid w:val="21C22C13"/>
    <w:rsid w:val="21D51272"/>
    <w:rsid w:val="21D71F28"/>
    <w:rsid w:val="21DD4428"/>
    <w:rsid w:val="21DE318A"/>
    <w:rsid w:val="21E252C5"/>
    <w:rsid w:val="21E309EE"/>
    <w:rsid w:val="21E427F6"/>
    <w:rsid w:val="21E604A4"/>
    <w:rsid w:val="21EA6789"/>
    <w:rsid w:val="21EF5B80"/>
    <w:rsid w:val="21F33DE8"/>
    <w:rsid w:val="21F51B92"/>
    <w:rsid w:val="21F7785B"/>
    <w:rsid w:val="21FC45E2"/>
    <w:rsid w:val="21FE49F2"/>
    <w:rsid w:val="22042A05"/>
    <w:rsid w:val="2208041A"/>
    <w:rsid w:val="220A2E2B"/>
    <w:rsid w:val="22131A27"/>
    <w:rsid w:val="221C2C7B"/>
    <w:rsid w:val="221D6DEE"/>
    <w:rsid w:val="22274E1A"/>
    <w:rsid w:val="222905B3"/>
    <w:rsid w:val="22316E87"/>
    <w:rsid w:val="223C525C"/>
    <w:rsid w:val="2241392C"/>
    <w:rsid w:val="224303BF"/>
    <w:rsid w:val="22461E28"/>
    <w:rsid w:val="224D27FF"/>
    <w:rsid w:val="224E3536"/>
    <w:rsid w:val="22576990"/>
    <w:rsid w:val="225D75EA"/>
    <w:rsid w:val="225E7176"/>
    <w:rsid w:val="22645309"/>
    <w:rsid w:val="22697249"/>
    <w:rsid w:val="22725631"/>
    <w:rsid w:val="22744BF1"/>
    <w:rsid w:val="22815D2D"/>
    <w:rsid w:val="22895E2F"/>
    <w:rsid w:val="228D27AB"/>
    <w:rsid w:val="229A6BFF"/>
    <w:rsid w:val="229F1040"/>
    <w:rsid w:val="22A46AB4"/>
    <w:rsid w:val="22AB4475"/>
    <w:rsid w:val="22B22E66"/>
    <w:rsid w:val="22B86179"/>
    <w:rsid w:val="22BA1ACE"/>
    <w:rsid w:val="22BE1068"/>
    <w:rsid w:val="22C41EF6"/>
    <w:rsid w:val="22C67F7A"/>
    <w:rsid w:val="22CF422B"/>
    <w:rsid w:val="22D05C1D"/>
    <w:rsid w:val="22E02C17"/>
    <w:rsid w:val="22E90F7E"/>
    <w:rsid w:val="22E93BF7"/>
    <w:rsid w:val="22F028ED"/>
    <w:rsid w:val="22F47480"/>
    <w:rsid w:val="22F80CE2"/>
    <w:rsid w:val="23071A28"/>
    <w:rsid w:val="230E6315"/>
    <w:rsid w:val="23116B91"/>
    <w:rsid w:val="23126FF4"/>
    <w:rsid w:val="231655A3"/>
    <w:rsid w:val="23224D36"/>
    <w:rsid w:val="23256231"/>
    <w:rsid w:val="232D6C61"/>
    <w:rsid w:val="23352A26"/>
    <w:rsid w:val="23357C57"/>
    <w:rsid w:val="23411797"/>
    <w:rsid w:val="2341292C"/>
    <w:rsid w:val="23487E57"/>
    <w:rsid w:val="234B5C85"/>
    <w:rsid w:val="234D4248"/>
    <w:rsid w:val="235667B4"/>
    <w:rsid w:val="2356749C"/>
    <w:rsid w:val="2358671F"/>
    <w:rsid w:val="23587F45"/>
    <w:rsid w:val="235D5084"/>
    <w:rsid w:val="235E7FF9"/>
    <w:rsid w:val="23630EA2"/>
    <w:rsid w:val="23675C03"/>
    <w:rsid w:val="23714A9A"/>
    <w:rsid w:val="2372027E"/>
    <w:rsid w:val="23775DBA"/>
    <w:rsid w:val="237B576C"/>
    <w:rsid w:val="237F1B9F"/>
    <w:rsid w:val="23805FAC"/>
    <w:rsid w:val="238162A0"/>
    <w:rsid w:val="23836E61"/>
    <w:rsid w:val="238B4506"/>
    <w:rsid w:val="238C3AD5"/>
    <w:rsid w:val="238C49AD"/>
    <w:rsid w:val="2393207B"/>
    <w:rsid w:val="239408AE"/>
    <w:rsid w:val="23975E6D"/>
    <w:rsid w:val="239A7798"/>
    <w:rsid w:val="239F47E8"/>
    <w:rsid w:val="23AC5233"/>
    <w:rsid w:val="23AE2A68"/>
    <w:rsid w:val="23B54FB3"/>
    <w:rsid w:val="23BD1E44"/>
    <w:rsid w:val="23CF30D4"/>
    <w:rsid w:val="23CF5A6D"/>
    <w:rsid w:val="23D14858"/>
    <w:rsid w:val="23D84634"/>
    <w:rsid w:val="23DC0D95"/>
    <w:rsid w:val="23DE1C48"/>
    <w:rsid w:val="23DF20C0"/>
    <w:rsid w:val="23E64557"/>
    <w:rsid w:val="23F00F81"/>
    <w:rsid w:val="23F20C26"/>
    <w:rsid w:val="23F53DB9"/>
    <w:rsid w:val="23FB44B8"/>
    <w:rsid w:val="23FE1BA1"/>
    <w:rsid w:val="23FF501A"/>
    <w:rsid w:val="240210CD"/>
    <w:rsid w:val="24061740"/>
    <w:rsid w:val="24097E11"/>
    <w:rsid w:val="240B4EDD"/>
    <w:rsid w:val="24194C06"/>
    <w:rsid w:val="241D3405"/>
    <w:rsid w:val="241E37FA"/>
    <w:rsid w:val="242225C1"/>
    <w:rsid w:val="242502D3"/>
    <w:rsid w:val="24264886"/>
    <w:rsid w:val="242B219E"/>
    <w:rsid w:val="24341498"/>
    <w:rsid w:val="243A53EC"/>
    <w:rsid w:val="243A6885"/>
    <w:rsid w:val="243D7C15"/>
    <w:rsid w:val="243F5C4A"/>
    <w:rsid w:val="244407DE"/>
    <w:rsid w:val="244C2EDA"/>
    <w:rsid w:val="244D1347"/>
    <w:rsid w:val="2459703E"/>
    <w:rsid w:val="245B2F97"/>
    <w:rsid w:val="245B3130"/>
    <w:rsid w:val="2460778E"/>
    <w:rsid w:val="24651B54"/>
    <w:rsid w:val="2466767A"/>
    <w:rsid w:val="246F468C"/>
    <w:rsid w:val="247104F9"/>
    <w:rsid w:val="247A1555"/>
    <w:rsid w:val="247A7F6B"/>
    <w:rsid w:val="247E2897"/>
    <w:rsid w:val="248149D0"/>
    <w:rsid w:val="24883D84"/>
    <w:rsid w:val="248843F2"/>
    <w:rsid w:val="24885124"/>
    <w:rsid w:val="248A0711"/>
    <w:rsid w:val="248A28C4"/>
    <w:rsid w:val="248B02C3"/>
    <w:rsid w:val="248E05C1"/>
    <w:rsid w:val="24913676"/>
    <w:rsid w:val="249D62DF"/>
    <w:rsid w:val="24A23342"/>
    <w:rsid w:val="24A94D3F"/>
    <w:rsid w:val="24AA0B01"/>
    <w:rsid w:val="24AD1D5C"/>
    <w:rsid w:val="24AE77C3"/>
    <w:rsid w:val="24B03476"/>
    <w:rsid w:val="24B05D67"/>
    <w:rsid w:val="24B52BEB"/>
    <w:rsid w:val="24B53B1F"/>
    <w:rsid w:val="24BA08D2"/>
    <w:rsid w:val="24BF09F7"/>
    <w:rsid w:val="24BF3C9C"/>
    <w:rsid w:val="24C10CEC"/>
    <w:rsid w:val="24C51691"/>
    <w:rsid w:val="24C5629B"/>
    <w:rsid w:val="24C945AF"/>
    <w:rsid w:val="24CE594B"/>
    <w:rsid w:val="24D812C2"/>
    <w:rsid w:val="24DC4E8B"/>
    <w:rsid w:val="24DC7C6A"/>
    <w:rsid w:val="24DD54EC"/>
    <w:rsid w:val="24E22A11"/>
    <w:rsid w:val="24E406E2"/>
    <w:rsid w:val="24E46AD5"/>
    <w:rsid w:val="24E67D2F"/>
    <w:rsid w:val="24EC1CB7"/>
    <w:rsid w:val="24F14E07"/>
    <w:rsid w:val="24F46739"/>
    <w:rsid w:val="24F56576"/>
    <w:rsid w:val="24FF6CDD"/>
    <w:rsid w:val="25011468"/>
    <w:rsid w:val="25027FE0"/>
    <w:rsid w:val="250B3205"/>
    <w:rsid w:val="250B591B"/>
    <w:rsid w:val="25174C03"/>
    <w:rsid w:val="251A63DC"/>
    <w:rsid w:val="251E2A8A"/>
    <w:rsid w:val="25202E96"/>
    <w:rsid w:val="25233CB7"/>
    <w:rsid w:val="252B4B4C"/>
    <w:rsid w:val="252D53FE"/>
    <w:rsid w:val="252E6A91"/>
    <w:rsid w:val="25315F3B"/>
    <w:rsid w:val="25387026"/>
    <w:rsid w:val="253C3621"/>
    <w:rsid w:val="25490EF8"/>
    <w:rsid w:val="254A4826"/>
    <w:rsid w:val="254D09BD"/>
    <w:rsid w:val="25525F6F"/>
    <w:rsid w:val="25546D50"/>
    <w:rsid w:val="25561CFA"/>
    <w:rsid w:val="25565E93"/>
    <w:rsid w:val="255B6799"/>
    <w:rsid w:val="25600612"/>
    <w:rsid w:val="25643B4C"/>
    <w:rsid w:val="25680511"/>
    <w:rsid w:val="256837F2"/>
    <w:rsid w:val="257007B0"/>
    <w:rsid w:val="25840432"/>
    <w:rsid w:val="25857F6F"/>
    <w:rsid w:val="258F1726"/>
    <w:rsid w:val="25906029"/>
    <w:rsid w:val="259A65CB"/>
    <w:rsid w:val="259C70E4"/>
    <w:rsid w:val="259D1644"/>
    <w:rsid w:val="259F4287"/>
    <w:rsid w:val="25A17250"/>
    <w:rsid w:val="25A451BF"/>
    <w:rsid w:val="25A4536D"/>
    <w:rsid w:val="25AC730F"/>
    <w:rsid w:val="25B04F90"/>
    <w:rsid w:val="25B104DB"/>
    <w:rsid w:val="25B12B77"/>
    <w:rsid w:val="25B3069D"/>
    <w:rsid w:val="25CD52F8"/>
    <w:rsid w:val="25CF6108"/>
    <w:rsid w:val="25D37E82"/>
    <w:rsid w:val="25E007A7"/>
    <w:rsid w:val="25E1345C"/>
    <w:rsid w:val="25E82546"/>
    <w:rsid w:val="25EB4BCA"/>
    <w:rsid w:val="25EB71D6"/>
    <w:rsid w:val="25EC2D81"/>
    <w:rsid w:val="25F660D7"/>
    <w:rsid w:val="25F93D14"/>
    <w:rsid w:val="25FB6CFE"/>
    <w:rsid w:val="25FC27E0"/>
    <w:rsid w:val="25FF514D"/>
    <w:rsid w:val="26063DF1"/>
    <w:rsid w:val="260E2671"/>
    <w:rsid w:val="260F3360"/>
    <w:rsid w:val="261C65FB"/>
    <w:rsid w:val="26204463"/>
    <w:rsid w:val="26206BF9"/>
    <w:rsid w:val="26276CD1"/>
    <w:rsid w:val="262C1D2D"/>
    <w:rsid w:val="2635272F"/>
    <w:rsid w:val="263F391D"/>
    <w:rsid w:val="264351A6"/>
    <w:rsid w:val="264B6B28"/>
    <w:rsid w:val="2654212B"/>
    <w:rsid w:val="265476B7"/>
    <w:rsid w:val="26557F83"/>
    <w:rsid w:val="2657383F"/>
    <w:rsid w:val="26587F4A"/>
    <w:rsid w:val="266F1BB7"/>
    <w:rsid w:val="26707DD3"/>
    <w:rsid w:val="2672088B"/>
    <w:rsid w:val="267542CC"/>
    <w:rsid w:val="26797A87"/>
    <w:rsid w:val="267C2248"/>
    <w:rsid w:val="267C330B"/>
    <w:rsid w:val="268D09EC"/>
    <w:rsid w:val="268F15A4"/>
    <w:rsid w:val="269A1A85"/>
    <w:rsid w:val="269F49D1"/>
    <w:rsid w:val="26A7230F"/>
    <w:rsid w:val="26A971ED"/>
    <w:rsid w:val="26AC5AD4"/>
    <w:rsid w:val="26B57A9A"/>
    <w:rsid w:val="26BF3CA8"/>
    <w:rsid w:val="26BF4929"/>
    <w:rsid w:val="26D6704D"/>
    <w:rsid w:val="26D776E7"/>
    <w:rsid w:val="26DE361B"/>
    <w:rsid w:val="26E20B15"/>
    <w:rsid w:val="26E222DC"/>
    <w:rsid w:val="26EA3C8C"/>
    <w:rsid w:val="26F92A28"/>
    <w:rsid w:val="26FA0EA4"/>
    <w:rsid w:val="26FE567E"/>
    <w:rsid w:val="27023248"/>
    <w:rsid w:val="270C4509"/>
    <w:rsid w:val="27105DB0"/>
    <w:rsid w:val="271964F1"/>
    <w:rsid w:val="27196C26"/>
    <w:rsid w:val="271C19A7"/>
    <w:rsid w:val="27215C62"/>
    <w:rsid w:val="272210C1"/>
    <w:rsid w:val="272370C0"/>
    <w:rsid w:val="272555CB"/>
    <w:rsid w:val="272F147C"/>
    <w:rsid w:val="273F698F"/>
    <w:rsid w:val="274417F4"/>
    <w:rsid w:val="27441F41"/>
    <w:rsid w:val="274529F0"/>
    <w:rsid w:val="274E0F62"/>
    <w:rsid w:val="27560631"/>
    <w:rsid w:val="27605280"/>
    <w:rsid w:val="276322F4"/>
    <w:rsid w:val="276B4823"/>
    <w:rsid w:val="277057A2"/>
    <w:rsid w:val="27720C4E"/>
    <w:rsid w:val="27781E2B"/>
    <w:rsid w:val="277B292C"/>
    <w:rsid w:val="277B7698"/>
    <w:rsid w:val="27873B8F"/>
    <w:rsid w:val="278A1DF7"/>
    <w:rsid w:val="278B2F48"/>
    <w:rsid w:val="279124A6"/>
    <w:rsid w:val="27967AF5"/>
    <w:rsid w:val="27977369"/>
    <w:rsid w:val="279F248D"/>
    <w:rsid w:val="27A11569"/>
    <w:rsid w:val="27A144B9"/>
    <w:rsid w:val="27A65761"/>
    <w:rsid w:val="27AB00D5"/>
    <w:rsid w:val="27AC5532"/>
    <w:rsid w:val="27AC5BD7"/>
    <w:rsid w:val="27AD4D5D"/>
    <w:rsid w:val="27AE53F2"/>
    <w:rsid w:val="27B05775"/>
    <w:rsid w:val="27B32BD6"/>
    <w:rsid w:val="27B50302"/>
    <w:rsid w:val="27B84691"/>
    <w:rsid w:val="27BC47E6"/>
    <w:rsid w:val="27BD114C"/>
    <w:rsid w:val="27BD3A55"/>
    <w:rsid w:val="27BD42EA"/>
    <w:rsid w:val="27C219D2"/>
    <w:rsid w:val="27C60682"/>
    <w:rsid w:val="27CE228A"/>
    <w:rsid w:val="27D56FF1"/>
    <w:rsid w:val="27D67561"/>
    <w:rsid w:val="27D843EB"/>
    <w:rsid w:val="27DA47CF"/>
    <w:rsid w:val="27EC0E54"/>
    <w:rsid w:val="27ED433A"/>
    <w:rsid w:val="27F041A5"/>
    <w:rsid w:val="27F364B7"/>
    <w:rsid w:val="27F53828"/>
    <w:rsid w:val="27F7368A"/>
    <w:rsid w:val="27F95E51"/>
    <w:rsid w:val="27FB4A85"/>
    <w:rsid w:val="27FE1323"/>
    <w:rsid w:val="280334E9"/>
    <w:rsid w:val="280E0FFF"/>
    <w:rsid w:val="28100562"/>
    <w:rsid w:val="28193A98"/>
    <w:rsid w:val="281E3232"/>
    <w:rsid w:val="281E7ABE"/>
    <w:rsid w:val="28223B5D"/>
    <w:rsid w:val="282B5403"/>
    <w:rsid w:val="282D5CF7"/>
    <w:rsid w:val="282D6BF4"/>
    <w:rsid w:val="282F66F0"/>
    <w:rsid w:val="283014C8"/>
    <w:rsid w:val="28336285"/>
    <w:rsid w:val="28344F0B"/>
    <w:rsid w:val="283756B5"/>
    <w:rsid w:val="28377DA2"/>
    <w:rsid w:val="283858FC"/>
    <w:rsid w:val="283A5249"/>
    <w:rsid w:val="283A7E93"/>
    <w:rsid w:val="283F090E"/>
    <w:rsid w:val="28416B80"/>
    <w:rsid w:val="28433589"/>
    <w:rsid w:val="284C5735"/>
    <w:rsid w:val="285D2B42"/>
    <w:rsid w:val="286A6A7F"/>
    <w:rsid w:val="286B6989"/>
    <w:rsid w:val="286C151B"/>
    <w:rsid w:val="2875078D"/>
    <w:rsid w:val="28766BFA"/>
    <w:rsid w:val="287E5721"/>
    <w:rsid w:val="287F5214"/>
    <w:rsid w:val="288A7EFB"/>
    <w:rsid w:val="289356E8"/>
    <w:rsid w:val="28973B24"/>
    <w:rsid w:val="289839E4"/>
    <w:rsid w:val="289C3787"/>
    <w:rsid w:val="289D7604"/>
    <w:rsid w:val="289E41C3"/>
    <w:rsid w:val="28A073E9"/>
    <w:rsid w:val="28A37AF2"/>
    <w:rsid w:val="28A44A91"/>
    <w:rsid w:val="28A66CB9"/>
    <w:rsid w:val="28A7643B"/>
    <w:rsid w:val="28A82382"/>
    <w:rsid w:val="28AD6507"/>
    <w:rsid w:val="28AF7D38"/>
    <w:rsid w:val="28B3381F"/>
    <w:rsid w:val="28B61820"/>
    <w:rsid w:val="28B72697"/>
    <w:rsid w:val="28BB745C"/>
    <w:rsid w:val="28C031AA"/>
    <w:rsid w:val="28C37195"/>
    <w:rsid w:val="28C53B74"/>
    <w:rsid w:val="28D72E86"/>
    <w:rsid w:val="28DC11A7"/>
    <w:rsid w:val="28E219C5"/>
    <w:rsid w:val="28E92489"/>
    <w:rsid w:val="28F40482"/>
    <w:rsid w:val="28F733C0"/>
    <w:rsid w:val="28FB5A56"/>
    <w:rsid w:val="2906425B"/>
    <w:rsid w:val="29070311"/>
    <w:rsid w:val="290F5F70"/>
    <w:rsid w:val="291800DE"/>
    <w:rsid w:val="29206EB8"/>
    <w:rsid w:val="29231DBF"/>
    <w:rsid w:val="292945C2"/>
    <w:rsid w:val="29303A19"/>
    <w:rsid w:val="293B1454"/>
    <w:rsid w:val="294316A5"/>
    <w:rsid w:val="29464C42"/>
    <w:rsid w:val="294842EF"/>
    <w:rsid w:val="29487B4C"/>
    <w:rsid w:val="29595666"/>
    <w:rsid w:val="295E5D80"/>
    <w:rsid w:val="29604833"/>
    <w:rsid w:val="296443CC"/>
    <w:rsid w:val="29656152"/>
    <w:rsid w:val="29684C67"/>
    <w:rsid w:val="29694798"/>
    <w:rsid w:val="296C72FA"/>
    <w:rsid w:val="296E1A34"/>
    <w:rsid w:val="296F0275"/>
    <w:rsid w:val="2976268C"/>
    <w:rsid w:val="297C362F"/>
    <w:rsid w:val="297C4FC8"/>
    <w:rsid w:val="29823EC7"/>
    <w:rsid w:val="29851689"/>
    <w:rsid w:val="29853E85"/>
    <w:rsid w:val="298741EC"/>
    <w:rsid w:val="29874881"/>
    <w:rsid w:val="29926620"/>
    <w:rsid w:val="299537CA"/>
    <w:rsid w:val="299B42FD"/>
    <w:rsid w:val="299F4469"/>
    <w:rsid w:val="29A05BCF"/>
    <w:rsid w:val="29A24FD4"/>
    <w:rsid w:val="29A3262D"/>
    <w:rsid w:val="29A44ECD"/>
    <w:rsid w:val="29A9148E"/>
    <w:rsid w:val="29AA0443"/>
    <w:rsid w:val="29AA38A2"/>
    <w:rsid w:val="29AC5B2F"/>
    <w:rsid w:val="29AD5BA6"/>
    <w:rsid w:val="29B175E9"/>
    <w:rsid w:val="29B30601"/>
    <w:rsid w:val="29BB2B17"/>
    <w:rsid w:val="29C06030"/>
    <w:rsid w:val="29C27101"/>
    <w:rsid w:val="29C4182F"/>
    <w:rsid w:val="29C80113"/>
    <w:rsid w:val="29D76564"/>
    <w:rsid w:val="29DF5C79"/>
    <w:rsid w:val="29E043C4"/>
    <w:rsid w:val="29E12A17"/>
    <w:rsid w:val="29E325E0"/>
    <w:rsid w:val="29E400FF"/>
    <w:rsid w:val="29E46DF8"/>
    <w:rsid w:val="29EA6C03"/>
    <w:rsid w:val="29EF16F3"/>
    <w:rsid w:val="29F005A0"/>
    <w:rsid w:val="29F64EBC"/>
    <w:rsid w:val="29F666CA"/>
    <w:rsid w:val="2A036126"/>
    <w:rsid w:val="2A0609AA"/>
    <w:rsid w:val="2A060E82"/>
    <w:rsid w:val="2A07545B"/>
    <w:rsid w:val="2A0F3810"/>
    <w:rsid w:val="2A16750A"/>
    <w:rsid w:val="2A176665"/>
    <w:rsid w:val="2A196102"/>
    <w:rsid w:val="2A1B6442"/>
    <w:rsid w:val="2A1D1F7C"/>
    <w:rsid w:val="2A2E0C3A"/>
    <w:rsid w:val="2A361B71"/>
    <w:rsid w:val="2A452503"/>
    <w:rsid w:val="2A52261A"/>
    <w:rsid w:val="2A54063A"/>
    <w:rsid w:val="2A5425FA"/>
    <w:rsid w:val="2A593B47"/>
    <w:rsid w:val="2A5B7D43"/>
    <w:rsid w:val="2A5E151F"/>
    <w:rsid w:val="2A693365"/>
    <w:rsid w:val="2A693A20"/>
    <w:rsid w:val="2A7725E1"/>
    <w:rsid w:val="2A772A81"/>
    <w:rsid w:val="2A7A0BFF"/>
    <w:rsid w:val="2A81530F"/>
    <w:rsid w:val="2A82600A"/>
    <w:rsid w:val="2A832D34"/>
    <w:rsid w:val="2A895E70"/>
    <w:rsid w:val="2A8C0007"/>
    <w:rsid w:val="2A932F92"/>
    <w:rsid w:val="2A9A1E2C"/>
    <w:rsid w:val="2A9E1053"/>
    <w:rsid w:val="2AA700A3"/>
    <w:rsid w:val="2AAA079D"/>
    <w:rsid w:val="2AAC6462"/>
    <w:rsid w:val="2AAD472C"/>
    <w:rsid w:val="2ABB1BA5"/>
    <w:rsid w:val="2AC94FF6"/>
    <w:rsid w:val="2ACF7C6B"/>
    <w:rsid w:val="2AD60631"/>
    <w:rsid w:val="2AD6555A"/>
    <w:rsid w:val="2AD65A2C"/>
    <w:rsid w:val="2AD91BD6"/>
    <w:rsid w:val="2ADA3E3E"/>
    <w:rsid w:val="2ADF0BED"/>
    <w:rsid w:val="2AE83371"/>
    <w:rsid w:val="2AF128F7"/>
    <w:rsid w:val="2B022EA3"/>
    <w:rsid w:val="2B0242C0"/>
    <w:rsid w:val="2B032B11"/>
    <w:rsid w:val="2B035183"/>
    <w:rsid w:val="2B084C55"/>
    <w:rsid w:val="2B0F4266"/>
    <w:rsid w:val="2B114B66"/>
    <w:rsid w:val="2B133327"/>
    <w:rsid w:val="2B157D56"/>
    <w:rsid w:val="2B19597F"/>
    <w:rsid w:val="2B283BFC"/>
    <w:rsid w:val="2B2C03B0"/>
    <w:rsid w:val="2B2E14B1"/>
    <w:rsid w:val="2B30421D"/>
    <w:rsid w:val="2B314201"/>
    <w:rsid w:val="2B31626D"/>
    <w:rsid w:val="2B344A2B"/>
    <w:rsid w:val="2B367DA6"/>
    <w:rsid w:val="2B3A6889"/>
    <w:rsid w:val="2B3E7CCE"/>
    <w:rsid w:val="2B406E77"/>
    <w:rsid w:val="2B494AC2"/>
    <w:rsid w:val="2B4D3DF4"/>
    <w:rsid w:val="2B4F2C16"/>
    <w:rsid w:val="2B56449F"/>
    <w:rsid w:val="2B573D3C"/>
    <w:rsid w:val="2B5A070A"/>
    <w:rsid w:val="2B5A1D39"/>
    <w:rsid w:val="2B5C6710"/>
    <w:rsid w:val="2B633D54"/>
    <w:rsid w:val="2B747B53"/>
    <w:rsid w:val="2B7A11B6"/>
    <w:rsid w:val="2B7A6DCA"/>
    <w:rsid w:val="2B824E44"/>
    <w:rsid w:val="2B826FCD"/>
    <w:rsid w:val="2B843F70"/>
    <w:rsid w:val="2B896D06"/>
    <w:rsid w:val="2B8A668E"/>
    <w:rsid w:val="2B903987"/>
    <w:rsid w:val="2B9E7355"/>
    <w:rsid w:val="2BA936A8"/>
    <w:rsid w:val="2BAE7289"/>
    <w:rsid w:val="2BAF6523"/>
    <w:rsid w:val="2BB207C7"/>
    <w:rsid w:val="2BB62C95"/>
    <w:rsid w:val="2BB93653"/>
    <w:rsid w:val="2BBA177C"/>
    <w:rsid w:val="2BC07293"/>
    <w:rsid w:val="2BDA2796"/>
    <w:rsid w:val="2BDF3C28"/>
    <w:rsid w:val="2BE034EE"/>
    <w:rsid w:val="2BE05E12"/>
    <w:rsid w:val="2BE76B2C"/>
    <w:rsid w:val="2BF538B5"/>
    <w:rsid w:val="2BF866D4"/>
    <w:rsid w:val="2BFF1D20"/>
    <w:rsid w:val="2C014C00"/>
    <w:rsid w:val="2C076D04"/>
    <w:rsid w:val="2C0C0B07"/>
    <w:rsid w:val="2C0C29F6"/>
    <w:rsid w:val="2C0E2AFE"/>
    <w:rsid w:val="2C137F4F"/>
    <w:rsid w:val="2C1406F2"/>
    <w:rsid w:val="2C1A1178"/>
    <w:rsid w:val="2C261ADD"/>
    <w:rsid w:val="2C2960C4"/>
    <w:rsid w:val="2C2B2DA5"/>
    <w:rsid w:val="2C2B4E88"/>
    <w:rsid w:val="2C2D7058"/>
    <w:rsid w:val="2C2E5055"/>
    <w:rsid w:val="2C30204B"/>
    <w:rsid w:val="2C315A5A"/>
    <w:rsid w:val="2C323267"/>
    <w:rsid w:val="2C3732CB"/>
    <w:rsid w:val="2C3F738A"/>
    <w:rsid w:val="2C4A0365"/>
    <w:rsid w:val="2C4A5CA7"/>
    <w:rsid w:val="2C4B1C25"/>
    <w:rsid w:val="2C4C05F5"/>
    <w:rsid w:val="2C576F17"/>
    <w:rsid w:val="2C5A594A"/>
    <w:rsid w:val="2C5E2A77"/>
    <w:rsid w:val="2C5F6129"/>
    <w:rsid w:val="2C666971"/>
    <w:rsid w:val="2C675513"/>
    <w:rsid w:val="2C680433"/>
    <w:rsid w:val="2C6D336B"/>
    <w:rsid w:val="2C770D88"/>
    <w:rsid w:val="2C7C0414"/>
    <w:rsid w:val="2C7D67D5"/>
    <w:rsid w:val="2C80455C"/>
    <w:rsid w:val="2C825FF3"/>
    <w:rsid w:val="2C8267FF"/>
    <w:rsid w:val="2C871B9D"/>
    <w:rsid w:val="2C8A4088"/>
    <w:rsid w:val="2C8D03B9"/>
    <w:rsid w:val="2C985FA5"/>
    <w:rsid w:val="2C9A01D3"/>
    <w:rsid w:val="2C9D4A23"/>
    <w:rsid w:val="2CA2795E"/>
    <w:rsid w:val="2CA77612"/>
    <w:rsid w:val="2CAC3459"/>
    <w:rsid w:val="2CB1378F"/>
    <w:rsid w:val="2CB42C6A"/>
    <w:rsid w:val="2CBA2FD7"/>
    <w:rsid w:val="2CC535C4"/>
    <w:rsid w:val="2CC62842"/>
    <w:rsid w:val="2CCA21E5"/>
    <w:rsid w:val="2CCB5871"/>
    <w:rsid w:val="2CCC7EA2"/>
    <w:rsid w:val="2CD31625"/>
    <w:rsid w:val="2CD34F37"/>
    <w:rsid w:val="2CDF446E"/>
    <w:rsid w:val="2CE5540C"/>
    <w:rsid w:val="2CE86FE9"/>
    <w:rsid w:val="2CEA5F30"/>
    <w:rsid w:val="2CF042EE"/>
    <w:rsid w:val="2CF540AD"/>
    <w:rsid w:val="2CF603B5"/>
    <w:rsid w:val="2CFA5B11"/>
    <w:rsid w:val="2CFA5CF1"/>
    <w:rsid w:val="2CFC7623"/>
    <w:rsid w:val="2D08465D"/>
    <w:rsid w:val="2D08685C"/>
    <w:rsid w:val="2D0A057D"/>
    <w:rsid w:val="2D0D2D89"/>
    <w:rsid w:val="2D1830C9"/>
    <w:rsid w:val="2D1D33B2"/>
    <w:rsid w:val="2D2161BF"/>
    <w:rsid w:val="2D236127"/>
    <w:rsid w:val="2D236DBA"/>
    <w:rsid w:val="2D2615E3"/>
    <w:rsid w:val="2D284AE2"/>
    <w:rsid w:val="2D3034F2"/>
    <w:rsid w:val="2D326383"/>
    <w:rsid w:val="2D34256A"/>
    <w:rsid w:val="2D343726"/>
    <w:rsid w:val="2D3C2702"/>
    <w:rsid w:val="2D3F2459"/>
    <w:rsid w:val="2D4744ED"/>
    <w:rsid w:val="2D4A661B"/>
    <w:rsid w:val="2D4D1CE8"/>
    <w:rsid w:val="2D4E004F"/>
    <w:rsid w:val="2D535154"/>
    <w:rsid w:val="2D5440ED"/>
    <w:rsid w:val="2D5515E0"/>
    <w:rsid w:val="2D620C86"/>
    <w:rsid w:val="2D664BC2"/>
    <w:rsid w:val="2D6A3133"/>
    <w:rsid w:val="2D6C2423"/>
    <w:rsid w:val="2D6F4971"/>
    <w:rsid w:val="2D700F28"/>
    <w:rsid w:val="2D7306D2"/>
    <w:rsid w:val="2D7E336F"/>
    <w:rsid w:val="2D807C7D"/>
    <w:rsid w:val="2D817255"/>
    <w:rsid w:val="2D862A10"/>
    <w:rsid w:val="2D8817AC"/>
    <w:rsid w:val="2D895034"/>
    <w:rsid w:val="2D8C71D1"/>
    <w:rsid w:val="2D8F4251"/>
    <w:rsid w:val="2D940DB4"/>
    <w:rsid w:val="2D947EA5"/>
    <w:rsid w:val="2D992116"/>
    <w:rsid w:val="2D9E56F5"/>
    <w:rsid w:val="2DA44BD5"/>
    <w:rsid w:val="2DA46C8F"/>
    <w:rsid w:val="2DA93E32"/>
    <w:rsid w:val="2DB20C49"/>
    <w:rsid w:val="2DBB6C1D"/>
    <w:rsid w:val="2DBE000D"/>
    <w:rsid w:val="2DBE5AC1"/>
    <w:rsid w:val="2DDD0E46"/>
    <w:rsid w:val="2DE15F8F"/>
    <w:rsid w:val="2DE26425"/>
    <w:rsid w:val="2DE513E9"/>
    <w:rsid w:val="2DE92FC5"/>
    <w:rsid w:val="2DF00BFC"/>
    <w:rsid w:val="2DF47AA5"/>
    <w:rsid w:val="2DFE26D1"/>
    <w:rsid w:val="2E00644A"/>
    <w:rsid w:val="2E01279E"/>
    <w:rsid w:val="2E021E4B"/>
    <w:rsid w:val="2E0313DC"/>
    <w:rsid w:val="2E070B85"/>
    <w:rsid w:val="2E0858CA"/>
    <w:rsid w:val="2E232138"/>
    <w:rsid w:val="2E2466A4"/>
    <w:rsid w:val="2E2F2D29"/>
    <w:rsid w:val="2E337A22"/>
    <w:rsid w:val="2E440A2C"/>
    <w:rsid w:val="2E45516B"/>
    <w:rsid w:val="2E4635A3"/>
    <w:rsid w:val="2E50122D"/>
    <w:rsid w:val="2E5E05F8"/>
    <w:rsid w:val="2E6372DB"/>
    <w:rsid w:val="2E667F96"/>
    <w:rsid w:val="2E681B0E"/>
    <w:rsid w:val="2E6C7562"/>
    <w:rsid w:val="2E8226AB"/>
    <w:rsid w:val="2E840F37"/>
    <w:rsid w:val="2E890417"/>
    <w:rsid w:val="2E8E2613"/>
    <w:rsid w:val="2E9554C2"/>
    <w:rsid w:val="2E956E03"/>
    <w:rsid w:val="2E9A23CB"/>
    <w:rsid w:val="2E9B5BAC"/>
    <w:rsid w:val="2E9E2D26"/>
    <w:rsid w:val="2EA130B1"/>
    <w:rsid w:val="2EA849F3"/>
    <w:rsid w:val="2EB21E3A"/>
    <w:rsid w:val="2EBF265A"/>
    <w:rsid w:val="2EC07EE6"/>
    <w:rsid w:val="2EC933EA"/>
    <w:rsid w:val="2ECE25B8"/>
    <w:rsid w:val="2EDE2C2F"/>
    <w:rsid w:val="2EE50403"/>
    <w:rsid w:val="2EE65024"/>
    <w:rsid w:val="2EE8762D"/>
    <w:rsid w:val="2EE9257B"/>
    <w:rsid w:val="2EED483C"/>
    <w:rsid w:val="2EEF1F92"/>
    <w:rsid w:val="2EEF6BEA"/>
    <w:rsid w:val="2EF02962"/>
    <w:rsid w:val="2EF03B1F"/>
    <w:rsid w:val="2EF0737D"/>
    <w:rsid w:val="2EF10A6E"/>
    <w:rsid w:val="2EF57F78"/>
    <w:rsid w:val="2EFC3628"/>
    <w:rsid w:val="2EFE77CE"/>
    <w:rsid w:val="2EFF2BA5"/>
    <w:rsid w:val="2F0353ED"/>
    <w:rsid w:val="2F047866"/>
    <w:rsid w:val="2F052EF9"/>
    <w:rsid w:val="2F062CCD"/>
    <w:rsid w:val="2F0957D2"/>
    <w:rsid w:val="2F0B178C"/>
    <w:rsid w:val="2F0D3DBF"/>
    <w:rsid w:val="2F104DB2"/>
    <w:rsid w:val="2F1A19EE"/>
    <w:rsid w:val="2F1A225A"/>
    <w:rsid w:val="2F1C4AE5"/>
    <w:rsid w:val="2F1D6DC6"/>
    <w:rsid w:val="2F252DA4"/>
    <w:rsid w:val="2F2B6B4E"/>
    <w:rsid w:val="2F2D4036"/>
    <w:rsid w:val="2F2F1D4B"/>
    <w:rsid w:val="2F3475CB"/>
    <w:rsid w:val="2F36290D"/>
    <w:rsid w:val="2F363CF8"/>
    <w:rsid w:val="2F376A55"/>
    <w:rsid w:val="2F3A2D57"/>
    <w:rsid w:val="2F4A59A3"/>
    <w:rsid w:val="2F4E3913"/>
    <w:rsid w:val="2F5B602D"/>
    <w:rsid w:val="2F684D8D"/>
    <w:rsid w:val="2F686414"/>
    <w:rsid w:val="2F695B08"/>
    <w:rsid w:val="2F6D40DA"/>
    <w:rsid w:val="2F737D65"/>
    <w:rsid w:val="2F7E2B4A"/>
    <w:rsid w:val="2F7F4E32"/>
    <w:rsid w:val="2F81396B"/>
    <w:rsid w:val="2F895953"/>
    <w:rsid w:val="2F897553"/>
    <w:rsid w:val="2F8D52B8"/>
    <w:rsid w:val="2F913B59"/>
    <w:rsid w:val="2F945759"/>
    <w:rsid w:val="2F9A438C"/>
    <w:rsid w:val="2F9B28CE"/>
    <w:rsid w:val="2F9D7366"/>
    <w:rsid w:val="2F9F4AEE"/>
    <w:rsid w:val="2FA15A0A"/>
    <w:rsid w:val="2FA335DC"/>
    <w:rsid w:val="2FA47059"/>
    <w:rsid w:val="2FB725D1"/>
    <w:rsid w:val="2FB82515"/>
    <w:rsid w:val="2FBA4969"/>
    <w:rsid w:val="2FBD4C76"/>
    <w:rsid w:val="2FBD6626"/>
    <w:rsid w:val="2FBE606E"/>
    <w:rsid w:val="2FC114E8"/>
    <w:rsid w:val="2FC339A7"/>
    <w:rsid w:val="2FCC6F2B"/>
    <w:rsid w:val="2FD065E6"/>
    <w:rsid w:val="2FD551CA"/>
    <w:rsid w:val="2FD96870"/>
    <w:rsid w:val="2FE32966"/>
    <w:rsid w:val="2FED4599"/>
    <w:rsid w:val="2FF369C5"/>
    <w:rsid w:val="2FF8455E"/>
    <w:rsid w:val="2FF87E62"/>
    <w:rsid w:val="2FF908B0"/>
    <w:rsid w:val="2FFE260E"/>
    <w:rsid w:val="2FFF65BD"/>
    <w:rsid w:val="30023E7E"/>
    <w:rsid w:val="30077A67"/>
    <w:rsid w:val="3008483F"/>
    <w:rsid w:val="300A7C29"/>
    <w:rsid w:val="300B47E4"/>
    <w:rsid w:val="300C5C5E"/>
    <w:rsid w:val="30116754"/>
    <w:rsid w:val="30147E03"/>
    <w:rsid w:val="301526DA"/>
    <w:rsid w:val="3020159F"/>
    <w:rsid w:val="30233E7D"/>
    <w:rsid w:val="302A11E6"/>
    <w:rsid w:val="302C13A6"/>
    <w:rsid w:val="30310ACC"/>
    <w:rsid w:val="30375BE0"/>
    <w:rsid w:val="30383BE3"/>
    <w:rsid w:val="303C7ADC"/>
    <w:rsid w:val="303E7E2F"/>
    <w:rsid w:val="30403475"/>
    <w:rsid w:val="30406FD1"/>
    <w:rsid w:val="30464C0F"/>
    <w:rsid w:val="3049232A"/>
    <w:rsid w:val="3056285F"/>
    <w:rsid w:val="30580BC9"/>
    <w:rsid w:val="305F79D7"/>
    <w:rsid w:val="306404AC"/>
    <w:rsid w:val="30665DAF"/>
    <w:rsid w:val="306B04F2"/>
    <w:rsid w:val="306E78C2"/>
    <w:rsid w:val="307275B7"/>
    <w:rsid w:val="307E7467"/>
    <w:rsid w:val="3081343B"/>
    <w:rsid w:val="308363DA"/>
    <w:rsid w:val="308D271B"/>
    <w:rsid w:val="308E5F8F"/>
    <w:rsid w:val="30916C21"/>
    <w:rsid w:val="3095556F"/>
    <w:rsid w:val="3097695B"/>
    <w:rsid w:val="3098322B"/>
    <w:rsid w:val="30A47560"/>
    <w:rsid w:val="30A56311"/>
    <w:rsid w:val="30A7720A"/>
    <w:rsid w:val="30AB4285"/>
    <w:rsid w:val="30AC672E"/>
    <w:rsid w:val="30B227C1"/>
    <w:rsid w:val="30B22864"/>
    <w:rsid w:val="30B7572F"/>
    <w:rsid w:val="30C16364"/>
    <w:rsid w:val="30C37AA8"/>
    <w:rsid w:val="30C641BA"/>
    <w:rsid w:val="30D1405A"/>
    <w:rsid w:val="30D265CC"/>
    <w:rsid w:val="30E34622"/>
    <w:rsid w:val="30E57630"/>
    <w:rsid w:val="30E81B54"/>
    <w:rsid w:val="30F52B82"/>
    <w:rsid w:val="31013971"/>
    <w:rsid w:val="31030590"/>
    <w:rsid w:val="310811F3"/>
    <w:rsid w:val="310864AB"/>
    <w:rsid w:val="31172428"/>
    <w:rsid w:val="311D3D54"/>
    <w:rsid w:val="311E2ED7"/>
    <w:rsid w:val="312208BB"/>
    <w:rsid w:val="31221AB2"/>
    <w:rsid w:val="31241899"/>
    <w:rsid w:val="312E1520"/>
    <w:rsid w:val="31304EC4"/>
    <w:rsid w:val="3140253F"/>
    <w:rsid w:val="315619EE"/>
    <w:rsid w:val="31571DEA"/>
    <w:rsid w:val="315C449C"/>
    <w:rsid w:val="315D2548"/>
    <w:rsid w:val="31690BF9"/>
    <w:rsid w:val="316D0BA9"/>
    <w:rsid w:val="318030F3"/>
    <w:rsid w:val="31815AF3"/>
    <w:rsid w:val="318164A5"/>
    <w:rsid w:val="3187193F"/>
    <w:rsid w:val="318D26EA"/>
    <w:rsid w:val="319174A5"/>
    <w:rsid w:val="31940B55"/>
    <w:rsid w:val="31A13568"/>
    <w:rsid w:val="31B1578B"/>
    <w:rsid w:val="31B71515"/>
    <w:rsid w:val="31B82709"/>
    <w:rsid w:val="31B91385"/>
    <w:rsid w:val="31BC5EB5"/>
    <w:rsid w:val="31BE4652"/>
    <w:rsid w:val="31C205E6"/>
    <w:rsid w:val="31C46B65"/>
    <w:rsid w:val="31C64C84"/>
    <w:rsid w:val="31C73254"/>
    <w:rsid w:val="31C7431E"/>
    <w:rsid w:val="31C77A0F"/>
    <w:rsid w:val="31D05482"/>
    <w:rsid w:val="31D475C0"/>
    <w:rsid w:val="31D521A1"/>
    <w:rsid w:val="31D9244B"/>
    <w:rsid w:val="31EB3165"/>
    <w:rsid w:val="31EF2D6D"/>
    <w:rsid w:val="32051F56"/>
    <w:rsid w:val="32075FF9"/>
    <w:rsid w:val="320929DB"/>
    <w:rsid w:val="32097AB0"/>
    <w:rsid w:val="320F75A3"/>
    <w:rsid w:val="32236BAB"/>
    <w:rsid w:val="322E2676"/>
    <w:rsid w:val="322F1D18"/>
    <w:rsid w:val="32321F50"/>
    <w:rsid w:val="32335040"/>
    <w:rsid w:val="32355E79"/>
    <w:rsid w:val="32362A90"/>
    <w:rsid w:val="323B5CA2"/>
    <w:rsid w:val="323D061E"/>
    <w:rsid w:val="32400B34"/>
    <w:rsid w:val="3241556F"/>
    <w:rsid w:val="32416B0C"/>
    <w:rsid w:val="32417A65"/>
    <w:rsid w:val="32464912"/>
    <w:rsid w:val="324D00D0"/>
    <w:rsid w:val="324F67C5"/>
    <w:rsid w:val="3250400C"/>
    <w:rsid w:val="32561ADA"/>
    <w:rsid w:val="325D471A"/>
    <w:rsid w:val="32606FA0"/>
    <w:rsid w:val="326276D3"/>
    <w:rsid w:val="32660273"/>
    <w:rsid w:val="32693339"/>
    <w:rsid w:val="326A3F39"/>
    <w:rsid w:val="326C6165"/>
    <w:rsid w:val="32723087"/>
    <w:rsid w:val="327567A7"/>
    <w:rsid w:val="327E7CEC"/>
    <w:rsid w:val="327F4D4C"/>
    <w:rsid w:val="327F58B4"/>
    <w:rsid w:val="32842C29"/>
    <w:rsid w:val="32897323"/>
    <w:rsid w:val="328A31A1"/>
    <w:rsid w:val="328F2952"/>
    <w:rsid w:val="3293570B"/>
    <w:rsid w:val="329830F5"/>
    <w:rsid w:val="329B4219"/>
    <w:rsid w:val="329E6876"/>
    <w:rsid w:val="329E7053"/>
    <w:rsid w:val="329F34AB"/>
    <w:rsid w:val="32A305C2"/>
    <w:rsid w:val="32B06690"/>
    <w:rsid w:val="32B3432A"/>
    <w:rsid w:val="32B532B2"/>
    <w:rsid w:val="32BB67B1"/>
    <w:rsid w:val="32BD7997"/>
    <w:rsid w:val="32C07882"/>
    <w:rsid w:val="32CD601F"/>
    <w:rsid w:val="32E248E4"/>
    <w:rsid w:val="32E32A66"/>
    <w:rsid w:val="32E33294"/>
    <w:rsid w:val="32E358F3"/>
    <w:rsid w:val="32E5543F"/>
    <w:rsid w:val="32EC7127"/>
    <w:rsid w:val="32F46024"/>
    <w:rsid w:val="32F73CBA"/>
    <w:rsid w:val="32F94E96"/>
    <w:rsid w:val="32FE1775"/>
    <w:rsid w:val="32FF5C36"/>
    <w:rsid w:val="33042866"/>
    <w:rsid w:val="330A33D3"/>
    <w:rsid w:val="330B3843"/>
    <w:rsid w:val="331B308C"/>
    <w:rsid w:val="331B3C1A"/>
    <w:rsid w:val="331C5E6B"/>
    <w:rsid w:val="331C702E"/>
    <w:rsid w:val="331D29CF"/>
    <w:rsid w:val="331D4E71"/>
    <w:rsid w:val="332D401E"/>
    <w:rsid w:val="332E14BB"/>
    <w:rsid w:val="333015F2"/>
    <w:rsid w:val="333D5A4A"/>
    <w:rsid w:val="33423D22"/>
    <w:rsid w:val="33425660"/>
    <w:rsid w:val="3349340E"/>
    <w:rsid w:val="334B6320"/>
    <w:rsid w:val="334D05D5"/>
    <w:rsid w:val="33527BF1"/>
    <w:rsid w:val="33572FB0"/>
    <w:rsid w:val="335976CD"/>
    <w:rsid w:val="335D1DBD"/>
    <w:rsid w:val="336628C6"/>
    <w:rsid w:val="33673093"/>
    <w:rsid w:val="3368064C"/>
    <w:rsid w:val="33681445"/>
    <w:rsid w:val="33720C6B"/>
    <w:rsid w:val="33774845"/>
    <w:rsid w:val="33805A76"/>
    <w:rsid w:val="339B2E68"/>
    <w:rsid w:val="33A663C1"/>
    <w:rsid w:val="33A806D9"/>
    <w:rsid w:val="33AF50FA"/>
    <w:rsid w:val="33B10912"/>
    <w:rsid w:val="33BA0655"/>
    <w:rsid w:val="33BB5EE4"/>
    <w:rsid w:val="33C23515"/>
    <w:rsid w:val="33C24596"/>
    <w:rsid w:val="33C83084"/>
    <w:rsid w:val="33CB6A9D"/>
    <w:rsid w:val="33CB7703"/>
    <w:rsid w:val="33CC2F07"/>
    <w:rsid w:val="33D5395A"/>
    <w:rsid w:val="33D740F0"/>
    <w:rsid w:val="33D76499"/>
    <w:rsid w:val="33D934D4"/>
    <w:rsid w:val="33DD277F"/>
    <w:rsid w:val="33E5172B"/>
    <w:rsid w:val="33E66123"/>
    <w:rsid w:val="33E6657B"/>
    <w:rsid w:val="33EA3C4E"/>
    <w:rsid w:val="33EC225E"/>
    <w:rsid w:val="33EE3C4A"/>
    <w:rsid w:val="33EF6E2C"/>
    <w:rsid w:val="33F33EFF"/>
    <w:rsid w:val="33F405EB"/>
    <w:rsid w:val="33F42E7A"/>
    <w:rsid w:val="33F4594A"/>
    <w:rsid w:val="33FE2F6A"/>
    <w:rsid w:val="34030A65"/>
    <w:rsid w:val="340E07E5"/>
    <w:rsid w:val="34132396"/>
    <w:rsid w:val="34162B67"/>
    <w:rsid w:val="341C2892"/>
    <w:rsid w:val="3422527B"/>
    <w:rsid w:val="34235992"/>
    <w:rsid w:val="34235BF7"/>
    <w:rsid w:val="34292BCA"/>
    <w:rsid w:val="342C58A4"/>
    <w:rsid w:val="34327F17"/>
    <w:rsid w:val="3437012A"/>
    <w:rsid w:val="34373C2A"/>
    <w:rsid w:val="344822F6"/>
    <w:rsid w:val="344A1240"/>
    <w:rsid w:val="344F368F"/>
    <w:rsid w:val="345117AD"/>
    <w:rsid w:val="34580DFC"/>
    <w:rsid w:val="345C3BEE"/>
    <w:rsid w:val="34604BE3"/>
    <w:rsid w:val="346201F0"/>
    <w:rsid w:val="346935D9"/>
    <w:rsid w:val="346C4839"/>
    <w:rsid w:val="346C65E7"/>
    <w:rsid w:val="346E31FF"/>
    <w:rsid w:val="346E77C7"/>
    <w:rsid w:val="34750389"/>
    <w:rsid w:val="34767465"/>
    <w:rsid w:val="34782888"/>
    <w:rsid w:val="347B2E6F"/>
    <w:rsid w:val="34865C61"/>
    <w:rsid w:val="3487457F"/>
    <w:rsid w:val="349F0BA9"/>
    <w:rsid w:val="34A004D9"/>
    <w:rsid w:val="34A46119"/>
    <w:rsid w:val="34A6252E"/>
    <w:rsid w:val="34A668AC"/>
    <w:rsid w:val="34AA4B62"/>
    <w:rsid w:val="34AC3F07"/>
    <w:rsid w:val="34AE1E6A"/>
    <w:rsid w:val="34B31BD7"/>
    <w:rsid w:val="34B7232D"/>
    <w:rsid w:val="34BA37F6"/>
    <w:rsid w:val="34BA7079"/>
    <w:rsid w:val="34C12DD7"/>
    <w:rsid w:val="34CA77B1"/>
    <w:rsid w:val="34CE43EB"/>
    <w:rsid w:val="34D31DDC"/>
    <w:rsid w:val="34D83E64"/>
    <w:rsid w:val="34D97C8D"/>
    <w:rsid w:val="34DC7036"/>
    <w:rsid w:val="34DF0886"/>
    <w:rsid w:val="34DF2BAA"/>
    <w:rsid w:val="34DF4E6B"/>
    <w:rsid w:val="34E24AFB"/>
    <w:rsid w:val="34E41A15"/>
    <w:rsid w:val="34E62651"/>
    <w:rsid w:val="34EA50C0"/>
    <w:rsid w:val="34EF0FC6"/>
    <w:rsid w:val="34F02280"/>
    <w:rsid w:val="34F16353"/>
    <w:rsid w:val="34F42384"/>
    <w:rsid w:val="34F75A2C"/>
    <w:rsid w:val="3502519D"/>
    <w:rsid w:val="35030A35"/>
    <w:rsid w:val="3506492F"/>
    <w:rsid w:val="350A5072"/>
    <w:rsid w:val="35101668"/>
    <w:rsid w:val="35170365"/>
    <w:rsid w:val="351724C0"/>
    <w:rsid w:val="35250596"/>
    <w:rsid w:val="3529761E"/>
    <w:rsid w:val="352B46F4"/>
    <w:rsid w:val="35336ABF"/>
    <w:rsid w:val="353546DF"/>
    <w:rsid w:val="35372A8A"/>
    <w:rsid w:val="354670DC"/>
    <w:rsid w:val="35571FCB"/>
    <w:rsid w:val="355A6D87"/>
    <w:rsid w:val="355B52F9"/>
    <w:rsid w:val="356624D6"/>
    <w:rsid w:val="356674DA"/>
    <w:rsid w:val="35672B34"/>
    <w:rsid w:val="357307BC"/>
    <w:rsid w:val="35743A4E"/>
    <w:rsid w:val="35760D04"/>
    <w:rsid w:val="357A2DEF"/>
    <w:rsid w:val="358B311A"/>
    <w:rsid w:val="358C5FA8"/>
    <w:rsid w:val="35935DF5"/>
    <w:rsid w:val="35967496"/>
    <w:rsid w:val="359746A2"/>
    <w:rsid w:val="359A0107"/>
    <w:rsid w:val="359D2289"/>
    <w:rsid w:val="35A042B7"/>
    <w:rsid w:val="35A36DD0"/>
    <w:rsid w:val="35A60F93"/>
    <w:rsid w:val="35BC3843"/>
    <w:rsid w:val="35BF2190"/>
    <w:rsid w:val="35C15DF1"/>
    <w:rsid w:val="35C728C8"/>
    <w:rsid w:val="35CF1523"/>
    <w:rsid w:val="35D76BE3"/>
    <w:rsid w:val="35DF4BC1"/>
    <w:rsid w:val="35E221E9"/>
    <w:rsid w:val="35E2406E"/>
    <w:rsid w:val="35E46671"/>
    <w:rsid w:val="35F12B98"/>
    <w:rsid w:val="35F61E0D"/>
    <w:rsid w:val="35FB4002"/>
    <w:rsid w:val="35FD7FF2"/>
    <w:rsid w:val="360311CD"/>
    <w:rsid w:val="36074A7F"/>
    <w:rsid w:val="360A6E00"/>
    <w:rsid w:val="360B6FBB"/>
    <w:rsid w:val="360C0CCA"/>
    <w:rsid w:val="36150EAA"/>
    <w:rsid w:val="36161547"/>
    <w:rsid w:val="36171007"/>
    <w:rsid w:val="361A5311"/>
    <w:rsid w:val="362171C6"/>
    <w:rsid w:val="36224601"/>
    <w:rsid w:val="3623361D"/>
    <w:rsid w:val="362542B7"/>
    <w:rsid w:val="36263290"/>
    <w:rsid w:val="36271096"/>
    <w:rsid w:val="36281C47"/>
    <w:rsid w:val="362853F1"/>
    <w:rsid w:val="36385E26"/>
    <w:rsid w:val="36483E70"/>
    <w:rsid w:val="364D3CDC"/>
    <w:rsid w:val="364E3ED6"/>
    <w:rsid w:val="3658190A"/>
    <w:rsid w:val="365C344C"/>
    <w:rsid w:val="365E0AE9"/>
    <w:rsid w:val="366409B4"/>
    <w:rsid w:val="36683F63"/>
    <w:rsid w:val="36696590"/>
    <w:rsid w:val="366A3EB8"/>
    <w:rsid w:val="367169A5"/>
    <w:rsid w:val="367357FB"/>
    <w:rsid w:val="367E3AD5"/>
    <w:rsid w:val="3680022D"/>
    <w:rsid w:val="36804E68"/>
    <w:rsid w:val="368241EA"/>
    <w:rsid w:val="368421C1"/>
    <w:rsid w:val="368743E3"/>
    <w:rsid w:val="369221CB"/>
    <w:rsid w:val="36923549"/>
    <w:rsid w:val="3692424B"/>
    <w:rsid w:val="369F2998"/>
    <w:rsid w:val="36A20021"/>
    <w:rsid w:val="36A24542"/>
    <w:rsid w:val="36A97957"/>
    <w:rsid w:val="36B349A1"/>
    <w:rsid w:val="36B75FBF"/>
    <w:rsid w:val="36BD0C45"/>
    <w:rsid w:val="36BE4E9C"/>
    <w:rsid w:val="36BF709B"/>
    <w:rsid w:val="36C2516B"/>
    <w:rsid w:val="36C43CED"/>
    <w:rsid w:val="36C51CFE"/>
    <w:rsid w:val="36C54204"/>
    <w:rsid w:val="36C71230"/>
    <w:rsid w:val="36CD2F2D"/>
    <w:rsid w:val="36CD5CDC"/>
    <w:rsid w:val="36D2208B"/>
    <w:rsid w:val="36D22830"/>
    <w:rsid w:val="36DA08D4"/>
    <w:rsid w:val="36DA0FFA"/>
    <w:rsid w:val="36DD5C80"/>
    <w:rsid w:val="36DE0C39"/>
    <w:rsid w:val="36E00BD0"/>
    <w:rsid w:val="36E152A1"/>
    <w:rsid w:val="36E25286"/>
    <w:rsid w:val="36E33117"/>
    <w:rsid w:val="36E4129B"/>
    <w:rsid w:val="36E478F5"/>
    <w:rsid w:val="36E913D7"/>
    <w:rsid w:val="36FB4F0A"/>
    <w:rsid w:val="36FF29FF"/>
    <w:rsid w:val="3704546C"/>
    <w:rsid w:val="37080A67"/>
    <w:rsid w:val="37083164"/>
    <w:rsid w:val="37096CA2"/>
    <w:rsid w:val="370C2663"/>
    <w:rsid w:val="370C486B"/>
    <w:rsid w:val="370D79CB"/>
    <w:rsid w:val="370E354A"/>
    <w:rsid w:val="37227431"/>
    <w:rsid w:val="372B7F90"/>
    <w:rsid w:val="372C70D3"/>
    <w:rsid w:val="372D64A4"/>
    <w:rsid w:val="3731169C"/>
    <w:rsid w:val="37321D6A"/>
    <w:rsid w:val="37356DD4"/>
    <w:rsid w:val="37357FC6"/>
    <w:rsid w:val="373D0C56"/>
    <w:rsid w:val="37485EA9"/>
    <w:rsid w:val="374D53B0"/>
    <w:rsid w:val="3757124C"/>
    <w:rsid w:val="375C529E"/>
    <w:rsid w:val="37621238"/>
    <w:rsid w:val="37652A77"/>
    <w:rsid w:val="377111C0"/>
    <w:rsid w:val="37716266"/>
    <w:rsid w:val="377357E4"/>
    <w:rsid w:val="37850934"/>
    <w:rsid w:val="378B2F6E"/>
    <w:rsid w:val="37924CCA"/>
    <w:rsid w:val="379D2F5B"/>
    <w:rsid w:val="37A37C2F"/>
    <w:rsid w:val="37A7543E"/>
    <w:rsid w:val="37AA2840"/>
    <w:rsid w:val="37AD1B4A"/>
    <w:rsid w:val="37AF04FE"/>
    <w:rsid w:val="37B15A4D"/>
    <w:rsid w:val="37B71952"/>
    <w:rsid w:val="37BA4233"/>
    <w:rsid w:val="37BB4228"/>
    <w:rsid w:val="37BC502A"/>
    <w:rsid w:val="37BE35FD"/>
    <w:rsid w:val="37C27C48"/>
    <w:rsid w:val="37C33E0C"/>
    <w:rsid w:val="37C632B4"/>
    <w:rsid w:val="37C82CB3"/>
    <w:rsid w:val="37C87FD8"/>
    <w:rsid w:val="37D05EAE"/>
    <w:rsid w:val="37D20F4E"/>
    <w:rsid w:val="37D30BF3"/>
    <w:rsid w:val="37D41913"/>
    <w:rsid w:val="37D872D8"/>
    <w:rsid w:val="37DD539B"/>
    <w:rsid w:val="37E00298"/>
    <w:rsid w:val="37F70047"/>
    <w:rsid w:val="37F75C5B"/>
    <w:rsid w:val="37F84E85"/>
    <w:rsid w:val="37F92528"/>
    <w:rsid w:val="37FC6E72"/>
    <w:rsid w:val="380056EB"/>
    <w:rsid w:val="38035FB7"/>
    <w:rsid w:val="380459BE"/>
    <w:rsid w:val="3808547E"/>
    <w:rsid w:val="380D7736"/>
    <w:rsid w:val="380E09A1"/>
    <w:rsid w:val="380F1FB9"/>
    <w:rsid w:val="380F5C07"/>
    <w:rsid w:val="38122171"/>
    <w:rsid w:val="3815218F"/>
    <w:rsid w:val="381A79CE"/>
    <w:rsid w:val="381B606D"/>
    <w:rsid w:val="382C1747"/>
    <w:rsid w:val="383925E3"/>
    <w:rsid w:val="383C6C90"/>
    <w:rsid w:val="383E04AF"/>
    <w:rsid w:val="38431D54"/>
    <w:rsid w:val="384B28F7"/>
    <w:rsid w:val="384F6371"/>
    <w:rsid w:val="38542787"/>
    <w:rsid w:val="3854341C"/>
    <w:rsid w:val="38547A46"/>
    <w:rsid w:val="3856578B"/>
    <w:rsid w:val="385E155A"/>
    <w:rsid w:val="386322B0"/>
    <w:rsid w:val="386A72E1"/>
    <w:rsid w:val="386C1840"/>
    <w:rsid w:val="386D0F4A"/>
    <w:rsid w:val="386E2FB9"/>
    <w:rsid w:val="38707EC5"/>
    <w:rsid w:val="38716A8E"/>
    <w:rsid w:val="38723A11"/>
    <w:rsid w:val="38747E15"/>
    <w:rsid w:val="387537A9"/>
    <w:rsid w:val="38756F78"/>
    <w:rsid w:val="387C20EF"/>
    <w:rsid w:val="38801C12"/>
    <w:rsid w:val="388A432F"/>
    <w:rsid w:val="388E7873"/>
    <w:rsid w:val="389B54DA"/>
    <w:rsid w:val="38A2014C"/>
    <w:rsid w:val="38A9181F"/>
    <w:rsid w:val="38AE6CAE"/>
    <w:rsid w:val="38B0177C"/>
    <w:rsid w:val="38B302F9"/>
    <w:rsid w:val="38B948CE"/>
    <w:rsid w:val="38BE5EAA"/>
    <w:rsid w:val="38C14163"/>
    <w:rsid w:val="38D00CD5"/>
    <w:rsid w:val="38E425F0"/>
    <w:rsid w:val="38E80895"/>
    <w:rsid w:val="38EA2309"/>
    <w:rsid w:val="38EE62AC"/>
    <w:rsid w:val="38EE7F92"/>
    <w:rsid w:val="38F12CD3"/>
    <w:rsid w:val="38F15024"/>
    <w:rsid w:val="38F94775"/>
    <w:rsid w:val="38FA1171"/>
    <w:rsid w:val="38FA4C77"/>
    <w:rsid w:val="38FA613E"/>
    <w:rsid w:val="39024CCB"/>
    <w:rsid w:val="39027320"/>
    <w:rsid w:val="390D3AAA"/>
    <w:rsid w:val="39111E53"/>
    <w:rsid w:val="39142DF8"/>
    <w:rsid w:val="3914724D"/>
    <w:rsid w:val="391662E5"/>
    <w:rsid w:val="391D1CD0"/>
    <w:rsid w:val="391E6979"/>
    <w:rsid w:val="391F51A8"/>
    <w:rsid w:val="392971ED"/>
    <w:rsid w:val="392C6432"/>
    <w:rsid w:val="392F28FE"/>
    <w:rsid w:val="39325651"/>
    <w:rsid w:val="393913F8"/>
    <w:rsid w:val="39395A1A"/>
    <w:rsid w:val="39414703"/>
    <w:rsid w:val="39415DD4"/>
    <w:rsid w:val="395437BC"/>
    <w:rsid w:val="395E3E24"/>
    <w:rsid w:val="39625538"/>
    <w:rsid w:val="39692C4E"/>
    <w:rsid w:val="396E2E01"/>
    <w:rsid w:val="396F2CB2"/>
    <w:rsid w:val="396F6F97"/>
    <w:rsid w:val="397270FF"/>
    <w:rsid w:val="39732471"/>
    <w:rsid w:val="397A6819"/>
    <w:rsid w:val="397E34CE"/>
    <w:rsid w:val="39820FB9"/>
    <w:rsid w:val="39832B5A"/>
    <w:rsid w:val="39842269"/>
    <w:rsid w:val="398576E3"/>
    <w:rsid w:val="39872BE0"/>
    <w:rsid w:val="398E51CA"/>
    <w:rsid w:val="398F2868"/>
    <w:rsid w:val="39913393"/>
    <w:rsid w:val="39953A8F"/>
    <w:rsid w:val="39963FF6"/>
    <w:rsid w:val="3996708D"/>
    <w:rsid w:val="39A1234A"/>
    <w:rsid w:val="39AB649B"/>
    <w:rsid w:val="39AE5ECB"/>
    <w:rsid w:val="39AE798D"/>
    <w:rsid w:val="39AF66FE"/>
    <w:rsid w:val="39B56EEB"/>
    <w:rsid w:val="39B77EFC"/>
    <w:rsid w:val="39B863F3"/>
    <w:rsid w:val="39C26BF5"/>
    <w:rsid w:val="39C76AF3"/>
    <w:rsid w:val="39CC4FBA"/>
    <w:rsid w:val="39DB5260"/>
    <w:rsid w:val="39DB64CE"/>
    <w:rsid w:val="39E84962"/>
    <w:rsid w:val="39ED4AD9"/>
    <w:rsid w:val="39EE1065"/>
    <w:rsid w:val="39F057B1"/>
    <w:rsid w:val="39F65488"/>
    <w:rsid w:val="3A00452B"/>
    <w:rsid w:val="3A036E0F"/>
    <w:rsid w:val="3A05304C"/>
    <w:rsid w:val="3A056390"/>
    <w:rsid w:val="3A0C48BE"/>
    <w:rsid w:val="3A0D2270"/>
    <w:rsid w:val="3A154DE9"/>
    <w:rsid w:val="3A19127C"/>
    <w:rsid w:val="3A197299"/>
    <w:rsid w:val="3A1D2DD3"/>
    <w:rsid w:val="3A1F0BB9"/>
    <w:rsid w:val="3A2312DB"/>
    <w:rsid w:val="3A2431BF"/>
    <w:rsid w:val="3A2A05C0"/>
    <w:rsid w:val="3A2D400C"/>
    <w:rsid w:val="3A323E2F"/>
    <w:rsid w:val="3A371445"/>
    <w:rsid w:val="3A3C326C"/>
    <w:rsid w:val="3A4443CF"/>
    <w:rsid w:val="3A464FBE"/>
    <w:rsid w:val="3A466F8C"/>
    <w:rsid w:val="3A5047AB"/>
    <w:rsid w:val="3A543D64"/>
    <w:rsid w:val="3A57018C"/>
    <w:rsid w:val="3A5C31B0"/>
    <w:rsid w:val="3A5C69A6"/>
    <w:rsid w:val="3A5D324F"/>
    <w:rsid w:val="3A6E45A3"/>
    <w:rsid w:val="3A712911"/>
    <w:rsid w:val="3A791980"/>
    <w:rsid w:val="3A7A3868"/>
    <w:rsid w:val="3A7C32FC"/>
    <w:rsid w:val="3A8328DC"/>
    <w:rsid w:val="3A872856"/>
    <w:rsid w:val="3A9E3923"/>
    <w:rsid w:val="3A9E657B"/>
    <w:rsid w:val="3AA018A1"/>
    <w:rsid w:val="3AA67606"/>
    <w:rsid w:val="3AA77A17"/>
    <w:rsid w:val="3AAE6C73"/>
    <w:rsid w:val="3AB751F1"/>
    <w:rsid w:val="3AB86DF3"/>
    <w:rsid w:val="3AB90C17"/>
    <w:rsid w:val="3AB97A67"/>
    <w:rsid w:val="3AC37000"/>
    <w:rsid w:val="3AC76A3F"/>
    <w:rsid w:val="3ACA7062"/>
    <w:rsid w:val="3AD14850"/>
    <w:rsid w:val="3AD805F6"/>
    <w:rsid w:val="3ADB1971"/>
    <w:rsid w:val="3ADD5F86"/>
    <w:rsid w:val="3AE000CE"/>
    <w:rsid w:val="3AE312E1"/>
    <w:rsid w:val="3AE710BD"/>
    <w:rsid w:val="3AEB61A1"/>
    <w:rsid w:val="3AF57EDF"/>
    <w:rsid w:val="3AF62902"/>
    <w:rsid w:val="3AFF182A"/>
    <w:rsid w:val="3B044593"/>
    <w:rsid w:val="3B073E64"/>
    <w:rsid w:val="3B073F58"/>
    <w:rsid w:val="3B1562E7"/>
    <w:rsid w:val="3B1D514B"/>
    <w:rsid w:val="3B285362"/>
    <w:rsid w:val="3B2D61DA"/>
    <w:rsid w:val="3B2E774B"/>
    <w:rsid w:val="3B326981"/>
    <w:rsid w:val="3B3763D1"/>
    <w:rsid w:val="3B4576CA"/>
    <w:rsid w:val="3B4D58F8"/>
    <w:rsid w:val="3B4E744D"/>
    <w:rsid w:val="3B4F1B36"/>
    <w:rsid w:val="3B540630"/>
    <w:rsid w:val="3B544AD7"/>
    <w:rsid w:val="3B5A11A3"/>
    <w:rsid w:val="3B5A1B22"/>
    <w:rsid w:val="3B6676CE"/>
    <w:rsid w:val="3B7A3785"/>
    <w:rsid w:val="3B7F78A6"/>
    <w:rsid w:val="3B866F74"/>
    <w:rsid w:val="3B8763FC"/>
    <w:rsid w:val="3B8A014C"/>
    <w:rsid w:val="3B962333"/>
    <w:rsid w:val="3B984936"/>
    <w:rsid w:val="3B9D4C9B"/>
    <w:rsid w:val="3B9E1361"/>
    <w:rsid w:val="3BA13120"/>
    <w:rsid w:val="3BA71C25"/>
    <w:rsid w:val="3BAE5884"/>
    <w:rsid w:val="3BB05953"/>
    <w:rsid w:val="3BB07EC5"/>
    <w:rsid w:val="3BB52F69"/>
    <w:rsid w:val="3BC246EB"/>
    <w:rsid w:val="3BCA34AD"/>
    <w:rsid w:val="3BD038FF"/>
    <w:rsid w:val="3BD3649A"/>
    <w:rsid w:val="3BD667A0"/>
    <w:rsid w:val="3BDA0482"/>
    <w:rsid w:val="3BDB3F5B"/>
    <w:rsid w:val="3BEA298C"/>
    <w:rsid w:val="3BEE75FE"/>
    <w:rsid w:val="3BEF01E4"/>
    <w:rsid w:val="3BF15B33"/>
    <w:rsid w:val="3BF204F9"/>
    <w:rsid w:val="3BF81748"/>
    <w:rsid w:val="3BFC221D"/>
    <w:rsid w:val="3BFD5ECF"/>
    <w:rsid w:val="3C073F92"/>
    <w:rsid w:val="3C0C4A13"/>
    <w:rsid w:val="3C0F43DE"/>
    <w:rsid w:val="3C140174"/>
    <w:rsid w:val="3C152E75"/>
    <w:rsid w:val="3C1C63BD"/>
    <w:rsid w:val="3C204741"/>
    <w:rsid w:val="3C2232BF"/>
    <w:rsid w:val="3C2608AC"/>
    <w:rsid w:val="3C265C15"/>
    <w:rsid w:val="3C2776E9"/>
    <w:rsid w:val="3C2D0337"/>
    <w:rsid w:val="3C2D0D52"/>
    <w:rsid w:val="3C2F6E1E"/>
    <w:rsid w:val="3C3C71E7"/>
    <w:rsid w:val="3C3E0EC8"/>
    <w:rsid w:val="3C4550B7"/>
    <w:rsid w:val="3C4E1DED"/>
    <w:rsid w:val="3C4E4BA9"/>
    <w:rsid w:val="3C4F64BA"/>
    <w:rsid w:val="3C5A589D"/>
    <w:rsid w:val="3C5F5A44"/>
    <w:rsid w:val="3C675D63"/>
    <w:rsid w:val="3C6960C5"/>
    <w:rsid w:val="3C6B546E"/>
    <w:rsid w:val="3C6D0BBB"/>
    <w:rsid w:val="3C740346"/>
    <w:rsid w:val="3C815EAC"/>
    <w:rsid w:val="3C8E2C30"/>
    <w:rsid w:val="3C8E4163"/>
    <w:rsid w:val="3C901A60"/>
    <w:rsid w:val="3C90342C"/>
    <w:rsid w:val="3C935CF4"/>
    <w:rsid w:val="3C991227"/>
    <w:rsid w:val="3CA34BE7"/>
    <w:rsid w:val="3CA6052F"/>
    <w:rsid w:val="3CAF4EA6"/>
    <w:rsid w:val="3CBB4D80"/>
    <w:rsid w:val="3CC04D5D"/>
    <w:rsid w:val="3CC76875"/>
    <w:rsid w:val="3CC80D89"/>
    <w:rsid w:val="3CC824C0"/>
    <w:rsid w:val="3CD42833"/>
    <w:rsid w:val="3CD43037"/>
    <w:rsid w:val="3CDA245A"/>
    <w:rsid w:val="3CDC4DE9"/>
    <w:rsid w:val="3CDE7C68"/>
    <w:rsid w:val="3CDF54B4"/>
    <w:rsid w:val="3CE05DC4"/>
    <w:rsid w:val="3CFF6A54"/>
    <w:rsid w:val="3D041029"/>
    <w:rsid w:val="3D09454F"/>
    <w:rsid w:val="3D1604EB"/>
    <w:rsid w:val="3D163B04"/>
    <w:rsid w:val="3D180166"/>
    <w:rsid w:val="3D1B3345"/>
    <w:rsid w:val="3D1E06B7"/>
    <w:rsid w:val="3D222498"/>
    <w:rsid w:val="3D23705B"/>
    <w:rsid w:val="3D2A5291"/>
    <w:rsid w:val="3D2F5450"/>
    <w:rsid w:val="3D306DB5"/>
    <w:rsid w:val="3D324CC0"/>
    <w:rsid w:val="3D391940"/>
    <w:rsid w:val="3D475E43"/>
    <w:rsid w:val="3D4F258E"/>
    <w:rsid w:val="3D4F71A2"/>
    <w:rsid w:val="3D531D39"/>
    <w:rsid w:val="3D534B5E"/>
    <w:rsid w:val="3D544789"/>
    <w:rsid w:val="3D5501B3"/>
    <w:rsid w:val="3D5D7F98"/>
    <w:rsid w:val="3D5E58A8"/>
    <w:rsid w:val="3D621B9B"/>
    <w:rsid w:val="3D6B58E5"/>
    <w:rsid w:val="3D712D52"/>
    <w:rsid w:val="3D754E1A"/>
    <w:rsid w:val="3D7A7E74"/>
    <w:rsid w:val="3D7C4F20"/>
    <w:rsid w:val="3D7E42E0"/>
    <w:rsid w:val="3D894759"/>
    <w:rsid w:val="3D8A4EE6"/>
    <w:rsid w:val="3D963DAF"/>
    <w:rsid w:val="3DB57746"/>
    <w:rsid w:val="3DC0009D"/>
    <w:rsid w:val="3DC1417D"/>
    <w:rsid w:val="3DC471FE"/>
    <w:rsid w:val="3DCC430A"/>
    <w:rsid w:val="3DCD0D7E"/>
    <w:rsid w:val="3DD0093F"/>
    <w:rsid w:val="3DD74B01"/>
    <w:rsid w:val="3DD8240E"/>
    <w:rsid w:val="3DD90CC1"/>
    <w:rsid w:val="3DD94205"/>
    <w:rsid w:val="3DE20AF0"/>
    <w:rsid w:val="3DE25B6C"/>
    <w:rsid w:val="3DE54BA8"/>
    <w:rsid w:val="3DE85248"/>
    <w:rsid w:val="3DF007AE"/>
    <w:rsid w:val="3DF1587D"/>
    <w:rsid w:val="3DF878AB"/>
    <w:rsid w:val="3E0065BB"/>
    <w:rsid w:val="3E01267F"/>
    <w:rsid w:val="3E054B88"/>
    <w:rsid w:val="3E080FA7"/>
    <w:rsid w:val="3E147BF5"/>
    <w:rsid w:val="3E212C49"/>
    <w:rsid w:val="3E214762"/>
    <w:rsid w:val="3E2E3F53"/>
    <w:rsid w:val="3E3004A5"/>
    <w:rsid w:val="3E3566FA"/>
    <w:rsid w:val="3E36264F"/>
    <w:rsid w:val="3E384CC5"/>
    <w:rsid w:val="3E4B0AA4"/>
    <w:rsid w:val="3E4D0614"/>
    <w:rsid w:val="3E516E3D"/>
    <w:rsid w:val="3E554590"/>
    <w:rsid w:val="3E570298"/>
    <w:rsid w:val="3E5C20DC"/>
    <w:rsid w:val="3E6134D9"/>
    <w:rsid w:val="3E6B7604"/>
    <w:rsid w:val="3E704F26"/>
    <w:rsid w:val="3E7546B0"/>
    <w:rsid w:val="3E757AE1"/>
    <w:rsid w:val="3E7C3161"/>
    <w:rsid w:val="3E826851"/>
    <w:rsid w:val="3E873ACA"/>
    <w:rsid w:val="3E8A1434"/>
    <w:rsid w:val="3E9B1593"/>
    <w:rsid w:val="3E9D4EBC"/>
    <w:rsid w:val="3E9F52BB"/>
    <w:rsid w:val="3EA31A59"/>
    <w:rsid w:val="3EA94115"/>
    <w:rsid w:val="3EAF7BFF"/>
    <w:rsid w:val="3EBF33C5"/>
    <w:rsid w:val="3EC41509"/>
    <w:rsid w:val="3ECA2F07"/>
    <w:rsid w:val="3ECB2497"/>
    <w:rsid w:val="3ECF506C"/>
    <w:rsid w:val="3ED41958"/>
    <w:rsid w:val="3ED85D72"/>
    <w:rsid w:val="3EDA0523"/>
    <w:rsid w:val="3EDC03D7"/>
    <w:rsid w:val="3EF2604F"/>
    <w:rsid w:val="3EF4554F"/>
    <w:rsid w:val="3EF825DA"/>
    <w:rsid w:val="3F0220DA"/>
    <w:rsid w:val="3F033728"/>
    <w:rsid w:val="3F0A63E4"/>
    <w:rsid w:val="3F142112"/>
    <w:rsid w:val="3F1D11B4"/>
    <w:rsid w:val="3F1F03A5"/>
    <w:rsid w:val="3F1F3043"/>
    <w:rsid w:val="3F2226C4"/>
    <w:rsid w:val="3F23768E"/>
    <w:rsid w:val="3F247D3E"/>
    <w:rsid w:val="3F2B7CF7"/>
    <w:rsid w:val="3F2F6B8F"/>
    <w:rsid w:val="3F316E54"/>
    <w:rsid w:val="3F32122A"/>
    <w:rsid w:val="3F325852"/>
    <w:rsid w:val="3F386ABC"/>
    <w:rsid w:val="3F3A16FC"/>
    <w:rsid w:val="3F3B4EA6"/>
    <w:rsid w:val="3F3F55C3"/>
    <w:rsid w:val="3F4620A3"/>
    <w:rsid w:val="3F4B4988"/>
    <w:rsid w:val="3F4D4B6D"/>
    <w:rsid w:val="3F507ED0"/>
    <w:rsid w:val="3F530EE7"/>
    <w:rsid w:val="3F5402AD"/>
    <w:rsid w:val="3F5D4EFE"/>
    <w:rsid w:val="3F5E2071"/>
    <w:rsid w:val="3F5E7474"/>
    <w:rsid w:val="3F602FD1"/>
    <w:rsid w:val="3F6370A4"/>
    <w:rsid w:val="3F7A3DFC"/>
    <w:rsid w:val="3F7C4554"/>
    <w:rsid w:val="3F855F78"/>
    <w:rsid w:val="3F8567DC"/>
    <w:rsid w:val="3F8B50E9"/>
    <w:rsid w:val="3F8C512D"/>
    <w:rsid w:val="3F9101E9"/>
    <w:rsid w:val="3F976B78"/>
    <w:rsid w:val="3F987964"/>
    <w:rsid w:val="3F9D61EE"/>
    <w:rsid w:val="3F9F5160"/>
    <w:rsid w:val="3FA15DB9"/>
    <w:rsid w:val="3FA47637"/>
    <w:rsid w:val="3FA71700"/>
    <w:rsid w:val="3FB451AA"/>
    <w:rsid w:val="3FB700F6"/>
    <w:rsid w:val="3FC149E8"/>
    <w:rsid w:val="3FC80117"/>
    <w:rsid w:val="3FC83F21"/>
    <w:rsid w:val="3FCB1071"/>
    <w:rsid w:val="3FD0549B"/>
    <w:rsid w:val="3FD703D3"/>
    <w:rsid w:val="3FDE61CD"/>
    <w:rsid w:val="3FE57EDB"/>
    <w:rsid w:val="3FEA4ABE"/>
    <w:rsid w:val="3FF645BF"/>
    <w:rsid w:val="3FF67B50"/>
    <w:rsid w:val="40055A73"/>
    <w:rsid w:val="400B223A"/>
    <w:rsid w:val="40131E8B"/>
    <w:rsid w:val="401A6A22"/>
    <w:rsid w:val="401D4FAB"/>
    <w:rsid w:val="401F3503"/>
    <w:rsid w:val="40240EE6"/>
    <w:rsid w:val="40267E17"/>
    <w:rsid w:val="40297A82"/>
    <w:rsid w:val="40402D69"/>
    <w:rsid w:val="40465E49"/>
    <w:rsid w:val="4052462F"/>
    <w:rsid w:val="40560272"/>
    <w:rsid w:val="40563B56"/>
    <w:rsid w:val="405B2C45"/>
    <w:rsid w:val="405C433F"/>
    <w:rsid w:val="405F2FA3"/>
    <w:rsid w:val="405F6A01"/>
    <w:rsid w:val="405F6C9D"/>
    <w:rsid w:val="406332FA"/>
    <w:rsid w:val="40633CD8"/>
    <w:rsid w:val="40644A74"/>
    <w:rsid w:val="40677AE8"/>
    <w:rsid w:val="406A5B52"/>
    <w:rsid w:val="406E706C"/>
    <w:rsid w:val="4071195F"/>
    <w:rsid w:val="407A6407"/>
    <w:rsid w:val="40824A4A"/>
    <w:rsid w:val="40852AFD"/>
    <w:rsid w:val="408E4E90"/>
    <w:rsid w:val="40937F89"/>
    <w:rsid w:val="40954AB7"/>
    <w:rsid w:val="409B6D1B"/>
    <w:rsid w:val="409F1195"/>
    <w:rsid w:val="40A142AF"/>
    <w:rsid w:val="40A713EC"/>
    <w:rsid w:val="40AD215C"/>
    <w:rsid w:val="40AF3A39"/>
    <w:rsid w:val="40B3021F"/>
    <w:rsid w:val="40B83163"/>
    <w:rsid w:val="40BB53AB"/>
    <w:rsid w:val="40BE66C3"/>
    <w:rsid w:val="40C7039E"/>
    <w:rsid w:val="40D20119"/>
    <w:rsid w:val="40D87FD5"/>
    <w:rsid w:val="40DA5799"/>
    <w:rsid w:val="40DC3C8C"/>
    <w:rsid w:val="40DE44A2"/>
    <w:rsid w:val="40E37C31"/>
    <w:rsid w:val="40F579EB"/>
    <w:rsid w:val="40F94489"/>
    <w:rsid w:val="40FD0158"/>
    <w:rsid w:val="40FE4F93"/>
    <w:rsid w:val="41006A35"/>
    <w:rsid w:val="41022B45"/>
    <w:rsid w:val="410858E9"/>
    <w:rsid w:val="410F0A26"/>
    <w:rsid w:val="41166458"/>
    <w:rsid w:val="411B2032"/>
    <w:rsid w:val="41223DEC"/>
    <w:rsid w:val="4126316F"/>
    <w:rsid w:val="4127525F"/>
    <w:rsid w:val="4131639E"/>
    <w:rsid w:val="41411922"/>
    <w:rsid w:val="41460D37"/>
    <w:rsid w:val="415E19AD"/>
    <w:rsid w:val="415E1DCB"/>
    <w:rsid w:val="41620330"/>
    <w:rsid w:val="41621912"/>
    <w:rsid w:val="416A4CCF"/>
    <w:rsid w:val="416B763F"/>
    <w:rsid w:val="41710345"/>
    <w:rsid w:val="41735459"/>
    <w:rsid w:val="417B61CC"/>
    <w:rsid w:val="4182647D"/>
    <w:rsid w:val="41840473"/>
    <w:rsid w:val="41874A60"/>
    <w:rsid w:val="418D4149"/>
    <w:rsid w:val="418F6B1C"/>
    <w:rsid w:val="41923405"/>
    <w:rsid w:val="41943621"/>
    <w:rsid w:val="41994C0B"/>
    <w:rsid w:val="419C0937"/>
    <w:rsid w:val="41A15BE4"/>
    <w:rsid w:val="41A432AD"/>
    <w:rsid w:val="41AA3C66"/>
    <w:rsid w:val="41AC096A"/>
    <w:rsid w:val="41B220EF"/>
    <w:rsid w:val="41B304DF"/>
    <w:rsid w:val="41B364EB"/>
    <w:rsid w:val="41B46D24"/>
    <w:rsid w:val="41B551E6"/>
    <w:rsid w:val="41BC3607"/>
    <w:rsid w:val="41BD43EC"/>
    <w:rsid w:val="41BF1CFF"/>
    <w:rsid w:val="41C06FA3"/>
    <w:rsid w:val="41C4420A"/>
    <w:rsid w:val="41C812F0"/>
    <w:rsid w:val="41C85E79"/>
    <w:rsid w:val="41D012D5"/>
    <w:rsid w:val="41D45956"/>
    <w:rsid w:val="41D60BBE"/>
    <w:rsid w:val="41D852BC"/>
    <w:rsid w:val="41D95FB7"/>
    <w:rsid w:val="41DA1A11"/>
    <w:rsid w:val="41DB1B68"/>
    <w:rsid w:val="41DE3F50"/>
    <w:rsid w:val="41E225DE"/>
    <w:rsid w:val="41E46375"/>
    <w:rsid w:val="41E86478"/>
    <w:rsid w:val="41EC6C27"/>
    <w:rsid w:val="41F45E6E"/>
    <w:rsid w:val="41FA7928"/>
    <w:rsid w:val="4200449D"/>
    <w:rsid w:val="42092334"/>
    <w:rsid w:val="420B23EC"/>
    <w:rsid w:val="420E05A4"/>
    <w:rsid w:val="421704B1"/>
    <w:rsid w:val="422C5269"/>
    <w:rsid w:val="422E302B"/>
    <w:rsid w:val="422F6AA5"/>
    <w:rsid w:val="423549A0"/>
    <w:rsid w:val="423A3BCC"/>
    <w:rsid w:val="424054E0"/>
    <w:rsid w:val="42405EE7"/>
    <w:rsid w:val="42446DF5"/>
    <w:rsid w:val="424550F1"/>
    <w:rsid w:val="4246491B"/>
    <w:rsid w:val="424A2B3A"/>
    <w:rsid w:val="424E57D2"/>
    <w:rsid w:val="424F64BB"/>
    <w:rsid w:val="4251145C"/>
    <w:rsid w:val="42561C20"/>
    <w:rsid w:val="425B6704"/>
    <w:rsid w:val="425C5EED"/>
    <w:rsid w:val="425F3C2F"/>
    <w:rsid w:val="42607ADF"/>
    <w:rsid w:val="426314C0"/>
    <w:rsid w:val="42687C33"/>
    <w:rsid w:val="42691898"/>
    <w:rsid w:val="426A2B94"/>
    <w:rsid w:val="426B0F27"/>
    <w:rsid w:val="426C0832"/>
    <w:rsid w:val="426E16F0"/>
    <w:rsid w:val="4283262D"/>
    <w:rsid w:val="4285304E"/>
    <w:rsid w:val="428538CF"/>
    <w:rsid w:val="428C54A7"/>
    <w:rsid w:val="42903776"/>
    <w:rsid w:val="42904030"/>
    <w:rsid w:val="42911F0D"/>
    <w:rsid w:val="429141CF"/>
    <w:rsid w:val="429168C1"/>
    <w:rsid w:val="42930C07"/>
    <w:rsid w:val="429531AD"/>
    <w:rsid w:val="42976F25"/>
    <w:rsid w:val="42A318CA"/>
    <w:rsid w:val="42AB0C22"/>
    <w:rsid w:val="42AF7AC7"/>
    <w:rsid w:val="42B26C49"/>
    <w:rsid w:val="42B822CC"/>
    <w:rsid w:val="42C76694"/>
    <w:rsid w:val="42C850AF"/>
    <w:rsid w:val="42CD749C"/>
    <w:rsid w:val="42D5377F"/>
    <w:rsid w:val="42DF08CC"/>
    <w:rsid w:val="42E20147"/>
    <w:rsid w:val="42E20390"/>
    <w:rsid w:val="42ED123B"/>
    <w:rsid w:val="42F0069E"/>
    <w:rsid w:val="42F12EF5"/>
    <w:rsid w:val="42FE1721"/>
    <w:rsid w:val="42FF13ED"/>
    <w:rsid w:val="430941AE"/>
    <w:rsid w:val="430D6A3F"/>
    <w:rsid w:val="431135B9"/>
    <w:rsid w:val="43127D71"/>
    <w:rsid w:val="43175CD8"/>
    <w:rsid w:val="43194F5D"/>
    <w:rsid w:val="432307B8"/>
    <w:rsid w:val="432602A9"/>
    <w:rsid w:val="43313C13"/>
    <w:rsid w:val="433A6FE6"/>
    <w:rsid w:val="433B55EE"/>
    <w:rsid w:val="433C29CA"/>
    <w:rsid w:val="43480868"/>
    <w:rsid w:val="434B112C"/>
    <w:rsid w:val="4350713C"/>
    <w:rsid w:val="43585FA9"/>
    <w:rsid w:val="436362D9"/>
    <w:rsid w:val="4365756D"/>
    <w:rsid w:val="436653E0"/>
    <w:rsid w:val="43684C20"/>
    <w:rsid w:val="43767EB6"/>
    <w:rsid w:val="437B276F"/>
    <w:rsid w:val="437C4FA4"/>
    <w:rsid w:val="437D61B7"/>
    <w:rsid w:val="438931D6"/>
    <w:rsid w:val="43993170"/>
    <w:rsid w:val="43AC7FCB"/>
    <w:rsid w:val="43AF029E"/>
    <w:rsid w:val="43AF4AA7"/>
    <w:rsid w:val="43B120FC"/>
    <w:rsid w:val="43B304A5"/>
    <w:rsid w:val="43B60150"/>
    <w:rsid w:val="43B75896"/>
    <w:rsid w:val="43C4431A"/>
    <w:rsid w:val="43CA17C8"/>
    <w:rsid w:val="43D5146F"/>
    <w:rsid w:val="43D74698"/>
    <w:rsid w:val="43DA5F2A"/>
    <w:rsid w:val="43E167E2"/>
    <w:rsid w:val="43E80C28"/>
    <w:rsid w:val="43E95F48"/>
    <w:rsid w:val="43ED5A75"/>
    <w:rsid w:val="43FE3433"/>
    <w:rsid w:val="44004F9E"/>
    <w:rsid w:val="44053209"/>
    <w:rsid w:val="440F4D74"/>
    <w:rsid w:val="441445A5"/>
    <w:rsid w:val="44247D7A"/>
    <w:rsid w:val="442742D8"/>
    <w:rsid w:val="443E41B9"/>
    <w:rsid w:val="443E5CD9"/>
    <w:rsid w:val="44415C92"/>
    <w:rsid w:val="44433B37"/>
    <w:rsid w:val="44435EA8"/>
    <w:rsid w:val="44485FC0"/>
    <w:rsid w:val="444B7472"/>
    <w:rsid w:val="444E296D"/>
    <w:rsid w:val="445120A1"/>
    <w:rsid w:val="4452185C"/>
    <w:rsid w:val="44562E10"/>
    <w:rsid w:val="44656EB5"/>
    <w:rsid w:val="446E1F07"/>
    <w:rsid w:val="447137A5"/>
    <w:rsid w:val="44747A89"/>
    <w:rsid w:val="44782D86"/>
    <w:rsid w:val="448B7838"/>
    <w:rsid w:val="449200FA"/>
    <w:rsid w:val="449326AB"/>
    <w:rsid w:val="44A808B0"/>
    <w:rsid w:val="44A9625D"/>
    <w:rsid w:val="44AA6BAA"/>
    <w:rsid w:val="44AB4D4A"/>
    <w:rsid w:val="44AF326F"/>
    <w:rsid w:val="44B31A81"/>
    <w:rsid w:val="44B951CC"/>
    <w:rsid w:val="44BB1D4B"/>
    <w:rsid w:val="44BB29C9"/>
    <w:rsid w:val="44BE0447"/>
    <w:rsid w:val="44BF6C07"/>
    <w:rsid w:val="44C02215"/>
    <w:rsid w:val="44C07F8E"/>
    <w:rsid w:val="44C2434F"/>
    <w:rsid w:val="44C9044F"/>
    <w:rsid w:val="44CD14E0"/>
    <w:rsid w:val="44D12E63"/>
    <w:rsid w:val="44D15B74"/>
    <w:rsid w:val="44D54C7E"/>
    <w:rsid w:val="44D740DB"/>
    <w:rsid w:val="44DE3696"/>
    <w:rsid w:val="44DF7303"/>
    <w:rsid w:val="44E329A7"/>
    <w:rsid w:val="44E37338"/>
    <w:rsid w:val="44E40033"/>
    <w:rsid w:val="44E4402B"/>
    <w:rsid w:val="44E97D40"/>
    <w:rsid w:val="44EC0221"/>
    <w:rsid w:val="44F20B0B"/>
    <w:rsid w:val="44F24D3A"/>
    <w:rsid w:val="44F5417B"/>
    <w:rsid w:val="45011AEE"/>
    <w:rsid w:val="4504567C"/>
    <w:rsid w:val="452151CC"/>
    <w:rsid w:val="45255E7D"/>
    <w:rsid w:val="452A63F9"/>
    <w:rsid w:val="452E5F4C"/>
    <w:rsid w:val="45344E50"/>
    <w:rsid w:val="45353DB6"/>
    <w:rsid w:val="453951E0"/>
    <w:rsid w:val="45420A63"/>
    <w:rsid w:val="4545159A"/>
    <w:rsid w:val="454556CA"/>
    <w:rsid w:val="45482758"/>
    <w:rsid w:val="45487B29"/>
    <w:rsid w:val="454A4326"/>
    <w:rsid w:val="454B2C79"/>
    <w:rsid w:val="455358A0"/>
    <w:rsid w:val="455719EC"/>
    <w:rsid w:val="4559771A"/>
    <w:rsid w:val="455A06DD"/>
    <w:rsid w:val="455B1CFA"/>
    <w:rsid w:val="45612018"/>
    <w:rsid w:val="45644F1B"/>
    <w:rsid w:val="45665EBC"/>
    <w:rsid w:val="45703CE0"/>
    <w:rsid w:val="4574258F"/>
    <w:rsid w:val="4579321E"/>
    <w:rsid w:val="457A7056"/>
    <w:rsid w:val="457C1C0A"/>
    <w:rsid w:val="457E10A8"/>
    <w:rsid w:val="457F003B"/>
    <w:rsid w:val="45822269"/>
    <w:rsid w:val="458614D2"/>
    <w:rsid w:val="45887C8D"/>
    <w:rsid w:val="458946E9"/>
    <w:rsid w:val="458F4110"/>
    <w:rsid w:val="45921F24"/>
    <w:rsid w:val="45942153"/>
    <w:rsid w:val="45986714"/>
    <w:rsid w:val="459E56AD"/>
    <w:rsid w:val="45A47C0E"/>
    <w:rsid w:val="45A55DFD"/>
    <w:rsid w:val="45AC49FA"/>
    <w:rsid w:val="45AE7A7D"/>
    <w:rsid w:val="45AF1BFE"/>
    <w:rsid w:val="45B46040"/>
    <w:rsid w:val="45B64843"/>
    <w:rsid w:val="45B9125E"/>
    <w:rsid w:val="45BE0C6C"/>
    <w:rsid w:val="45C81AEB"/>
    <w:rsid w:val="45CA7688"/>
    <w:rsid w:val="45CD7101"/>
    <w:rsid w:val="45D00A25"/>
    <w:rsid w:val="45D43EB8"/>
    <w:rsid w:val="45D53A65"/>
    <w:rsid w:val="45DA6B4E"/>
    <w:rsid w:val="45DD78F5"/>
    <w:rsid w:val="45E16D9F"/>
    <w:rsid w:val="45E50553"/>
    <w:rsid w:val="45E7004E"/>
    <w:rsid w:val="45ED3201"/>
    <w:rsid w:val="45F064DC"/>
    <w:rsid w:val="45F36D5A"/>
    <w:rsid w:val="45F47AA0"/>
    <w:rsid w:val="45F54DF9"/>
    <w:rsid w:val="45F81B0F"/>
    <w:rsid w:val="45FA1488"/>
    <w:rsid w:val="46020B59"/>
    <w:rsid w:val="4604476A"/>
    <w:rsid w:val="4605097B"/>
    <w:rsid w:val="4609583C"/>
    <w:rsid w:val="460E7BCF"/>
    <w:rsid w:val="46107E00"/>
    <w:rsid w:val="4612249E"/>
    <w:rsid w:val="461336EC"/>
    <w:rsid w:val="461C48DE"/>
    <w:rsid w:val="462B4CDD"/>
    <w:rsid w:val="463015B3"/>
    <w:rsid w:val="46373507"/>
    <w:rsid w:val="46475DC6"/>
    <w:rsid w:val="464C4C34"/>
    <w:rsid w:val="46534369"/>
    <w:rsid w:val="465408EF"/>
    <w:rsid w:val="46554DCB"/>
    <w:rsid w:val="46573F93"/>
    <w:rsid w:val="46577FD6"/>
    <w:rsid w:val="46627529"/>
    <w:rsid w:val="46714937"/>
    <w:rsid w:val="467428AF"/>
    <w:rsid w:val="46752BA6"/>
    <w:rsid w:val="467F303B"/>
    <w:rsid w:val="468611A2"/>
    <w:rsid w:val="468A59B5"/>
    <w:rsid w:val="468A7BC5"/>
    <w:rsid w:val="468C2AD0"/>
    <w:rsid w:val="468E063F"/>
    <w:rsid w:val="46907374"/>
    <w:rsid w:val="46931C48"/>
    <w:rsid w:val="46971BE9"/>
    <w:rsid w:val="469A18A8"/>
    <w:rsid w:val="469C3601"/>
    <w:rsid w:val="46A34212"/>
    <w:rsid w:val="46A72348"/>
    <w:rsid w:val="46AF478A"/>
    <w:rsid w:val="46B83144"/>
    <w:rsid w:val="46BD2EA0"/>
    <w:rsid w:val="46BD5F79"/>
    <w:rsid w:val="46C34E72"/>
    <w:rsid w:val="46C50142"/>
    <w:rsid w:val="46C611DD"/>
    <w:rsid w:val="46C6427C"/>
    <w:rsid w:val="46C71DA3"/>
    <w:rsid w:val="46C72293"/>
    <w:rsid w:val="46CD3C4E"/>
    <w:rsid w:val="46CF0409"/>
    <w:rsid w:val="46D16EAF"/>
    <w:rsid w:val="46D56E51"/>
    <w:rsid w:val="46D61D3B"/>
    <w:rsid w:val="46D955A7"/>
    <w:rsid w:val="46E609BF"/>
    <w:rsid w:val="46E82445"/>
    <w:rsid w:val="46F15FEA"/>
    <w:rsid w:val="46F24515"/>
    <w:rsid w:val="46F75CCC"/>
    <w:rsid w:val="46FB6DE9"/>
    <w:rsid w:val="46FC64BC"/>
    <w:rsid w:val="470541E0"/>
    <w:rsid w:val="47062053"/>
    <w:rsid w:val="470B03B9"/>
    <w:rsid w:val="470B2D2F"/>
    <w:rsid w:val="4710152E"/>
    <w:rsid w:val="47133957"/>
    <w:rsid w:val="47174904"/>
    <w:rsid w:val="471B1BEB"/>
    <w:rsid w:val="471C70C6"/>
    <w:rsid w:val="471E59EC"/>
    <w:rsid w:val="471F2B8A"/>
    <w:rsid w:val="471F573B"/>
    <w:rsid w:val="472118C9"/>
    <w:rsid w:val="472530A8"/>
    <w:rsid w:val="472A6313"/>
    <w:rsid w:val="472C425D"/>
    <w:rsid w:val="473A4323"/>
    <w:rsid w:val="474358CD"/>
    <w:rsid w:val="474935A7"/>
    <w:rsid w:val="47515B04"/>
    <w:rsid w:val="47594655"/>
    <w:rsid w:val="475D62B0"/>
    <w:rsid w:val="475E340D"/>
    <w:rsid w:val="476361CE"/>
    <w:rsid w:val="47682F58"/>
    <w:rsid w:val="476B4F9F"/>
    <w:rsid w:val="476B7D1D"/>
    <w:rsid w:val="476F2F6E"/>
    <w:rsid w:val="47727BCE"/>
    <w:rsid w:val="477574BA"/>
    <w:rsid w:val="477D51D9"/>
    <w:rsid w:val="47892258"/>
    <w:rsid w:val="478925A1"/>
    <w:rsid w:val="478F220C"/>
    <w:rsid w:val="47906CC5"/>
    <w:rsid w:val="47933DDA"/>
    <w:rsid w:val="479B619C"/>
    <w:rsid w:val="47A07E0C"/>
    <w:rsid w:val="47A127A2"/>
    <w:rsid w:val="47A40DD1"/>
    <w:rsid w:val="47AF443A"/>
    <w:rsid w:val="47B37163"/>
    <w:rsid w:val="47B8155B"/>
    <w:rsid w:val="47BA5D35"/>
    <w:rsid w:val="47C16942"/>
    <w:rsid w:val="47C3286E"/>
    <w:rsid w:val="47C42A12"/>
    <w:rsid w:val="47CB3976"/>
    <w:rsid w:val="47CB7671"/>
    <w:rsid w:val="47E20244"/>
    <w:rsid w:val="47F343F0"/>
    <w:rsid w:val="47FA0080"/>
    <w:rsid w:val="48016BBF"/>
    <w:rsid w:val="48021728"/>
    <w:rsid w:val="4804371E"/>
    <w:rsid w:val="480649D6"/>
    <w:rsid w:val="48075587"/>
    <w:rsid w:val="480E60D5"/>
    <w:rsid w:val="48117121"/>
    <w:rsid w:val="48151265"/>
    <w:rsid w:val="4819292F"/>
    <w:rsid w:val="48274080"/>
    <w:rsid w:val="48304F5F"/>
    <w:rsid w:val="483A1FC5"/>
    <w:rsid w:val="48466274"/>
    <w:rsid w:val="485707F0"/>
    <w:rsid w:val="485B3B8F"/>
    <w:rsid w:val="485D66AA"/>
    <w:rsid w:val="48642652"/>
    <w:rsid w:val="48674149"/>
    <w:rsid w:val="486C4FB0"/>
    <w:rsid w:val="4870272E"/>
    <w:rsid w:val="487A1C83"/>
    <w:rsid w:val="487D4E0F"/>
    <w:rsid w:val="488004D1"/>
    <w:rsid w:val="488241D3"/>
    <w:rsid w:val="48847F4B"/>
    <w:rsid w:val="488520C4"/>
    <w:rsid w:val="489A4DFB"/>
    <w:rsid w:val="489D48B6"/>
    <w:rsid w:val="489F26F1"/>
    <w:rsid w:val="48A2115B"/>
    <w:rsid w:val="48A313FA"/>
    <w:rsid w:val="48B27780"/>
    <w:rsid w:val="48B341A3"/>
    <w:rsid w:val="48B54EF3"/>
    <w:rsid w:val="48B72AA1"/>
    <w:rsid w:val="48B772E8"/>
    <w:rsid w:val="48B959A7"/>
    <w:rsid w:val="48BB72A2"/>
    <w:rsid w:val="48C14095"/>
    <w:rsid w:val="48C1799D"/>
    <w:rsid w:val="48C32825"/>
    <w:rsid w:val="48C63F51"/>
    <w:rsid w:val="48D063C1"/>
    <w:rsid w:val="48D07149"/>
    <w:rsid w:val="48D507A7"/>
    <w:rsid w:val="48D64F5A"/>
    <w:rsid w:val="48DA4D9F"/>
    <w:rsid w:val="48DD6C2A"/>
    <w:rsid w:val="48E86C40"/>
    <w:rsid w:val="48E95E89"/>
    <w:rsid w:val="48F13E18"/>
    <w:rsid w:val="48F350D1"/>
    <w:rsid w:val="48F3645E"/>
    <w:rsid w:val="48F53CE6"/>
    <w:rsid w:val="48F63C8D"/>
    <w:rsid w:val="48F826E7"/>
    <w:rsid w:val="48F86CBE"/>
    <w:rsid w:val="49052997"/>
    <w:rsid w:val="490A783E"/>
    <w:rsid w:val="490E3CB9"/>
    <w:rsid w:val="491662AF"/>
    <w:rsid w:val="492927AA"/>
    <w:rsid w:val="4933011D"/>
    <w:rsid w:val="493310C1"/>
    <w:rsid w:val="49390231"/>
    <w:rsid w:val="493B2CA2"/>
    <w:rsid w:val="493C0891"/>
    <w:rsid w:val="49575660"/>
    <w:rsid w:val="495A51E7"/>
    <w:rsid w:val="495C2C76"/>
    <w:rsid w:val="495E45F3"/>
    <w:rsid w:val="496633F3"/>
    <w:rsid w:val="496723CE"/>
    <w:rsid w:val="496D654E"/>
    <w:rsid w:val="49720E95"/>
    <w:rsid w:val="49727E0B"/>
    <w:rsid w:val="497615FD"/>
    <w:rsid w:val="497814DF"/>
    <w:rsid w:val="4981092F"/>
    <w:rsid w:val="49824022"/>
    <w:rsid w:val="49833CAA"/>
    <w:rsid w:val="4989220E"/>
    <w:rsid w:val="498B088F"/>
    <w:rsid w:val="498D5AC8"/>
    <w:rsid w:val="49990B12"/>
    <w:rsid w:val="499B033B"/>
    <w:rsid w:val="499E1CC5"/>
    <w:rsid w:val="499E2999"/>
    <w:rsid w:val="499E5B40"/>
    <w:rsid w:val="499E6DEB"/>
    <w:rsid w:val="49A370A8"/>
    <w:rsid w:val="49A4021B"/>
    <w:rsid w:val="49AD5280"/>
    <w:rsid w:val="49B05835"/>
    <w:rsid w:val="49B15308"/>
    <w:rsid w:val="49B70D39"/>
    <w:rsid w:val="49BE522E"/>
    <w:rsid w:val="49CE459B"/>
    <w:rsid w:val="49D13EF8"/>
    <w:rsid w:val="49D1672E"/>
    <w:rsid w:val="49D706CE"/>
    <w:rsid w:val="49DC6525"/>
    <w:rsid w:val="49DC7715"/>
    <w:rsid w:val="49E3772F"/>
    <w:rsid w:val="49E54593"/>
    <w:rsid w:val="49E7055E"/>
    <w:rsid w:val="49E73212"/>
    <w:rsid w:val="49F25D9F"/>
    <w:rsid w:val="49F430DC"/>
    <w:rsid w:val="49FD3C72"/>
    <w:rsid w:val="4A023139"/>
    <w:rsid w:val="4A087B3E"/>
    <w:rsid w:val="4A0A00B2"/>
    <w:rsid w:val="4A1109B6"/>
    <w:rsid w:val="4A1314A1"/>
    <w:rsid w:val="4A152AA9"/>
    <w:rsid w:val="4A224628"/>
    <w:rsid w:val="4A240578"/>
    <w:rsid w:val="4A296F6D"/>
    <w:rsid w:val="4A307956"/>
    <w:rsid w:val="4A333BA3"/>
    <w:rsid w:val="4A3504FC"/>
    <w:rsid w:val="4A3609CF"/>
    <w:rsid w:val="4A361719"/>
    <w:rsid w:val="4A39263F"/>
    <w:rsid w:val="4A392A80"/>
    <w:rsid w:val="4A3F01E5"/>
    <w:rsid w:val="4A40653C"/>
    <w:rsid w:val="4A432F49"/>
    <w:rsid w:val="4A4611B9"/>
    <w:rsid w:val="4A505384"/>
    <w:rsid w:val="4A5B5B34"/>
    <w:rsid w:val="4A601ACF"/>
    <w:rsid w:val="4A6B1CC1"/>
    <w:rsid w:val="4A6B598D"/>
    <w:rsid w:val="4A6F0804"/>
    <w:rsid w:val="4A7B3CA0"/>
    <w:rsid w:val="4A7B576F"/>
    <w:rsid w:val="4A7D0CDF"/>
    <w:rsid w:val="4A8561FD"/>
    <w:rsid w:val="4A8A01A2"/>
    <w:rsid w:val="4A8D1B95"/>
    <w:rsid w:val="4A8E6AC2"/>
    <w:rsid w:val="4A9174C5"/>
    <w:rsid w:val="4A9339CE"/>
    <w:rsid w:val="4A9B70DD"/>
    <w:rsid w:val="4A9C3077"/>
    <w:rsid w:val="4A9E0521"/>
    <w:rsid w:val="4AAB5B08"/>
    <w:rsid w:val="4AAE7262"/>
    <w:rsid w:val="4AAF6F96"/>
    <w:rsid w:val="4AB111A1"/>
    <w:rsid w:val="4AB2159C"/>
    <w:rsid w:val="4AB36383"/>
    <w:rsid w:val="4ABF170F"/>
    <w:rsid w:val="4AC321F2"/>
    <w:rsid w:val="4AD36F68"/>
    <w:rsid w:val="4AE437BC"/>
    <w:rsid w:val="4AE70D94"/>
    <w:rsid w:val="4AEC4045"/>
    <w:rsid w:val="4AF559C8"/>
    <w:rsid w:val="4AF561A9"/>
    <w:rsid w:val="4AF93DFE"/>
    <w:rsid w:val="4B0018E3"/>
    <w:rsid w:val="4B013A98"/>
    <w:rsid w:val="4B031480"/>
    <w:rsid w:val="4B046389"/>
    <w:rsid w:val="4B09631C"/>
    <w:rsid w:val="4B1169ED"/>
    <w:rsid w:val="4B193B95"/>
    <w:rsid w:val="4B194E61"/>
    <w:rsid w:val="4B1D5686"/>
    <w:rsid w:val="4B23360A"/>
    <w:rsid w:val="4B2810BA"/>
    <w:rsid w:val="4B2D2338"/>
    <w:rsid w:val="4B2D3AB4"/>
    <w:rsid w:val="4B2E48B9"/>
    <w:rsid w:val="4B2F0F64"/>
    <w:rsid w:val="4B2F5093"/>
    <w:rsid w:val="4B3206A6"/>
    <w:rsid w:val="4B36226F"/>
    <w:rsid w:val="4B3A318F"/>
    <w:rsid w:val="4B3C2BBF"/>
    <w:rsid w:val="4B401409"/>
    <w:rsid w:val="4B4148E4"/>
    <w:rsid w:val="4B43644C"/>
    <w:rsid w:val="4B473327"/>
    <w:rsid w:val="4B4A363C"/>
    <w:rsid w:val="4B565179"/>
    <w:rsid w:val="4B5652DA"/>
    <w:rsid w:val="4B5D7C49"/>
    <w:rsid w:val="4B621962"/>
    <w:rsid w:val="4B657B30"/>
    <w:rsid w:val="4B7D345D"/>
    <w:rsid w:val="4B7F4C67"/>
    <w:rsid w:val="4B803177"/>
    <w:rsid w:val="4B87392A"/>
    <w:rsid w:val="4B8F088F"/>
    <w:rsid w:val="4B927546"/>
    <w:rsid w:val="4B930112"/>
    <w:rsid w:val="4B937A54"/>
    <w:rsid w:val="4B941675"/>
    <w:rsid w:val="4B9810FD"/>
    <w:rsid w:val="4B9C4E70"/>
    <w:rsid w:val="4BA63426"/>
    <w:rsid w:val="4BA84CDC"/>
    <w:rsid w:val="4BAA76EB"/>
    <w:rsid w:val="4BAB3A41"/>
    <w:rsid w:val="4BAD77B9"/>
    <w:rsid w:val="4BB43F11"/>
    <w:rsid w:val="4BBC5C4E"/>
    <w:rsid w:val="4BCB7BE0"/>
    <w:rsid w:val="4BCB7CF1"/>
    <w:rsid w:val="4BCC71AF"/>
    <w:rsid w:val="4BD47018"/>
    <w:rsid w:val="4BD72A88"/>
    <w:rsid w:val="4BE0481F"/>
    <w:rsid w:val="4BE34F89"/>
    <w:rsid w:val="4BF15DFF"/>
    <w:rsid w:val="4BF92034"/>
    <w:rsid w:val="4C0223F5"/>
    <w:rsid w:val="4C0B294E"/>
    <w:rsid w:val="4C0C3073"/>
    <w:rsid w:val="4C134EF7"/>
    <w:rsid w:val="4C2304B4"/>
    <w:rsid w:val="4C235CCD"/>
    <w:rsid w:val="4C247CAE"/>
    <w:rsid w:val="4C27631C"/>
    <w:rsid w:val="4C280C36"/>
    <w:rsid w:val="4C2F61AD"/>
    <w:rsid w:val="4C3209D5"/>
    <w:rsid w:val="4C39729F"/>
    <w:rsid w:val="4C441075"/>
    <w:rsid w:val="4C4A0649"/>
    <w:rsid w:val="4C4A3198"/>
    <w:rsid w:val="4C4B0F41"/>
    <w:rsid w:val="4C4D6F48"/>
    <w:rsid w:val="4C575977"/>
    <w:rsid w:val="4C576218"/>
    <w:rsid w:val="4C6B672D"/>
    <w:rsid w:val="4C7520FA"/>
    <w:rsid w:val="4C796436"/>
    <w:rsid w:val="4C7D6A85"/>
    <w:rsid w:val="4C7E5ECA"/>
    <w:rsid w:val="4C866E81"/>
    <w:rsid w:val="4C8702F3"/>
    <w:rsid w:val="4C876AA5"/>
    <w:rsid w:val="4C893887"/>
    <w:rsid w:val="4C8D39C9"/>
    <w:rsid w:val="4C906415"/>
    <w:rsid w:val="4C98667A"/>
    <w:rsid w:val="4CA222D8"/>
    <w:rsid w:val="4CA95F3B"/>
    <w:rsid w:val="4CAA2B72"/>
    <w:rsid w:val="4CAB1B3B"/>
    <w:rsid w:val="4CAB24B1"/>
    <w:rsid w:val="4CAC1B1D"/>
    <w:rsid w:val="4CB923F4"/>
    <w:rsid w:val="4CBB2990"/>
    <w:rsid w:val="4CBB2C5C"/>
    <w:rsid w:val="4CBE0499"/>
    <w:rsid w:val="4CBF09EF"/>
    <w:rsid w:val="4CC07196"/>
    <w:rsid w:val="4CCB05BB"/>
    <w:rsid w:val="4CD10361"/>
    <w:rsid w:val="4CD23A4B"/>
    <w:rsid w:val="4CD26DCC"/>
    <w:rsid w:val="4CD40000"/>
    <w:rsid w:val="4CDD5E7C"/>
    <w:rsid w:val="4CE6505E"/>
    <w:rsid w:val="4CE66A50"/>
    <w:rsid w:val="4CE92D89"/>
    <w:rsid w:val="4CF33572"/>
    <w:rsid w:val="4CF77763"/>
    <w:rsid w:val="4CFE0068"/>
    <w:rsid w:val="4D073334"/>
    <w:rsid w:val="4D095FD5"/>
    <w:rsid w:val="4D0E00FB"/>
    <w:rsid w:val="4D10167A"/>
    <w:rsid w:val="4D102768"/>
    <w:rsid w:val="4D1473C4"/>
    <w:rsid w:val="4D176606"/>
    <w:rsid w:val="4D176670"/>
    <w:rsid w:val="4D2562DA"/>
    <w:rsid w:val="4D2759AA"/>
    <w:rsid w:val="4D2900A4"/>
    <w:rsid w:val="4D3A1BF0"/>
    <w:rsid w:val="4D405120"/>
    <w:rsid w:val="4D436A13"/>
    <w:rsid w:val="4D44115D"/>
    <w:rsid w:val="4D463520"/>
    <w:rsid w:val="4D523B81"/>
    <w:rsid w:val="4D532F12"/>
    <w:rsid w:val="4D553D98"/>
    <w:rsid w:val="4D607275"/>
    <w:rsid w:val="4D63129D"/>
    <w:rsid w:val="4D693E94"/>
    <w:rsid w:val="4D6B2D5B"/>
    <w:rsid w:val="4D6D4A8A"/>
    <w:rsid w:val="4D710CA8"/>
    <w:rsid w:val="4D733ED5"/>
    <w:rsid w:val="4D7454F5"/>
    <w:rsid w:val="4D7D19FF"/>
    <w:rsid w:val="4D7F67EF"/>
    <w:rsid w:val="4D8C30EB"/>
    <w:rsid w:val="4D8C4734"/>
    <w:rsid w:val="4D926BD4"/>
    <w:rsid w:val="4D9829DD"/>
    <w:rsid w:val="4D9E59C5"/>
    <w:rsid w:val="4DA156E1"/>
    <w:rsid w:val="4DA3198D"/>
    <w:rsid w:val="4DA42F89"/>
    <w:rsid w:val="4DB2291B"/>
    <w:rsid w:val="4DB23F5C"/>
    <w:rsid w:val="4DB6256F"/>
    <w:rsid w:val="4DBA3BAB"/>
    <w:rsid w:val="4DBF7F0B"/>
    <w:rsid w:val="4DC1585F"/>
    <w:rsid w:val="4DD9718B"/>
    <w:rsid w:val="4DE1317E"/>
    <w:rsid w:val="4DE352FA"/>
    <w:rsid w:val="4DE3747E"/>
    <w:rsid w:val="4DE51E00"/>
    <w:rsid w:val="4DE737E6"/>
    <w:rsid w:val="4DEA27DB"/>
    <w:rsid w:val="4DEB281B"/>
    <w:rsid w:val="4DEC4FB0"/>
    <w:rsid w:val="4DF257A5"/>
    <w:rsid w:val="4DF941F1"/>
    <w:rsid w:val="4DFA3896"/>
    <w:rsid w:val="4DFC4887"/>
    <w:rsid w:val="4E0107D9"/>
    <w:rsid w:val="4E0209A9"/>
    <w:rsid w:val="4E073173"/>
    <w:rsid w:val="4E075D8A"/>
    <w:rsid w:val="4E0A3918"/>
    <w:rsid w:val="4E0E0768"/>
    <w:rsid w:val="4E0E2591"/>
    <w:rsid w:val="4E104B81"/>
    <w:rsid w:val="4E14078E"/>
    <w:rsid w:val="4E147151"/>
    <w:rsid w:val="4E164593"/>
    <w:rsid w:val="4E1B0215"/>
    <w:rsid w:val="4E22231B"/>
    <w:rsid w:val="4E25479F"/>
    <w:rsid w:val="4E2A3719"/>
    <w:rsid w:val="4E2E44B5"/>
    <w:rsid w:val="4E33185A"/>
    <w:rsid w:val="4E334C1B"/>
    <w:rsid w:val="4E347D1E"/>
    <w:rsid w:val="4E37529D"/>
    <w:rsid w:val="4E3A6398"/>
    <w:rsid w:val="4E3D6181"/>
    <w:rsid w:val="4E3E6CD9"/>
    <w:rsid w:val="4E405E7F"/>
    <w:rsid w:val="4E465EED"/>
    <w:rsid w:val="4E4D262C"/>
    <w:rsid w:val="4E516B22"/>
    <w:rsid w:val="4E5407A6"/>
    <w:rsid w:val="4E6A4F74"/>
    <w:rsid w:val="4E6E3E2C"/>
    <w:rsid w:val="4E704ACE"/>
    <w:rsid w:val="4E71701C"/>
    <w:rsid w:val="4E742639"/>
    <w:rsid w:val="4E8320A0"/>
    <w:rsid w:val="4E857274"/>
    <w:rsid w:val="4E860C60"/>
    <w:rsid w:val="4E892BBA"/>
    <w:rsid w:val="4E8E2EC0"/>
    <w:rsid w:val="4EA320A9"/>
    <w:rsid w:val="4EA501B0"/>
    <w:rsid w:val="4EAA433C"/>
    <w:rsid w:val="4EB15045"/>
    <w:rsid w:val="4EB31CC1"/>
    <w:rsid w:val="4EBB6FE2"/>
    <w:rsid w:val="4EC00FAD"/>
    <w:rsid w:val="4EC339EA"/>
    <w:rsid w:val="4EC5769B"/>
    <w:rsid w:val="4EC647EE"/>
    <w:rsid w:val="4EC76DE4"/>
    <w:rsid w:val="4ECE1B8B"/>
    <w:rsid w:val="4ECF6BCB"/>
    <w:rsid w:val="4ED72496"/>
    <w:rsid w:val="4EE56C4E"/>
    <w:rsid w:val="4EE67669"/>
    <w:rsid w:val="4EE8391C"/>
    <w:rsid w:val="4EF13A41"/>
    <w:rsid w:val="4EFA28AE"/>
    <w:rsid w:val="4EFD2805"/>
    <w:rsid w:val="4F05547E"/>
    <w:rsid w:val="4F0771E0"/>
    <w:rsid w:val="4F0A0A7E"/>
    <w:rsid w:val="4F0E00C3"/>
    <w:rsid w:val="4F113B01"/>
    <w:rsid w:val="4F124336"/>
    <w:rsid w:val="4F124EA0"/>
    <w:rsid w:val="4F18670F"/>
    <w:rsid w:val="4F1D4C56"/>
    <w:rsid w:val="4F212DCC"/>
    <w:rsid w:val="4F26346F"/>
    <w:rsid w:val="4F271B38"/>
    <w:rsid w:val="4F294A10"/>
    <w:rsid w:val="4F313A9F"/>
    <w:rsid w:val="4F367CA4"/>
    <w:rsid w:val="4F402EFB"/>
    <w:rsid w:val="4F410391"/>
    <w:rsid w:val="4F44485E"/>
    <w:rsid w:val="4F4A0783"/>
    <w:rsid w:val="4F4B7815"/>
    <w:rsid w:val="4F4D7AC9"/>
    <w:rsid w:val="4F52463C"/>
    <w:rsid w:val="4F533780"/>
    <w:rsid w:val="4F552641"/>
    <w:rsid w:val="4F5D5052"/>
    <w:rsid w:val="4F616A8B"/>
    <w:rsid w:val="4F6942F5"/>
    <w:rsid w:val="4F6A5281"/>
    <w:rsid w:val="4F7A423E"/>
    <w:rsid w:val="4F832088"/>
    <w:rsid w:val="4F9843DC"/>
    <w:rsid w:val="4F9B72C0"/>
    <w:rsid w:val="4F9C2FE0"/>
    <w:rsid w:val="4FA244B6"/>
    <w:rsid w:val="4FA421CB"/>
    <w:rsid w:val="4FA67520"/>
    <w:rsid w:val="4FB1539E"/>
    <w:rsid w:val="4FB21842"/>
    <w:rsid w:val="4FC062F7"/>
    <w:rsid w:val="4FC24CD8"/>
    <w:rsid w:val="4FC26D53"/>
    <w:rsid w:val="4FC62A8C"/>
    <w:rsid w:val="4FC64FB3"/>
    <w:rsid w:val="4FC671A3"/>
    <w:rsid w:val="4FC9093A"/>
    <w:rsid w:val="4FCC5881"/>
    <w:rsid w:val="4FCD042A"/>
    <w:rsid w:val="4FCD667C"/>
    <w:rsid w:val="4FCE41A2"/>
    <w:rsid w:val="4FD2539F"/>
    <w:rsid w:val="4FD34A15"/>
    <w:rsid w:val="4FDF43FC"/>
    <w:rsid w:val="4FE20F0D"/>
    <w:rsid w:val="4FE305B4"/>
    <w:rsid w:val="4FE466E1"/>
    <w:rsid w:val="4FE51552"/>
    <w:rsid w:val="4FE922B3"/>
    <w:rsid w:val="4FF02BA9"/>
    <w:rsid w:val="4FF2221C"/>
    <w:rsid w:val="50021A8C"/>
    <w:rsid w:val="5003057E"/>
    <w:rsid w:val="50086FCF"/>
    <w:rsid w:val="501D00B2"/>
    <w:rsid w:val="50242D62"/>
    <w:rsid w:val="50255967"/>
    <w:rsid w:val="502B1529"/>
    <w:rsid w:val="502E1A47"/>
    <w:rsid w:val="50447FC0"/>
    <w:rsid w:val="50504C4B"/>
    <w:rsid w:val="505446A7"/>
    <w:rsid w:val="50553B6B"/>
    <w:rsid w:val="505809BB"/>
    <w:rsid w:val="505B4F6D"/>
    <w:rsid w:val="50692B61"/>
    <w:rsid w:val="506D72D8"/>
    <w:rsid w:val="50774D37"/>
    <w:rsid w:val="507D3344"/>
    <w:rsid w:val="508F56DF"/>
    <w:rsid w:val="50986AD2"/>
    <w:rsid w:val="509C6E7C"/>
    <w:rsid w:val="509E4298"/>
    <w:rsid w:val="50A126A3"/>
    <w:rsid w:val="50A7396F"/>
    <w:rsid w:val="50AE34C0"/>
    <w:rsid w:val="50B164D4"/>
    <w:rsid w:val="50BD3C41"/>
    <w:rsid w:val="50BF1CAA"/>
    <w:rsid w:val="50CD3B91"/>
    <w:rsid w:val="50CE19EC"/>
    <w:rsid w:val="50D12515"/>
    <w:rsid w:val="50D41D20"/>
    <w:rsid w:val="50D66057"/>
    <w:rsid w:val="50DC55E2"/>
    <w:rsid w:val="50DD3929"/>
    <w:rsid w:val="50E112FF"/>
    <w:rsid w:val="50E12195"/>
    <w:rsid w:val="50E94AC4"/>
    <w:rsid w:val="50E96143"/>
    <w:rsid w:val="50EB5524"/>
    <w:rsid w:val="50EC57AE"/>
    <w:rsid w:val="50ED0EF8"/>
    <w:rsid w:val="50F21971"/>
    <w:rsid w:val="50F853A1"/>
    <w:rsid w:val="50FA4338"/>
    <w:rsid w:val="50FA5D5A"/>
    <w:rsid w:val="50FB4B23"/>
    <w:rsid w:val="50FD5A6A"/>
    <w:rsid w:val="510262EC"/>
    <w:rsid w:val="51061FA3"/>
    <w:rsid w:val="51074958"/>
    <w:rsid w:val="510A43A2"/>
    <w:rsid w:val="510D2D86"/>
    <w:rsid w:val="510D6056"/>
    <w:rsid w:val="5112030D"/>
    <w:rsid w:val="51183748"/>
    <w:rsid w:val="511F163A"/>
    <w:rsid w:val="512467CC"/>
    <w:rsid w:val="512542F9"/>
    <w:rsid w:val="512B03A3"/>
    <w:rsid w:val="513008A2"/>
    <w:rsid w:val="513333A7"/>
    <w:rsid w:val="513B67DB"/>
    <w:rsid w:val="51454760"/>
    <w:rsid w:val="51471DA0"/>
    <w:rsid w:val="51471E66"/>
    <w:rsid w:val="5148172B"/>
    <w:rsid w:val="51497A6C"/>
    <w:rsid w:val="514A3700"/>
    <w:rsid w:val="514E30B4"/>
    <w:rsid w:val="515801C7"/>
    <w:rsid w:val="515E5ED9"/>
    <w:rsid w:val="51610987"/>
    <w:rsid w:val="5162104E"/>
    <w:rsid w:val="51627BA0"/>
    <w:rsid w:val="5164091A"/>
    <w:rsid w:val="516F0D03"/>
    <w:rsid w:val="51701E6E"/>
    <w:rsid w:val="51870AAC"/>
    <w:rsid w:val="518B2407"/>
    <w:rsid w:val="519128B3"/>
    <w:rsid w:val="519531C9"/>
    <w:rsid w:val="51977174"/>
    <w:rsid w:val="51A4400A"/>
    <w:rsid w:val="51A8640E"/>
    <w:rsid w:val="51AA471F"/>
    <w:rsid w:val="51AB6549"/>
    <w:rsid w:val="51AE3AE2"/>
    <w:rsid w:val="51B108B6"/>
    <w:rsid w:val="51B17DFA"/>
    <w:rsid w:val="51B66F6A"/>
    <w:rsid w:val="51BA6620"/>
    <w:rsid w:val="51C0614F"/>
    <w:rsid w:val="51C15D6C"/>
    <w:rsid w:val="51C92E73"/>
    <w:rsid w:val="51CB0999"/>
    <w:rsid w:val="51CB428B"/>
    <w:rsid w:val="51CF76C2"/>
    <w:rsid w:val="51D27F79"/>
    <w:rsid w:val="51D4764A"/>
    <w:rsid w:val="51D96D68"/>
    <w:rsid w:val="51DD691E"/>
    <w:rsid w:val="51E00930"/>
    <w:rsid w:val="51E4548D"/>
    <w:rsid w:val="51E90D6B"/>
    <w:rsid w:val="51EB2D89"/>
    <w:rsid w:val="51EC2176"/>
    <w:rsid w:val="51F078E9"/>
    <w:rsid w:val="51F74EDD"/>
    <w:rsid w:val="51F7734B"/>
    <w:rsid w:val="51FA6F2B"/>
    <w:rsid w:val="5200783D"/>
    <w:rsid w:val="52074DD5"/>
    <w:rsid w:val="520D1EFB"/>
    <w:rsid w:val="520D5B54"/>
    <w:rsid w:val="52224331"/>
    <w:rsid w:val="52257019"/>
    <w:rsid w:val="522E0302"/>
    <w:rsid w:val="52344790"/>
    <w:rsid w:val="52391DA6"/>
    <w:rsid w:val="524A06C7"/>
    <w:rsid w:val="524E2C0E"/>
    <w:rsid w:val="52581C9E"/>
    <w:rsid w:val="52650DED"/>
    <w:rsid w:val="52670173"/>
    <w:rsid w:val="526813EF"/>
    <w:rsid w:val="526C244A"/>
    <w:rsid w:val="526D1C8E"/>
    <w:rsid w:val="526F7B32"/>
    <w:rsid w:val="52722596"/>
    <w:rsid w:val="527707BD"/>
    <w:rsid w:val="527E6986"/>
    <w:rsid w:val="52814A22"/>
    <w:rsid w:val="52841673"/>
    <w:rsid w:val="528B31D8"/>
    <w:rsid w:val="528B3443"/>
    <w:rsid w:val="528D3EA0"/>
    <w:rsid w:val="528E1032"/>
    <w:rsid w:val="52940E2A"/>
    <w:rsid w:val="52943481"/>
    <w:rsid w:val="529A4E72"/>
    <w:rsid w:val="529C4EFA"/>
    <w:rsid w:val="529E7862"/>
    <w:rsid w:val="529F3848"/>
    <w:rsid w:val="52A23BAD"/>
    <w:rsid w:val="52A71FBF"/>
    <w:rsid w:val="52AD26F3"/>
    <w:rsid w:val="52AE6502"/>
    <w:rsid w:val="52B13963"/>
    <w:rsid w:val="52B51018"/>
    <w:rsid w:val="52B570A4"/>
    <w:rsid w:val="52BA0A7E"/>
    <w:rsid w:val="52BB27C4"/>
    <w:rsid w:val="52BD6791"/>
    <w:rsid w:val="52BD77B8"/>
    <w:rsid w:val="52C11B82"/>
    <w:rsid w:val="52D24EC5"/>
    <w:rsid w:val="52E72C96"/>
    <w:rsid w:val="52E90F0A"/>
    <w:rsid w:val="52E91F8F"/>
    <w:rsid w:val="52EC6168"/>
    <w:rsid w:val="52F310B4"/>
    <w:rsid w:val="52FC58E7"/>
    <w:rsid w:val="530413A3"/>
    <w:rsid w:val="53072DCC"/>
    <w:rsid w:val="530E719C"/>
    <w:rsid w:val="530F4ED0"/>
    <w:rsid w:val="530F621A"/>
    <w:rsid w:val="53175C1A"/>
    <w:rsid w:val="531B5CE2"/>
    <w:rsid w:val="532108BC"/>
    <w:rsid w:val="53321D62"/>
    <w:rsid w:val="533510C9"/>
    <w:rsid w:val="533B588A"/>
    <w:rsid w:val="534563E2"/>
    <w:rsid w:val="534A789D"/>
    <w:rsid w:val="535203CF"/>
    <w:rsid w:val="535249BA"/>
    <w:rsid w:val="535564BF"/>
    <w:rsid w:val="53576ED4"/>
    <w:rsid w:val="536A759E"/>
    <w:rsid w:val="536E13A9"/>
    <w:rsid w:val="537B5B95"/>
    <w:rsid w:val="537D29B8"/>
    <w:rsid w:val="53852BD3"/>
    <w:rsid w:val="53896D9D"/>
    <w:rsid w:val="538A1EF3"/>
    <w:rsid w:val="538F46F1"/>
    <w:rsid w:val="5392661F"/>
    <w:rsid w:val="53966B78"/>
    <w:rsid w:val="53970658"/>
    <w:rsid w:val="53975FF1"/>
    <w:rsid w:val="539A4AC7"/>
    <w:rsid w:val="539D1398"/>
    <w:rsid w:val="539D21C6"/>
    <w:rsid w:val="539F043B"/>
    <w:rsid w:val="539F0CA8"/>
    <w:rsid w:val="53A039CC"/>
    <w:rsid w:val="53A1505A"/>
    <w:rsid w:val="53A62545"/>
    <w:rsid w:val="53A66E1E"/>
    <w:rsid w:val="53AA268B"/>
    <w:rsid w:val="53AA6016"/>
    <w:rsid w:val="53AE2320"/>
    <w:rsid w:val="53B21991"/>
    <w:rsid w:val="53B25060"/>
    <w:rsid w:val="53B308C8"/>
    <w:rsid w:val="53B8786F"/>
    <w:rsid w:val="53BD72CE"/>
    <w:rsid w:val="53C234DD"/>
    <w:rsid w:val="53C75914"/>
    <w:rsid w:val="53CA6420"/>
    <w:rsid w:val="53D03B39"/>
    <w:rsid w:val="53D16465"/>
    <w:rsid w:val="53D67E7D"/>
    <w:rsid w:val="53D865C6"/>
    <w:rsid w:val="53E2646E"/>
    <w:rsid w:val="53F01D34"/>
    <w:rsid w:val="53F37CA6"/>
    <w:rsid w:val="53FD0BB2"/>
    <w:rsid w:val="53FD679A"/>
    <w:rsid w:val="54001133"/>
    <w:rsid w:val="54063E08"/>
    <w:rsid w:val="540B59B9"/>
    <w:rsid w:val="540C1946"/>
    <w:rsid w:val="5412737C"/>
    <w:rsid w:val="541F321E"/>
    <w:rsid w:val="542001B3"/>
    <w:rsid w:val="5427249E"/>
    <w:rsid w:val="542C7FA1"/>
    <w:rsid w:val="542E622C"/>
    <w:rsid w:val="543437E8"/>
    <w:rsid w:val="5441298D"/>
    <w:rsid w:val="5444538C"/>
    <w:rsid w:val="54447642"/>
    <w:rsid w:val="54463A60"/>
    <w:rsid w:val="544E4D33"/>
    <w:rsid w:val="544F4E86"/>
    <w:rsid w:val="544F616C"/>
    <w:rsid w:val="545618F5"/>
    <w:rsid w:val="54580DF2"/>
    <w:rsid w:val="54592265"/>
    <w:rsid w:val="546516DE"/>
    <w:rsid w:val="54672739"/>
    <w:rsid w:val="546B4C7D"/>
    <w:rsid w:val="546B5B4D"/>
    <w:rsid w:val="54702FE9"/>
    <w:rsid w:val="54756593"/>
    <w:rsid w:val="54773455"/>
    <w:rsid w:val="5478520B"/>
    <w:rsid w:val="547C2EE4"/>
    <w:rsid w:val="547D17C4"/>
    <w:rsid w:val="547D4EE8"/>
    <w:rsid w:val="548E7D8F"/>
    <w:rsid w:val="548F72E4"/>
    <w:rsid w:val="54934CCA"/>
    <w:rsid w:val="5498081B"/>
    <w:rsid w:val="549E09B9"/>
    <w:rsid w:val="549F3534"/>
    <w:rsid w:val="54A07415"/>
    <w:rsid w:val="54A7005F"/>
    <w:rsid w:val="54AC04F8"/>
    <w:rsid w:val="54AC2BAE"/>
    <w:rsid w:val="54AD7A20"/>
    <w:rsid w:val="54AE21ED"/>
    <w:rsid w:val="54BA3394"/>
    <w:rsid w:val="54C82C3F"/>
    <w:rsid w:val="54D11A23"/>
    <w:rsid w:val="54D4157B"/>
    <w:rsid w:val="54D743C9"/>
    <w:rsid w:val="54DF0269"/>
    <w:rsid w:val="54E56216"/>
    <w:rsid w:val="54EF7F50"/>
    <w:rsid w:val="54F3392A"/>
    <w:rsid w:val="54F73313"/>
    <w:rsid w:val="54F80955"/>
    <w:rsid w:val="550715B2"/>
    <w:rsid w:val="550A6CA2"/>
    <w:rsid w:val="550B0881"/>
    <w:rsid w:val="550C6E60"/>
    <w:rsid w:val="5511193E"/>
    <w:rsid w:val="55172147"/>
    <w:rsid w:val="552129AF"/>
    <w:rsid w:val="552719EE"/>
    <w:rsid w:val="55281325"/>
    <w:rsid w:val="552D2DA6"/>
    <w:rsid w:val="552E0479"/>
    <w:rsid w:val="554054B2"/>
    <w:rsid w:val="55423E3F"/>
    <w:rsid w:val="55456DC3"/>
    <w:rsid w:val="554C25E6"/>
    <w:rsid w:val="555170A7"/>
    <w:rsid w:val="555A280A"/>
    <w:rsid w:val="555C5F4A"/>
    <w:rsid w:val="556104CC"/>
    <w:rsid w:val="55623325"/>
    <w:rsid w:val="55676F3A"/>
    <w:rsid w:val="556970ED"/>
    <w:rsid w:val="556B3FDB"/>
    <w:rsid w:val="55722100"/>
    <w:rsid w:val="557510ED"/>
    <w:rsid w:val="55790B14"/>
    <w:rsid w:val="55852D9A"/>
    <w:rsid w:val="5587536D"/>
    <w:rsid w:val="55963D47"/>
    <w:rsid w:val="559B174B"/>
    <w:rsid w:val="559E053B"/>
    <w:rsid w:val="55A25378"/>
    <w:rsid w:val="55A4198E"/>
    <w:rsid w:val="55A509BC"/>
    <w:rsid w:val="55B051B8"/>
    <w:rsid w:val="55C02AF7"/>
    <w:rsid w:val="55C36409"/>
    <w:rsid w:val="55CD6C33"/>
    <w:rsid w:val="55CE0CF4"/>
    <w:rsid w:val="55CF3917"/>
    <w:rsid w:val="55D63B86"/>
    <w:rsid w:val="55D95F00"/>
    <w:rsid w:val="55E22755"/>
    <w:rsid w:val="55E40C52"/>
    <w:rsid w:val="55F52488"/>
    <w:rsid w:val="55FA16CF"/>
    <w:rsid w:val="56010E2D"/>
    <w:rsid w:val="5604091D"/>
    <w:rsid w:val="5607357F"/>
    <w:rsid w:val="560B0DFF"/>
    <w:rsid w:val="56113CD1"/>
    <w:rsid w:val="56114ECA"/>
    <w:rsid w:val="56124269"/>
    <w:rsid w:val="561A5A4B"/>
    <w:rsid w:val="561B17C3"/>
    <w:rsid w:val="561B75BA"/>
    <w:rsid w:val="561E2F23"/>
    <w:rsid w:val="56241B6E"/>
    <w:rsid w:val="56255BD6"/>
    <w:rsid w:val="56277161"/>
    <w:rsid w:val="56281202"/>
    <w:rsid w:val="56286CBD"/>
    <w:rsid w:val="562F4620"/>
    <w:rsid w:val="56316E0D"/>
    <w:rsid w:val="56330190"/>
    <w:rsid w:val="563B2783"/>
    <w:rsid w:val="564327ED"/>
    <w:rsid w:val="56476F17"/>
    <w:rsid w:val="564A35BA"/>
    <w:rsid w:val="564C7733"/>
    <w:rsid w:val="564E6F7D"/>
    <w:rsid w:val="5656377F"/>
    <w:rsid w:val="565A2352"/>
    <w:rsid w:val="56621F86"/>
    <w:rsid w:val="56665589"/>
    <w:rsid w:val="56675261"/>
    <w:rsid w:val="566976A8"/>
    <w:rsid w:val="566B160B"/>
    <w:rsid w:val="566B44F9"/>
    <w:rsid w:val="56765862"/>
    <w:rsid w:val="56785F21"/>
    <w:rsid w:val="567D5FDA"/>
    <w:rsid w:val="568B788E"/>
    <w:rsid w:val="569125B4"/>
    <w:rsid w:val="56933A4F"/>
    <w:rsid w:val="56962CE8"/>
    <w:rsid w:val="569C3460"/>
    <w:rsid w:val="56A622A7"/>
    <w:rsid w:val="56AA1497"/>
    <w:rsid w:val="56AF2D88"/>
    <w:rsid w:val="56B13F9A"/>
    <w:rsid w:val="56B22A9C"/>
    <w:rsid w:val="56B915E0"/>
    <w:rsid w:val="56BF18A5"/>
    <w:rsid w:val="56C10FD8"/>
    <w:rsid w:val="56C83B98"/>
    <w:rsid w:val="56CA33E9"/>
    <w:rsid w:val="56CE371A"/>
    <w:rsid w:val="56CF2B90"/>
    <w:rsid w:val="56CF6BBA"/>
    <w:rsid w:val="56D40879"/>
    <w:rsid w:val="56D67BF3"/>
    <w:rsid w:val="56D72B95"/>
    <w:rsid w:val="56D7523E"/>
    <w:rsid w:val="56D92DB7"/>
    <w:rsid w:val="56DD7C1B"/>
    <w:rsid w:val="56DE408B"/>
    <w:rsid w:val="56DF5EAF"/>
    <w:rsid w:val="56E21B84"/>
    <w:rsid w:val="56E31036"/>
    <w:rsid w:val="56EF75A1"/>
    <w:rsid w:val="56F02B87"/>
    <w:rsid w:val="56F51D2D"/>
    <w:rsid w:val="5702347C"/>
    <w:rsid w:val="5704007F"/>
    <w:rsid w:val="57062F20"/>
    <w:rsid w:val="57092B4C"/>
    <w:rsid w:val="570B0F30"/>
    <w:rsid w:val="570B1B3F"/>
    <w:rsid w:val="570D36D4"/>
    <w:rsid w:val="571E1D1F"/>
    <w:rsid w:val="571F3FE7"/>
    <w:rsid w:val="572F7EDA"/>
    <w:rsid w:val="57323268"/>
    <w:rsid w:val="573F59E9"/>
    <w:rsid w:val="57437223"/>
    <w:rsid w:val="574D3200"/>
    <w:rsid w:val="57527D32"/>
    <w:rsid w:val="575725B4"/>
    <w:rsid w:val="575D5208"/>
    <w:rsid w:val="5761621F"/>
    <w:rsid w:val="57642D28"/>
    <w:rsid w:val="57644007"/>
    <w:rsid w:val="576553EC"/>
    <w:rsid w:val="576D580A"/>
    <w:rsid w:val="57776B36"/>
    <w:rsid w:val="577C6003"/>
    <w:rsid w:val="577F28DC"/>
    <w:rsid w:val="57801B2E"/>
    <w:rsid w:val="57811AFA"/>
    <w:rsid w:val="578673A5"/>
    <w:rsid w:val="578B7FEC"/>
    <w:rsid w:val="578C1657"/>
    <w:rsid w:val="57923D07"/>
    <w:rsid w:val="579F3F38"/>
    <w:rsid w:val="57A367E6"/>
    <w:rsid w:val="57A9177C"/>
    <w:rsid w:val="57B72A76"/>
    <w:rsid w:val="57BD1BFA"/>
    <w:rsid w:val="57C3426C"/>
    <w:rsid w:val="57CE1F93"/>
    <w:rsid w:val="57D46895"/>
    <w:rsid w:val="57DC4BD0"/>
    <w:rsid w:val="57E21F4D"/>
    <w:rsid w:val="57F22C95"/>
    <w:rsid w:val="57FE2024"/>
    <w:rsid w:val="57FF46A2"/>
    <w:rsid w:val="580249E9"/>
    <w:rsid w:val="580632FE"/>
    <w:rsid w:val="5806514E"/>
    <w:rsid w:val="58076C30"/>
    <w:rsid w:val="5807766A"/>
    <w:rsid w:val="5808472D"/>
    <w:rsid w:val="580B27EF"/>
    <w:rsid w:val="580F5357"/>
    <w:rsid w:val="581835F2"/>
    <w:rsid w:val="581C0310"/>
    <w:rsid w:val="581C7B73"/>
    <w:rsid w:val="581F1A3E"/>
    <w:rsid w:val="581F39A1"/>
    <w:rsid w:val="5821319B"/>
    <w:rsid w:val="5821763B"/>
    <w:rsid w:val="58235DB2"/>
    <w:rsid w:val="58242D5F"/>
    <w:rsid w:val="582B7EFF"/>
    <w:rsid w:val="582C5138"/>
    <w:rsid w:val="582E77AD"/>
    <w:rsid w:val="58323FC8"/>
    <w:rsid w:val="583D5CD1"/>
    <w:rsid w:val="58405613"/>
    <w:rsid w:val="584059D4"/>
    <w:rsid w:val="584314D8"/>
    <w:rsid w:val="58443253"/>
    <w:rsid w:val="58454666"/>
    <w:rsid w:val="58480766"/>
    <w:rsid w:val="584A209E"/>
    <w:rsid w:val="584B23C8"/>
    <w:rsid w:val="584B4521"/>
    <w:rsid w:val="584F652C"/>
    <w:rsid w:val="58515970"/>
    <w:rsid w:val="58530A32"/>
    <w:rsid w:val="58532BA9"/>
    <w:rsid w:val="58547288"/>
    <w:rsid w:val="58565A08"/>
    <w:rsid w:val="58580904"/>
    <w:rsid w:val="58597370"/>
    <w:rsid w:val="585F008D"/>
    <w:rsid w:val="58680FEC"/>
    <w:rsid w:val="586E6522"/>
    <w:rsid w:val="586F44B8"/>
    <w:rsid w:val="587126C2"/>
    <w:rsid w:val="587451AB"/>
    <w:rsid w:val="587E4B22"/>
    <w:rsid w:val="58807673"/>
    <w:rsid w:val="588743D1"/>
    <w:rsid w:val="5887701A"/>
    <w:rsid w:val="588C0912"/>
    <w:rsid w:val="58A837E2"/>
    <w:rsid w:val="58A927FC"/>
    <w:rsid w:val="58A94887"/>
    <w:rsid w:val="58AC5DEC"/>
    <w:rsid w:val="58B078F9"/>
    <w:rsid w:val="58B137FF"/>
    <w:rsid w:val="58C53294"/>
    <w:rsid w:val="58C56272"/>
    <w:rsid w:val="58D0385C"/>
    <w:rsid w:val="58D345D7"/>
    <w:rsid w:val="58D353AC"/>
    <w:rsid w:val="58D61143"/>
    <w:rsid w:val="58DB7524"/>
    <w:rsid w:val="58DD0FB2"/>
    <w:rsid w:val="58E01492"/>
    <w:rsid w:val="58E2396F"/>
    <w:rsid w:val="58E3583C"/>
    <w:rsid w:val="58E539E2"/>
    <w:rsid w:val="58E660B8"/>
    <w:rsid w:val="58F008E1"/>
    <w:rsid w:val="58F341C9"/>
    <w:rsid w:val="58FA112F"/>
    <w:rsid w:val="58FD6F98"/>
    <w:rsid w:val="59016CFA"/>
    <w:rsid w:val="5907300F"/>
    <w:rsid w:val="5908364F"/>
    <w:rsid w:val="59091DA7"/>
    <w:rsid w:val="590C3326"/>
    <w:rsid w:val="591B0F3F"/>
    <w:rsid w:val="591B7175"/>
    <w:rsid w:val="592175C0"/>
    <w:rsid w:val="59264AE8"/>
    <w:rsid w:val="59266A23"/>
    <w:rsid w:val="59290CF8"/>
    <w:rsid w:val="592A535C"/>
    <w:rsid w:val="592D3386"/>
    <w:rsid w:val="592D6BEC"/>
    <w:rsid w:val="59316E36"/>
    <w:rsid w:val="59323AD8"/>
    <w:rsid w:val="5933531A"/>
    <w:rsid w:val="5934562A"/>
    <w:rsid w:val="5942059A"/>
    <w:rsid w:val="59454A2E"/>
    <w:rsid w:val="59461291"/>
    <w:rsid w:val="59484FC5"/>
    <w:rsid w:val="59493423"/>
    <w:rsid w:val="594A3F09"/>
    <w:rsid w:val="595B1EA0"/>
    <w:rsid w:val="59622EAD"/>
    <w:rsid w:val="5965464B"/>
    <w:rsid w:val="596A3252"/>
    <w:rsid w:val="5970735D"/>
    <w:rsid w:val="59714795"/>
    <w:rsid w:val="59740802"/>
    <w:rsid w:val="597C3E3D"/>
    <w:rsid w:val="59862E13"/>
    <w:rsid w:val="598E0EA3"/>
    <w:rsid w:val="598E2EC4"/>
    <w:rsid w:val="598F512F"/>
    <w:rsid w:val="599544EA"/>
    <w:rsid w:val="59A10231"/>
    <w:rsid w:val="59A3590F"/>
    <w:rsid w:val="59A4560F"/>
    <w:rsid w:val="59A7447E"/>
    <w:rsid w:val="59A90606"/>
    <w:rsid w:val="59A906F7"/>
    <w:rsid w:val="59AD4EE0"/>
    <w:rsid w:val="59AE148D"/>
    <w:rsid w:val="59B438D7"/>
    <w:rsid w:val="59B44CBE"/>
    <w:rsid w:val="59C0439F"/>
    <w:rsid w:val="59C53F20"/>
    <w:rsid w:val="59CA6DFB"/>
    <w:rsid w:val="59CB789F"/>
    <w:rsid w:val="59D2307B"/>
    <w:rsid w:val="59D44289"/>
    <w:rsid w:val="59DB08F8"/>
    <w:rsid w:val="59EC0167"/>
    <w:rsid w:val="59F20051"/>
    <w:rsid w:val="59F24D5D"/>
    <w:rsid w:val="59F576C8"/>
    <w:rsid w:val="5A00226E"/>
    <w:rsid w:val="5A0B53D6"/>
    <w:rsid w:val="5A0D45B5"/>
    <w:rsid w:val="5A0D5883"/>
    <w:rsid w:val="5A0D5CD9"/>
    <w:rsid w:val="5A1C56DE"/>
    <w:rsid w:val="5A3115B5"/>
    <w:rsid w:val="5A457790"/>
    <w:rsid w:val="5A461041"/>
    <w:rsid w:val="5A4A27C6"/>
    <w:rsid w:val="5A504751"/>
    <w:rsid w:val="5A6B5DFA"/>
    <w:rsid w:val="5A6F2BFF"/>
    <w:rsid w:val="5A70032F"/>
    <w:rsid w:val="5A720E04"/>
    <w:rsid w:val="5A7277CE"/>
    <w:rsid w:val="5A7851C8"/>
    <w:rsid w:val="5A7A3D46"/>
    <w:rsid w:val="5A7C53C0"/>
    <w:rsid w:val="5A804797"/>
    <w:rsid w:val="5A80593D"/>
    <w:rsid w:val="5A871F89"/>
    <w:rsid w:val="5A955FE8"/>
    <w:rsid w:val="5A9962B3"/>
    <w:rsid w:val="5A9B227E"/>
    <w:rsid w:val="5A9D2064"/>
    <w:rsid w:val="5A9F1143"/>
    <w:rsid w:val="5AA56E35"/>
    <w:rsid w:val="5AA73367"/>
    <w:rsid w:val="5AAA3B2D"/>
    <w:rsid w:val="5AAB0390"/>
    <w:rsid w:val="5AB77A10"/>
    <w:rsid w:val="5AB85599"/>
    <w:rsid w:val="5AB86AB9"/>
    <w:rsid w:val="5ABD0A21"/>
    <w:rsid w:val="5ABE007C"/>
    <w:rsid w:val="5ABE2233"/>
    <w:rsid w:val="5AC34C42"/>
    <w:rsid w:val="5AC602FD"/>
    <w:rsid w:val="5ACC27AD"/>
    <w:rsid w:val="5AD57C98"/>
    <w:rsid w:val="5AD703AE"/>
    <w:rsid w:val="5AE0479A"/>
    <w:rsid w:val="5AEB283D"/>
    <w:rsid w:val="5AED4347"/>
    <w:rsid w:val="5AEF0F10"/>
    <w:rsid w:val="5AF74402"/>
    <w:rsid w:val="5AF835E7"/>
    <w:rsid w:val="5AF844D9"/>
    <w:rsid w:val="5B01196C"/>
    <w:rsid w:val="5B022E25"/>
    <w:rsid w:val="5B030F60"/>
    <w:rsid w:val="5B106A69"/>
    <w:rsid w:val="5B1614AD"/>
    <w:rsid w:val="5B176C7D"/>
    <w:rsid w:val="5B285F3E"/>
    <w:rsid w:val="5B2E4F25"/>
    <w:rsid w:val="5B307ABF"/>
    <w:rsid w:val="5B327C2A"/>
    <w:rsid w:val="5B353427"/>
    <w:rsid w:val="5B3550D5"/>
    <w:rsid w:val="5B390447"/>
    <w:rsid w:val="5B3E2883"/>
    <w:rsid w:val="5B442500"/>
    <w:rsid w:val="5B4965EE"/>
    <w:rsid w:val="5B4C1585"/>
    <w:rsid w:val="5B4F43E9"/>
    <w:rsid w:val="5B571B29"/>
    <w:rsid w:val="5B584B67"/>
    <w:rsid w:val="5B5960F9"/>
    <w:rsid w:val="5B5A5E80"/>
    <w:rsid w:val="5B5F40D8"/>
    <w:rsid w:val="5B615ECA"/>
    <w:rsid w:val="5B6278D7"/>
    <w:rsid w:val="5B6836FC"/>
    <w:rsid w:val="5B6E05EB"/>
    <w:rsid w:val="5B75654B"/>
    <w:rsid w:val="5B765781"/>
    <w:rsid w:val="5B8B3026"/>
    <w:rsid w:val="5B8C73EB"/>
    <w:rsid w:val="5B935C57"/>
    <w:rsid w:val="5B987C69"/>
    <w:rsid w:val="5B9C0F24"/>
    <w:rsid w:val="5B9F4DCD"/>
    <w:rsid w:val="5BA02E33"/>
    <w:rsid w:val="5BA41A09"/>
    <w:rsid w:val="5BBA1970"/>
    <w:rsid w:val="5BBC5E25"/>
    <w:rsid w:val="5BC4185F"/>
    <w:rsid w:val="5BCD17B1"/>
    <w:rsid w:val="5BD05D74"/>
    <w:rsid w:val="5BD95E47"/>
    <w:rsid w:val="5BDA390E"/>
    <w:rsid w:val="5BDF5D95"/>
    <w:rsid w:val="5BE249A9"/>
    <w:rsid w:val="5BF12BFB"/>
    <w:rsid w:val="5BF26C79"/>
    <w:rsid w:val="5BF60905"/>
    <w:rsid w:val="5BF82DC2"/>
    <w:rsid w:val="5BFC0CBA"/>
    <w:rsid w:val="5BFE7528"/>
    <w:rsid w:val="5BFF5E2D"/>
    <w:rsid w:val="5C02145B"/>
    <w:rsid w:val="5C0839D6"/>
    <w:rsid w:val="5C0A47B4"/>
    <w:rsid w:val="5C1A17C7"/>
    <w:rsid w:val="5C21608A"/>
    <w:rsid w:val="5C2C2846"/>
    <w:rsid w:val="5C2E213C"/>
    <w:rsid w:val="5C2F421A"/>
    <w:rsid w:val="5C36646C"/>
    <w:rsid w:val="5C3777CE"/>
    <w:rsid w:val="5C40682D"/>
    <w:rsid w:val="5C443FE5"/>
    <w:rsid w:val="5C4D49F5"/>
    <w:rsid w:val="5C572CA5"/>
    <w:rsid w:val="5C5D3A0F"/>
    <w:rsid w:val="5C662A50"/>
    <w:rsid w:val="5C6B6A9A"/>
    <w:rsid w:val="5C6D0AED"/>
    <w:rsid w:val="5C704EFF"/>
    <w:rsid w:val="5C746AD2"/>
    <w:rsid w:val="5C761E49"/>
    <w:rsid w:val="5C77698D"/>
    <w:rsid w:val="5C830158"/>
    <w:rsid w:val="5C841C8D"/>
    <w:rsid w:val="5C855BE8"/>
    <w:rsid w:val="5C875BF3"/>
    <w:rsid w:val="5C891B7C"/>
    <w:rsid w:val="5C8B077E"/>
    <w:rsid w:val="5C8F0D5D"/>
    <w:rsid w:val="5C964416"/>
    <w:rsid w:val="5C9A6288"/>
    <w:rsid w:val="5C9C573A"/>
    <w:rsid w:val="5CA47BCA"/>
    <w:rsid w:val="5CA84CA1"/>
    <w:rsid w:val="5CAD74AC"/>
    <w:rsid w:val="5CAE3391"/>
    <w:rsid w:val="5CB324DC"/>
    <w:rsid w:val="5CB43358"/>
    <w:rsid w:val="5CB5716A"/>
    <w:rsid w:val="5CC5156B"/>
    <w:rsid w:val="5CC5528E"/>
    <w:rsid w:val="5CC73C35"/>
    <w:rsid w:val="5CC75939"/>
    <w:rsid w:val="5CD24288"/>
    <w:rsid w:val="5CD80184"/>
    <w:rsid w:val="5CDA00AB"/>
    <w:rsid w:val="5CE15514"/>
    <w:rsid w:val="5CE164E4"/>
    <w:rsid w:val="5CE567ED"/>
    <w:rsid w:val="5CE866B1"/>
    <w:rsid w:val="5CEB0141"/>
    <w:rsid w:val="5CEC7FC8"/>
    <w:rsid w:val="5CF1297E"/>
    <w:rsid w:val="5CF24480"/>
    <w:rsid w:val="5CF3298A"/>
    <w:rsid w:val="5CF53073"/>
    <w:rsid w:val="5CF76AE6"/>
    <w:rsid w:val="5D057CC7"/>
    <w:rsid w:val="5D066D29"/>
    <w:rsid w:val="5D094CE6"/>
    <w:rsid w:val="5D1659CC"/>
    <w:rsid w:val="5D21430C"/>
    <w:rsid w:val="5D2607C8"/>
    <w:rsid w:val="5D264F2A"/>
    <w:rsid w:val="5D271A78"/>
    <w:rsid w:val="5D365513"/>
    <w:rsid w:val="5D387759"/>
    <w:rsid w:val="5D3C2082"/>
    <w:rsid w:val="5D4254F3"/>
    <w:rsid w:val="5D475811"/>
    <w:rsid w:val="5D4817A1"/>
    <w:rsid w:val="5D653134"/>
    <w:rsid w:val="5D680A7D"/>
    <w:rsid w:val="5D693A41"/>
    <w:rsid w:val="5D6F05FE"/>
    <w:rsid w:val="5D711D77"/>
    <w:rsid w:val="5D73787D"/>
    <w:rsid w:val="5D754247"/>
    <w:rsid w:val="5D782A87"/>
    <w:rsid w:val="5D7A2749"/>
    <w:rsid w:val="5D7D4E4B"/>
    <w:rsid w:val="5D8068A9"/>
    <w:rsid w:val="5D831B92"/>
    <w:rsid w:val="5D837B55"/>
    <w:rsid w:val="5D8A4156"/>
    <w:rsid w:val="5D8B7452"/>
    <w:rsid w:val="5D936735"/>
    <w:rsid w:val="5D983A45"/>
    <w:rsid w:val="5D9970E0"/>
    <w:rsid w:val="5D9A4C0E"/>
    <w:rsid w:val="5DA13D24"/>
    <w:rsid w:val="5DA947A9"/>
    <w:rsid w:val="5DA960D8"/>
    <w:rsid w:val="5DAE407C"/>
    <w:rsid w:val="5DAF73C1"/>
    <w:rsid w:val="5DB6074F"/>
    <w:rsid w:val="5DBF14A0"/>
    <w:rsid w:val="5DC07D4F"/>
    <w:rsid w:val="5DC12289"/>
    <w:rsid w:val="5DC16D86"/>
    <w:rsid w:val="5DC41AD2"/>
    <w:rsid w:val="5DC7410E"/>
    <w:rsid w:val="5DC7688B"/>
    <w:rsid w:val="5DCE69B7"/>
    <w:rsid w:val="5DDE74F3"/>
    <w:rsid w:val="5DEB53D4"/>
    <w:rsid w:val="5DF60984"/>
    <w:rsid w:val="5DFA43A4"/>
    <w:rsid w:val="5DFF63AD"/>
    <w:rsid w:val="5E015953"/>
    <w:rsid w:val="5E043CCE"/>
    <w:rsid w:val="5E087375"/>
    <w:rsid w:val="5E1F76E6"/>
    <w:rsid w:val="5E2467F1"/>
    <w:rsid w:val="5E2E7415"/>
    <w:rsid w:val="5E316028"/>
    <w:rsid w:val="5E3C3851"/>
    <w:rsid w:val="5E420235"/>
    <w:rsid w:val="5E421FE3"/>
    <w:rsid w:val="5E434DE3"/>
    <w:rsid w:val="5E4660A9"/>
    <w:rsid w:val="5E491494"/>
    <w:rsid w:val="5E4E744C"/>
    <w:rsid w:val="5E4F5296"/>
    <w:rsid w:val="5E571D72"/>
    <w:rsid w:val="5E626662"/>
    <w:rsid w:val="5E6C64BA"/>
    <w:rsid w:val="5E6E5DD6"/>
    <w:rsid w:val="5E6F0AF5"/>
    <w:rsid w:val="5E7128C8"/>
    <w:rsid w:val="5E716856"/>
    <w:rsid w:val="5E7334D2"/>
    <w:rsid w:val="5E74094E"/>
    <w:rsid w:val="5E78532A"/>
    <w:rsid w:val="5E791963"/>
    <w:rsid w:val="5E877177"/>
    <w:rsid w:val="5E896147"/>
    <w:rsid w:val="5E8C398F"/>
    <w:rsid w:val="5E8F2B65"/>
    <w:rsid w:val="5E970DC6"/>
    <w:rsid w:val="5EA05BE0"/>
    <w:rsid w:val="5EA2178D"/>
    <w:rsid w:val="5EA6618C"/>
    <w:rsid w:val="5EAE131B"/>
    <w:rsid w:val="5EB02F04"/>
    <w:rsid w:val="5EB51AEE"/>
    <w:rsid w:val="5EB5298C"/>
    <w:rsid w:val="5EB91AB5"/>
    <w:rsid w:val="5EBF6259"/>
    <w:rsid w:val="5EC109CB"/>
    <w:rsid w:val="5EC203B4"/>
    <w:rsid w:val="5EC63FD6"/>
    <w:rsid w:val="5ECB022A"/>
    <w:rsid w:val="5ECD6898"/>
    <w:rsid w:val="5ED750FB"/>
    <w:rsid w:val="5ED903A7"/>
    <w:rsid w:val="5ED95A80"/>
    <w:rsid w:val="5EE32AB3"/>
    <w:rsid w:val="5EE4616A"/>
    <w:rsid w:val="5F02557F"/>
    <w:rsid w:val="5F025F9B"/>
    <w:rsid w:val="5F0370BB"/>
    <w:rsid w:val="5F037298"/>
    <w:rsid w:val="5F0A05BF"/>
    <w:rsid w:val="5F0D692F"/>
    <w:rsid w:val="5F1911FB"/>
    <w:rsid w:val="5F193181"/>
    <w:rsid w:val="5F1A2B43"/>
    <w:rsid w:val="5F206BA6"/>
    <w:rsid w:val="5F2A342A"/>
    <w:rsid w:val="5F2C5420"/>
    <w:rsid w:val="5F2D33BC"/>
    <w:rsid w:val="5F36141C"/>
    <w:rsid w:val="5F3D0D4B"/>
    <w:rsid w:val="5F3F4C59"/>
    <w:rsid w:val="5F4229CA"/>
    <w:rsid w:val="5F483DAE"/>
    <w:rsid w:val="5F4A7B93"/>
    <w:rsid w:val="5F4F61D2"/>
    <w:rsid w:val="5F526426"/>
    <w:rsid w:val="5F605F1D"/>
    <w:rsid w:val="5F61098B"/>
    <w:rsid w:val="5F637F7D"/>
    <w:rsid w:val="5F667998"/>
    <w:rsid w:val="5F712636"/>
    <w:rsid w:val="5F733FBE"/>
    <w:rsid w:val="5F7A015B"/>
    <w:rsid w:val="5F80495C"/>
    <w:rsid w:val="5F805993"/>
    <w:rsid w:val="5F8542D3"/>
    <w:rsid w:val="5F8B47E9"/>
    <w:rsid w:val="5F8E46D7"/>
    <w:rsid w:val="5F8E658E"/>
    <w:rsid w:val="5F9D1799"/>
    <w:rsid w:val="5FA85BD2"/>
    <w:rsid w:val="5FAA2FD1"/>
    <w:rsid w:val="5FAC45CA"/>
    <w:rsid w:val="5FAF7569"/>
    <w:rsid w:val="5FB07420"/>
    <w:rsid w:val="5FB4373F"/>
    <w:rsid w:val="5FB52175"/>
    <w:rsid w:val="5FB837BB"/>
    <w:rsid w:val="5FBA1CFE"/>
    <w:rsid w:val="5FCB02B4"/>
    <w:rsid w:val="5FD11735"/>
    <w:rsid w:val="5FDE2BB8"/>
    <w:rsid w:val="5FE222C8"/>
    <w:rsid w:val="5FE46B21"/>
    <w:rsid w:val="5FE748DE"/>
    <w:rsid w:val="5FEA25DF"/>
    <w:rsid w:val="5FEC77CE"/>
    <w:rsid w:val="5FEE2CB5"/>
    <w:rsid w:val="5FEF7153"/>
    <w:rsid w:val="5FF03CC1"/>
    <w:rsid w:val="5FF42D14"/>
    <w:rsid w:val="5FF52A4D"/>
    <w:rsid w:val="5FFC7DC5"/>
    <w:rsid w:val="5FFD133A"/>
    <w:rsid w:val="60031C46"/>
    <w:rsid w:val="60031EAA"/>
    <w:rsid w:val="601432CD"/>
    <w:rsid w:val="60162541"/>
    <w:rsid w:val="6017749F"/>
    <w:rsid w:val="60184FBD"/>
    <w:rsid w:val="602312B5"/>
    <w:rsid w:val="602328DB"/>
    <w:rsid w:val="60253FD1"/>
    <w:rsid w:val="602E3F21"/>
    <w:rsid w:val="6030735A"/>
    <w:rsid w:val="60315F8F"/>
    <w:rsid w:val="60343809"/>
    <w:rsid w:val="603645F3"/>
    <w:rsid w:val="603E7474"/>
    <w:rsid w:val="6045539A"/>
    <w:rsid w:val="604A41F3"/>
    <w:rsid w:val="604B0A43"/>
    <w:rsid w:val="60512DA2"/>
    <w:rsid w:val="60595909"/>
    <w:rsid w:val="605B678F"/>
    <w:rsid w:val="605E1196"/>
    <w:rsid w:val="605F0071"/>
    <w:rsid w:val="60615E0C"/>
    <w:rsid w:val="606165F5"/>
    <w:rsid w:val="606E16ED"/>
    <w:rsid w:val="6074656A"/>
    <w:rsid w:val="60776B60"/>
    <w:rsid w:val="607A1873"/>
    <w:rsid w:val="607C2503"/>
    <w:rsid w:val="607F731F"/>
    <w:rsid w:val="60871698"/>
    <w:rsid w:val="6089556A"/>
    <w:rsid w:val="608A17F0"/>
    <w:rsid w:val="608B4951"/>
    <w:rsid w:val="6090078B"/>
    <w:rsid w:val="60A030DD"/>
    <w:rsid w:val="60AB5CD4"/>
    <w:rsid w:val="60AD709D"/>
    <w:rsid w:val="60AD730C"/>
    <w:rsid w:val="60BB7976"/>
    <w:rsid w:val="60BC31DE"/>
    <w:rsid w:val="60CC405A"/>
    <w:rsid w:val="60CC7840"/>
    <w:rsid w:val="60CD4247"/>
    <w:rsid w:val="60CF1FB5"/>
    <w:rsid w:val="60D20857"/>
    <w:rsid w:val="60D4713E"/>
    <w:rsid w:val="60D64C94"/>
    <w:rsid w:val="60DB620E"/>
    <w:rsid w:val="60EA4280"/>
    <w:rsid w:val="60EB2357"/>
    <w:rsid w:val="60F01BE3"/>
    <w:rsid w:val="60F3552A"/>
    <w:rsid w:val="60F5158E"/>
    <w:rsid w:val="60F65C09"/>
    <w:rsid w:val="61011155"/>
    <w:rsid w:val="61042423"/>
    <w:rsid w:val="610830D8"/>
    <w:rsid w:val="61090DCA"/>
    <w:rsid w:val="610A1B59"/>
    <w:rsid w:val="611024DF"/>
    <w:rsid w:val="61111659"/>
    <w:rsid w:val="61122B5C"/>
    <w:rsid w:val="611244B7"/>
    <w:rsid w:val="61144D82"/>
    <w:rsid w:val="6117416F"/>
    <w:rsid w:val="611C241C"/>
    <w:rsid w:val="612570EF"/>
    <w:rsid w:val="61355E2F"/>
    <w:rsid w:val="61363955"/>
    <w:rsid w:val="613761A4"/>
    <w:rsid w:val="61386D43"/>
    <w:rsid w:val="613B36E7"/>
    <w:rsid w:val="61442516"/>
    <w:rsid w:val="614668E5"/>
    <w:rsid w:val="614A0F39"/>
    <w:rsid w:val="614C14DA"/>
    <w:rsid w:val="614C57DC"/>
    <w:rsid w:val="614E6CF3"/>
    <w:rsid w:val="61532732"/>
    <w:rsid w:val="61586EC4"/>
    <w:rsid w:val="615946F0"/>
    <w:rsid w:val="616B76B3"/>
    <w:rsid w:val="616C070D"/>
    <w:rsid w:val="616E5CB7"/>
    <w:rsid w:val="61795C39"/>
    <w:rsid w:val="617A1A94"/>
    <w:rsid w:val="617B5980"/>
    <w:rsid w:val="617B65FC"/>
    <w:rsid w:val="617E4083"/>
    <w:rsid w:val="61844A4B"/>
    <w:rsid w:val="61873C5A"/>
    <w:rsid w:val="618C512D"/>
    <w:rsid w:val="618E5199"/>
    <w:rsid w:val="61926C4E"/>
    <w:rsid w:val="619524DE"/>
    <w:rsid w:val="61956C6C"/>
    <w:rsid w:val="61985D12"/>
    <w:rsid w:val="619B5E49"/>
    <w:rsid w:val="61A66D2D"/>
    <w:rsid w:val="61A955EC"/>
    <w:rsid w:val="61AA6976"/>
    <w:rsid w:val="61AC29D7"/>
    <w:rsid w:val="61BB2FD4"/>
    <w:rsid w:val="61C01FE6"/>
    <w:rsid w:val="61C143CF"/>
    <w:rsid w:val="61C64C53"/>
    <w:rsid w:val="61C9790E"/>
    <w:rsid w:val="61CE63F3"/>
    <w:rsid w:val="61DF2D23"/>
    <w:rsid w:val="61E10188"/>
    <w:rsid w:val="61E138C1"/>
    <w:rsid w:val="61E1525F"/>
    <w:rsid w:val="61E215D8"/>
    <w:rsid w:val="61E4459E"/>
    <w:rsid w:val="61E514E0"/>
    <w:rsid w:val="61E55EF9"/>
    <w:rsid w:val="61F637EF"/>
    <w:rsid w:val="61F66C82"/>
    <w:rsid w:val="61F73042"/>
    <w:rsid w:val="61FA4400"/>
    <w:rsid w:val="62062C47"/>
    <w:rsid w:val="620D6237"/>
    <w:rsid w:val="62143FB7"/>
    <w:rsid w:val="6217276C"/>
    <w:rsid w:val="621B3775"/>
    <w:rsid w:val="62206ADF"/>
    <w:rsid w:val="62210161"/>
    <w:rsid w:val="62251873"/>
    <w:rsid w:val="62304B86"/>
    <w:rsid w:val="62314869"/>
    <w:rsid w:val="62331BFD"/>
    <w:rsid w:val="62364782"/>
    <w:rsid w:val="6237626E"/>
    <w:rsid w:val="624200BD"/>
    <w:rsid w:val="62451FC6"/>
    <w:rsid w:val="6247056C"/>
    <w:rsid w:val="624F6F55"/>
    <w:rsid w:val="62620DC7"/>
    <w:rsid w:val="626A3CC4"/>
    <w:rsid w:val="626C35F6"/>
    <w:rsid w:val="626F5926"/>
    <w:rsid w:val="626F5CAE"/>
    <w:rsid w:val="62701226"/>
    <w:rsid w:val="627C19BE"/>
    <w:rsid w:val="62845E45"/>
    <w:rsid w:val="628537FE"/>
    <w:rsid w:val="6289680A"/>
    <w:rsid w:val="628C3FBF"/>
    <w:rsid w:val="628E4A29"/>
    <w:rsid w:val="62945DFB"/>
    <w:rsid w:val="62952907"/>
    <w:rsid w:val="62981816"/>
    <w:rsid w:val="629D5A41"/>
    <w:rsid w:val="62A41E66"/>
    <w:rsid w:val="62AA6C2C"/>
    <w:rsid w:val="62AC201D"/>
    <w:rsid w:val="62AC642E"/>
    <w:rsid w:val="62B0387F"/>
    <w:rsid w:val="62B05555"/>
    <w:rsid w:val="62B341DC"/>
    <w:rsid w:val="62CE090B"/>
    <w:rsid w:val="62CE6972"/>
    <w:rsid w:val="62CF5B62"/>
    <w:rsid w:val="62D43AA4"/>
    <w:rsid w:val="62D4440C"/>
    <w:rsid w:val="62D90A3C"/>
    <w:rsid w:val="62DA3435"/>
    <w:rsid w:val="62DC149C"/>
    <w:rsid w:val="62DF2184"/>
    <w:rsid w:val="62E7285D"/>
    <w:rsid w:val="62E77EA6"/>
    <w:rsid w:val="62EC5165"/>
    <w:rsid w:val="62F52A5A"/>
    <w:rsid w:val="62F5628C"/>
    <w:rsid w:val="62FD011C"/>
    <w:rsid w:val="6300120B"/>
    <w:rsid w:val="630163B8"/>
    <w:rsid w:val="63016B48"/>
    <w:rsid w:val="6303671D"/>
    <w:rsid w:val="630745E7"/>
    <w:rsid w:val="630879EE"/>
    <w:rsid w:val="630E06E5"/>
    <w:rsid w:val="63113393"/>
    <w:rsid w:val="6311759C"/>
    <w:rsid w:val="631753B4"/>
    <w:rsid w:val="63201620"/>
    <w:rsid w:val="63296426"/>
    <w:rsid w:val="6330152E"/>
    <w:rsid w:val="63325645"/>
    <w:rsid w:val="633273C0"/>
    <w:rsid w:val="633801EE"/>
    <w:rsid w:val="6342496D"/>
    <w:rsid w:val="6348522C"/>
    <w:rsid w:val="6349579F"/>
    <w:rsid w:val="634A1D41"/>
    <w:rsid w:val="634A5515"/>
    <w:rsid w:val="634D3145"/>
    <w:rsid w:val="634F41DC"/>
    <w:rsid w:val="635766B8"/>
    <w:rsid w:val="635F1208"/>
    <w:rsid w:val="636936F0"/>
    <w:rsid w:val="636D6E2F"/>
    <w:rsid w:val="63734125"/>
    <w:rsid w:val="63784350"/>
    <w:rsid w:val="637B3EE6"/>
    <w:rsid w:val="63872A7B"/>
    <w:rsid w:val="638871DC"/>
    <w:rsid w:val="63893957"/>
    <w:rsid w:val="638B59C7"/>
    <w:rsid w:val="6394356A"/>
    <w:rsid w:val="6397077D"/>
    <w:rsid w:val="63985A67"/>
    <w:rsid w:val="639E4A20"/>
    <w:rsid w:val="63AC7EFE"/>
    <w:rsid w:val="63B031B2"/>
    <w:rsid w:val="63B4422E"/>
    <w:rsid w:val="63B95028"/>
    <w:rsid w:val="63C1738D"/>
    <w:rsid w:val="63C5085E"/>
    <w:rsid w:val="63C61B2C"/>
    <w:rsid w:val="63CA6C14"/>
    <w:rsid w:val="63CE4319"/>
    <w:rsid w:val="63D1386D"/>
    <w:rsid w:val="63D17A2D"/>
    <w:rsid w:val="63D40BE9"/>
    <w:rsid w:val="63E678B4"/>
    <w:rsid w:val="6403333A"/>
    <w:rsid w:val="640970FF"/>
    <w:rsid w:val="640A2B7E"/>
    <w:rsid w:val="640C61C8"/>
    <w:rsid w:val="640D7179"/>
    <w:rsid w:val="640E3ECC"/>
    <w:rsid w:val="640F3292"/>
    <w:rsid w:val="64102431"/>
    <w:rsid w:val="64137EA3"/>
    <w:rsid w:val="641B2C5F"/>
    <w:rsid w:val="64206FA8"/>
    <w:rsid w:val="643B2F5A"/>
    <w:rsid w:val="643E3357"/>
    <w:rsid w:val="64444C55"/>
    <w:rsid w:val="64504D02"/>
    <w:rsid w:val="64583FF0"/>
    <w:rsid w:val="645A5BAC"/>
    <w:rsid w:val="645C2EE8"/>
    <w:rsid w:val="645E569D"/>
    <w:rsid w:val="64603772"/>
    <w:rsid w:val="6460451B"/>
    <w:rsid w:val="6464128C"/>
    <w:rsid w:val="64655EBD"/>
    <w:rsid w:val="64693552"/>
    <w:rsid w:val="647755EA"/>
    <w:rsid w:val="647A264F"/>
    <w:rsid w:val="647D0A77"/>
    <w:rsid w:val="647E3076"/>
    <w:rsid w:val="6480674B"/>
    <w:rsid w:val="649B7280"/>
    <w:rsid w:val="64A46D92"/>
    <w:rsid w:val="64A5243A"/>
    <w:rsid w:val="64A532CB"/>
    <w:rsid w:val="64A94F4A"/>
    <w:rsid w:val="64AA0801"/>
    <w:rsid w:val="64AB0323"/>
    <w:rsid w:val="64B13472"/>
    <w:rsid w:val="64BD54D9"/>
    <w:rsid w:val="64C1387B"/>
    <w:rsid w:val="64C67EEF"/>
    <w:rsid w:val="64C728E9"/>
    <w:rsid w:val="64D01199"/>
    <w:rsid w:val="64D03483"/>
    <w:rsid w:val="64D62D09"/>
    <w:rsid w:val="64DC346B"/>
    <w:rsid w:val="64EB6E1F"/>
    <w:rsid w:val="64F10D44"/>
    <w:rsid w:val="64F37667"/>
    <w:rsid w:val="64F40407"/>
    <w:rsid w:val="64F45500"/>
    <w:rsid w:val="64F531DE"/>
    <w:rsid w:val="64FB2626"/>
    <w:rsid w:val="64FD0F8F"/>
    <w:rsid w:val="64FD59C7"/>
    <w:rsid w:val="650557E6"/>
    <w:rsid w:val="650A1E73"/>
    <w:rsid w:val="650E6A3A"/>
    <w:rsid w:val="651E6BDA"/>
    <w:rsid w:val="652750B1"/>
    <w:rsid w:val="652C2FD9"/>
    <w:rsid w:val="652E32C1"/>
    <w:rsid w:val="652E6103"/>
    <w:rsid w:val="65302769"/>
    <w:rsid w:val="65314625"/>
    <w:rsid w:val="65320777"/>
    <w:rsid w:val="65373578"/>
    <w:rsid w:val="6539159E"/>
    <w:rsid w:val="6541048B"/>
    <w:rsid w:val="65442AE4"/>
    <w:rsid w:val="65451723"/>
    <w:rsid w:val="65483813"/>
    <w:rsid w:val="65485E58"/>
    <w:rsid w:val="654B276A"/>
    <w:rsid w:val="65560D68"/>
    <w:rsid w:val="655B5869"/>
    <w:rsid w:val="655C600D"/>
    <w:rsid w:val="655F0A1F"/>
    <w:rsid w:val="65600654"/>
    <w:rsid w:val="6561306A"/>
    <w:rsid w:val="65633538"/>
    <w:rsid w:val="65646B2D"/>
    <w:rsid w:val="65680D3E"/>
    <w:rsid w:val="656E1FC2"/>
    <w:rsid w:val="65726156"/>
    <w:rsid w:val="6573107F"/>
    <w:rsid w:val="65731E26"/>
    <w:rsid w:val="65750B6A"/>
    <w:rsid w:val="65755ECE"/>
    <w:rsid w:val="657C0249"/>
    <w:rsid w:val="657C440B"/>
    <w:rsid w:val="657D60C5"/>
    <w:rsid w:val="657F4F88"/>
    <w:rsid w:val="658207D4"/>
    <w:rsid w:val="6588224D"/>
    <w:rsid w:val="658B08D7"/>
    <w:rsid w:val="6593322E"/>
    <w:rsid w:val="65957EFF"/>
    <w:rsid w:val="65997D08"/>
    <w:rsid w:val="65A63523"/>
    <w:rsid w:val="65A65B99"/>
    <w:rsid w:val="65B01F9D"/>
    <w:rsid w:val="65B337C6"/>
    <w:rsid w:val="65BA7CDD"/>
    <w:rsid w:val="65C100C3"/>
    <w:rsid w:val="65C50130"/>
    <w:rsid w:val="65D20EE4"/>
    <w:rsid w:val="65E258A2"/>
    <w:rsid w:val="65E25C22"/>
    <w:rsid w:val="65E57462"/>
    <w:rsid w:val="65E97303"/>
    <w:rsid w:val="65EA4139"/>
    <w:rsid w:val="65EB1BF2"/>
    <w:rsid w:val="65EC1242"/>
    <w:rsid w:val="65F4089C"/>
    <w:rsid w:val="65F5353C"/>
    <w:rsid w:val="65F96913"/>
    <w:rsid w:val="65FA02B6"/>
    <w:rsid w:val="65FD553D"/>
    <w:rsid w:val="660A5ADC"/>
    <w:rsid w:val="661278EB"/>
    <w:rsid w:val="66137672"/>
    <w:rsid w:val="66163982"/>
    <w:rsid w:val="661E48DA"/>
    <w:rsid w:val="662C1ABD"/>
    <w:rsid w:val="662C454A"/>
    <w:rsid w:val="662E6B81"/>
    <w:rsid w:val="662F7580"/>
    <w:rsid w:val="66345E01"/>
    <w:rsid w:val="6635242D"/>
    <w:rsid w:val="66364027"/>
    <w:rsid w:val="663743F7"/>
    <w:rsid w:val="664D0F26"/>
    <w:rsid w:val="66522A53"/>
    <w:rsid w:val="66551381"/>
    <w:rsid w:val="6656415D"/>
    <w:rsid w:val="66591063"/>
    <w:rsid w:val="665D7A6B"/>
    <w:rsid w:val="66627BC3"/>
    <w:rsid w:val="66667C0A"/>
    <w:rsid w:val="666B2F24"/>
    <w:rsid w:val="66782EF4"/>
    <w:rsid w:val="667A2AA0"/>
    <w:rsid w:val="667E6EA5"/>
    <w:rsid w:val="6688235B"/>
    <w:rsid w:val="66912F1A"/>
    <w:rsid w:val="66A444F8"/>
    <w:rsid w:val="66A55805"/>
    <w:rsid w:val="66AF0079"/>
    <w:rsid w:val="66B56B42"/>
    <w:rsid w:val="66B96D30"/>
    <w:rsid w:val="66BA73A0"/>
    <w:rsid w:val="66C11B73"/>
    <w:rsid w:val="66C33EDD"/>
    <w:rsid w:val="66C423B4"/>
    <w:rsid w:val="66C647D2"/>
    <w:rsid w:val="66C769E0"/>
    <w:rsid w:val="66CD682C"/>
    <w:rsid w:val="66CE2142"/>
    <w:rsid w:val="66D048F2"/>
    <w:rsid w:val="66E16563"/>
    <w:rsid w:val="66EA1EFB"/>
    <w:rsid w:val="66EB354F"/>
    <w:rsid w:val="66F14B3A"/>
    <w:rsid w:val="66F72FC5"/>
    <w:rsid w:val="66F92532"/>
    <w:rsid w:val="66FA5AC4"/>
    <w:rsid w:val="66FD4FFA"/>
    <w:rsid w:val="66FF25FA"/>
    <w:rsid w:val="6700676D"/>
    <w:rsid w:val="671119BE"/>
    <w:rsid w:val="67122ACE"/>
    <w:rsid w:val="671A5477"/>
    <w:rsid w:val="671B766F"/>
    <w:rsid w:val="671F124A"/>
    <w:rsid w:val="67222593"/>
    <w:rsid w:val="67232E92"/>
    <w:rsid w:val="67266EE1"/>
    <w:rsid w:val="672C1A82"/>
    <w:rsid w:val="672D21AA"/>
    <w:rsid w:val="672E3114"/>
    <w:rsid w:val="67335397"/>
    <w:rsid w:val="673A7FD7"/>
    <w:rsid w:val="673C2B50"/>
    <w:rsid w:val="673F7A07"/>
    <w:rsid w:val="674C0C6A"/>
    <w:rsid w:val="674D0ECB"/>
    <w:rsid w:val="67512ADA"/>
    <w:rsid w:val="675E4026"/>
    <w:rsid w:val="675E7243"/>
    <w:rsid w:val="67605BBE"/>
    <w:rsid w:val="67611BA3"/>
    <w:rsid w:val="6762403C"/>
    <w:rsid w:val="67691EB8"/>
    <w:rsid w:val="67713939"/>
    <w:rsid w:val="67716A09"/>
    <w:rsid w:val="67747652"/>
    <w:rsid w:val="67762CFD"/>
    <w:rsid w:val="677A33C6"/>
    <w:rsid w:val="677B0CBD"/>
    <w:rsid w:val="678624C7"/>
    <w:rsid w:val="6796339F"/>
    <w:rsid w:val="67975A3D"/>
    <w:rsid w:val="679845EE"/>
    <w:rsid w:val="67A01F98"/>
    <w:rsid w:val="67A54990"/>
    <w:rsid w:val="67AE7B43"/>
    <w:rsid w:val="67B37BBA"/>
    <w:rsid w:val="67B37DFF"/>
    <w:rsid w:val="67B4700C"/>
    <w:rsid w:val="67B73FE0"/>
    <w:rsid w:val="67BF0B10"/>
    <w:rsid w:val="67C1666E"/>
    <w:rsid w:val="67C959A3"/>
    <w:rsid w:val="67CB7BFF"/>
    <w:rsid w:val="67CE5575"/>
    <w:rsid w:val="67D319A6"/>
    <w:rsid w:val="67D839B8"/>
    <w:rsid w:val="67E058FD"/>
    <w:rsid w:val="67E65A94"/>
    <w:rsid w:val="67E80DAE"/>
    <w:rsid w:val="67EF05F5"/>
    <w:rsid w:val="67F43743"/>
    <w:rsid w:val="67FC2CE5"/>
    <w:rsid w:val="67FE226A"/>
    <w:rsid w:val="67FE7D9A"/>
    <w:rsid w:val="680132FA"/>
    <w:rsid w:val="68050BA2"/>
    <w:rsid w:val="680D45DD"/>
    <w:rsid w:val="68130B4F"/>
    <w:rsid w:val="68170118"/>
    <w:rsid w:val="681C5C50"/>
    <w:rsid w:val="681F6961"/>
    <w:rsid w:val="68230DD6"/>
    <w:rsid w:val="682821FC"/>
    <w:rsid w:val="682D13C7"/>
    <w:rsid w:val="68414ABD"/>
    <w:rsid w:val="68442BED"/>
    <w:rsid w:val="68445943"/>
    <w:rsid w:val="684E4225"/>
    <w:rsid w:val="685133F4"/>
    <w:rsid w:val="68535DD6"/>
    <w:rsid w:val="68546D55"/>
    <w:rsid w:val="68564DCF"/>
    <w:rsid w:val="685F725D"/>
    <w:rsid w:val="68601E6A"/>
    <w:rsid w:val="68610A2F"/>
    <w:rsid w:val="68635CE9"/>
    <w:rsid w:val="686552AA"/>
    <w:rsid w:val="68685A9D"/>
    <w:rsid w:val="68701036"/>
    <w:rsid w:val="68774987"/>
    <w:rsid w:val="68781C2A"/>
    <w:rsid w:val="68783B60"/>
    <w:rsid w:val="687E5B8B"/>
    <w:rsid w:val="68805514"/>
    <w:rsid w:val="68822784"/>
    <w:rsid w:val="688B5327"/>
    <w:rsid w:val="68925D7D"/>
    <w:rsid w:val="68964DB0"/>
    <w:rsid w:val="689A6BC9"/>
    <w:rsid w:val="68B43FB0"/>
    <w:rsid w:val="68B743DE"/>
    <w:rsid w:val="68BA1E86"/>
    <w:rsid w:val="68BD222E"/>
    <w:rsid w:val="68C13F5B"/>
    <w:rsid w:val="68C3732E"/>
    <w:rsid w:val="68CA6763"/>
    <w:rsid w:val="68D3413E"/>
    <w:rsid w:val="68D47F33"/>
    <w:rsid w:val="68D75FBB"/>
    <w:rsid w:val="68D777CC"/>
    <w:rsid w:val="68DC6211"/>
    <w:rsid w:val="68F4697D"/>
    <w:rsid w:val="68F61680"/>
    <w:rsid w:val="68FB3F22"/>
    <w:rsid w:val="68FC23C8"/>
    <w:rsid w:val="69004A02"/>
    <w:rsid w:val="69013DC1"/>
    <w:rsid w:val="690636D5"/>
    <w:rsid w:val="690668AB"/>
    <w:rsid w:val="69073191"/>
    <w:rsid w:val="6909549A"/>
    <w:rsid w:val="690D391A"/>
    <w:rsid w:val="691A2BD4"/>
    <w:rsid w:val="691B2497"/>
    <w:rsid w:val="691B6374"/>
    <w:rsid w:val="691C10A2"/>
    <w:rsid w:val="692313CC"/>
    <w:rsid w:val="69274C15"/>
    <w:rsid w:val="69290BBA"/>
    <w:rsid w:val="692C3FBB"/>
    <w:rsid w:val="69316E2F"/>
    <w:rsid w:val="69355377"/>
    <w:rsid w:val="69373FA5"/>
    <w:rsid w:val="69447743"/>
    <w:rsid w:val="69455E9E"/>
    <w:rsid w:val="6949358E"/>
    <w:rsid w:val="694C4B16"/>
    <w:rsid w:val="694E2071"/>
    <w:rsid w:val="6956360C"/>
    <w:rsid w:val="695A24E6"/>
    <w:rsid w:val="695D6A36"/>
    <w:rsid w:val="696074BF"/>
    <w:rsid w:val="69644E17"/>
    <w:rsid w:val="696C213D"/>
    <w:rsid w:val="696C3C09"/>
    <w:rsid w:val="696F5C56"/>
    <w:rsid w:val="69715E72"/>
    <w:rsid w:val="69716A8A"/>
    <w:rsid w:val="69745843"/>
    <w:rsid w:val="697459CF"/>
    <w:rsid w:val="69766163"/>
    <w:rsid w:val="697A3B33"/>
    <w:rsid w:val="697B041A"/>
    <w:rsid w:val="697C2AF8"/>
    <w:rsid w:val="697F3AA2"/>
    <w:rsid w:val="697F678B"/>
    <w:rsid w:val="6981021C"/>
    <w:rsid w:val="69823E79"/>
    <w:rsid w:val="699A5FBA"/>
    <w:rsid w:val="699B42AD"/>
    <w:rsid w:val="699C2263"/>
    <w:rsid w:val="699C7A19"/>
    <w:rsid w:val="699D6E4D"/>
    <w:rsid w:val="69A031CE"/>
    <w:rsid w:val="69B24780"/>
    <w:rsid w:val="69B37621"/>
    <w:rsid w:val="69B61CF5"/>
    <w:rsid w:val="69BC49E0"/>
    <w:rsid w:val="69BE4A45"/>
    <w:rsid w:val="69C13487"/>
    <w:rsid w:val="69C33E14"/>
    <w:rsid w:val="69C53833"/>
    <w:rsid w:val="69C553AF"/>
    <w:rsid w:val="69C768FC"/>
    <w:rsid w:val="69C935B8"/>
    <w:rsid w:val="69D21399"/>
    <w:rsid w:val="69D44760"/>
    <w:rsid w:val="69D61844"/>
    <w:rsid w:val="69D8356F"/>
    <w:rsid w:val="69E46C1A"/>
    <w:rsid w:val="69F01303"/>
    <w:rsid w:val="69F4350D"/>
    <w:rsid w:val="69F54AB0"/>
    <w:rsid w:val="69F75B87"/>
    <w:rsid w:val="69FF522C"/>
    <w:rsid w:val="6A002249"/>
    <w:rsid w:val="6A0831BB"/>
    <w:rsid w:val="6A0D156F"/>
    <w:rsid w:val="6A151896"/>
    <w:rsid w:val="6A15232C"/>
    <w:rsid w:val="6A1A3874"/>
    <w:rsid w:val="6A1F2C76"/>
    <w:rsid w:val="6A254112"/>
    <w:rsid w:val="6A2A31ED"/>
    <w:rsid w:val="6A327BD7"/>
    <w:rsid w:val="6A4074C0"/>
    <w:rsid w:val="6A4312D1"/>
    <w:rsid w:val="6A433DAB"/>
    <w:rsid w:val="6A434149"/>
    <w:rsid w:val="6A43622A"/>
    <w:rsid w:val="6A442C8E"/>
    <w:rsid w:val="6A450503"/>
    <w:rsid w:val="6A520EC7"/>
    <w:rsid w:val="6A5D659B"/>
    <w:rsid w:val="6A656877"/>
    <w:rsid w:val="6A6B1F57"/>
    <w:rsid w:val="6A762E65"/>
    <w:rsid w:val="6A8120E5"/>
    <w:rsid w:val="6A8479C6"/>
    <w:rsid w:val="6A887BE4"/>
    <w:rsid w:val="6A8B2F63"/>
    <w:rsid w:val="6A8E46B6"/>
    <w:rsid w:val="6A8F544A"/>
    <w:rsid w:val="6A950233"/>
    <w:rsid w:val="6A9623E1"/>
    <w:rsid w:val="6A96504F"/>
    <w:rsid w:val="6A987E35"/>
    <w:rsid w:val="6A9973AA"/>
    <w:rsid w:val="6A9C6F1F"/>
    <w:rsid w:val="6A9D615F"/>
    <w:rsid w:val="6AA31FE1"/>
    <w:rsid w:val="6AA34FEB"/>
    <w:rsid w:val="6AA61E16"/>
    <w:rsid w:val="6AA673CC"/>
    <w:rsid w:val="6AA94CE1"/>
    <w:rsid w:val="6AAC5C88"/>
    <w:rsid w:val="6AAD474B"/>
    <w:rsid w:val="6AAD77D4"/>
    <w:rsid w:val="6AAE7C41"/>
    <w:rsid w:val="6AB037E2"/>
    <w:rsid w:val="6AB144DB"/>
    <w:rsid w:val="6AB809CC"/>
    <w:rsid w:val="6AB92C5B"/>
    <w:rsid w:val="6ABA47F7"/>
    <w:rsid w:val="6AC54D86"/>
    <w:rsid w:val="6ACC7C60"/>
    <w:rsid w:val="6AD57CD1"/>
    <w:rsid w:val="6AD93563"/>
    <w:rsid w:val="6AE45FEF"/>
    <w:rsid w:val="6AE96283"/>
    <w:rsid w:val="6AF2679E"/>
    <w:rsid w:val="6AF60F28"/>
    <w:rsid w:val="6AF87E20"/>
    <w:rsid w:val="6AFA51C9"/>
    <w:rsid w:val="6AFE1F1C"/>
    <w:rsid w:val="6B01136F"/>
    <w:rsid w:val="6B064398"/>
    <w:rsid w:val="6B08575D"/>
    <w:rsid w:val="6B086386"/>
    <w:rsid w:val="6B1021FC"/>
    <w:rsid w:val="6B127311"/>
    <w:rsid w:val="6B194154"/>
    <w:rsid w:val="6B1C6159"/>
    <w:rsid w:val="6B1E6595"/>
    <w:rsid w:val="6B1E6C6B"/>
    <w:rsid w:val="6B221EFB"/>
    <w:rsid w:val="6B223786"/>
    <w:rsid w:val="6B226B80"/>
    <w:rsid w:val="6B267D4B"/>
    <w:rsid w:val="6B286F6E"/>
    <w:rsid w:val="6B2D7B77"/>
    <w:rsid w:val="6B320A9B"/>
    <w:rsid w:val="6B322639"/>
    <w:rsid w:val="6B3B5C14"/>
    <w:rsid w:val="6B41250D"/>
    <w:rsid w:val="6B493804"/>
    <w:rsid w:val="6B4B5E7C"/>
    <w:rsid w:val="6B526B4D"/>
    <w:rsid w:val="6B530750"/>
    <w:rsid w:val="6B555575"/>
    <w:rsid w:val="6B5573AE"/>
    <w:rsid w:val="6B5D5ADB"/>
    <w:rsid w:val="6B671375"/>
    <w:rsid w:val="6B672283"/>
    <w:rsid w:val="6B67452B"/>
    <w:rsid w:val="6B6A4927"/>
    <w:rsid w:val="6B723E4C"/>
    <w:rsid w:val="6B784456"/>
    <w:rsid w:val="6B7A42DF"/>
    <w:rsid w:val="6B811EB0"/>
    <w:rsid w:val="6B813186"/>
    <w:rsid w:val="6B8579B3"/>
    <w:rsid w:val="6B89532B"/>
    <w:rsid w:val="6B895985"/>
    <w:rsid w:val="6B8F07AA"/>
    <w:rsid w:val="6B906707"/>
    <w:rsid w:val="6B921BAE"/>
    <w:rsid w:val="6B944305"/>
    <w:rsid w:val="6B961BC0"/>
    <w:rsid w:val="6B9A0742"/>
    <w:rsid w:val="6B9B45BA"/>
    <w:rsid w:val="6B9B6150"/>
    <w:rsid w:val="6B9B7C70"/>
    <w:rsid w:val="6B9C2CB4"/>
    <w:rsid w:val="6B9F6CC6"/>
    <w:rsid w:val="6BA35268"/>
    <w:rsid w:val="6BA63C05"/>
    <w:rsid w:val="6BAD2A66"/>
    <w:rsid w:val="6BAE21C0"/>
    <w:rsid w:val="6BB25D11"/>
    <w:rsid w:val="6BB62D74"/>
    <w:rsid w:val="6BB63F85"/>
    <w:rsid w:val="6BB9765C"/>
    <w:rsid w:val="6BBA3B00"/>
    <w:rsid w:val="6BBF17B1"/>
    <w:rsid w:val="6BC26511"/>
    <w:rsid w:val="6BC5399A"/>
    <w:rsid w:val="6BC77C30"/>
    <w:rsid w:val="6BDC0788"/>
    <w:rsid w:val="6BDC4EA8"/>
    <w:rsid w:val="6BE75B2B"/>
    <w:rsid w:val="6BE86134"/>
    <w:rsid w:val="6BE916D2"/>
    <w:rsid w:val="6BEB45DB"/>
    <w:rsid w:val="6BED5AE6"/>
    <w:rsid w:val="6BEE725E"/>
    <w:rsid w:val="6BF02957"/>
    <w:rsid w:val="6BF21D86"/>
    <w:rsid w:val="6BF266DC"/>
    <w:rsid w:val="6BF80962"/>
    <w:rsid w:val="6C007039"/>
    <w:rsid w:val="6C09338F"/>
    <w:rsid w:val="6C100EF2"/>
    <w:rsid w:val="6C101993"/>
    <w:rsid w:val="6C10694D"/>
    <w:rsid w:val="6C122D64"/>
    <w:rsid w:val="6C154691"/>
    <w:rsid w:val="6C186ECE"/>
    <w:rsid w:val="6C273A66"/>
    <w:rsid w:val="6C287ECE"/>
    <w:rsid w:val="6C2A5A40"/>
    <w:rsid w:val="6C2B055A"/>
    <w:rsid w:val="6C2B0E6B"/>
    <w:rsid w:val="6C3035F5"/>
    <w:rsid w:val="6C305B70"/>
    <w:rsid w:val="6C3C17B3"/>
    <w:rsid w:val="6C417D7E"/>
    <w:rsid w:val="6C481028"/>
    <w:rsid w:val="6C494E84"/>
    <w:rsid w:val="6C507FC1"/>
    <w:rsid w:val="6C5300AB"/>
    <w:rsid w:val="6C53185F"/>
    <w:rsid w:val="6C561445"/>
    <w:rsid w:val="6C583007"/>
    <w:rsid w:val="6C5C0B7B"/>
    <w:rsid w:val="6C636C38"/>
    <w:rsid w:val="6C6E7659"/>
    <w:rsid w:val="6C7262CB"/>
    <w:rsid w:val="6C747728"/>
    <w:rsid w:val="6C7E0833"/>
    <w:rsid w:val="6C9367EC"/>
    <w:rsid w:val="6C94119A"/>
    <w:rsid w:val="6C945CF3"/>
    <w:rsid w:val="6C984F6B"/>
    <w:rsid w:val="6CA35109"/>
    <w:rsid w:val="6CA40EF2"/>
    <w:rsid w:val="6CA90308"/>
    <w:rsid w:val="6CB218C9"/>
    <w:rsid w:val="6CB77D35"/>
    <w:rsid w:val="6CBE268B"/>
    <w:rsid w:val="6CD40066"/>
    <w:rsid w:val="6CDE11B4"/>
    <w:rsid w:val="6CDF1523"/>
    <w:rsid w:val="6CE12DCF"/>
    <w:rsid w:val="6CE22E80"/>
    <w:rsid w:val="6CE41043"/>
    <w:rsid w:val="6CE43913"/>
    <w:rsid w:val="6CE701D2"/>
    <w:rsid w:val="6CF42155"/>
    <w:rsid w:val="6CFB0696"/>
    <w:rsid w:val="6CFD7EFB"/>
    <w:rsid w:val="6CFE65A1"/>
    <w:rsid w:val="6D082639"/>
    <w:rsid w:val="6D084F7B"/>
    <w:rsid w:val="6D097DFA"/>
    <w:rsid w:val="6D0D1893"/>
    <w:rsid w:val="6D0F5C85"/>
    <w:rsid w:val="6D110190"/>
    <w:rsid w:val="6D1426EA"/>
    <w:rsid w:val="6D176D30"/>
    <w:rsid w:val="6D232C0F"/>
    <w:rsid w:val="6D286BD4"/>
    <w:rsid w:val="6D2A180A"/>
    <w:rsid w:val="6D32558F"/>
    <w:rsid w:val="6D334F33"/>
    <w:rsid w:val="6D3429EC"/>
    <w:rsid w:val="6D376AD8"/>
    <w:rsid w:val="6D385718"/>
    <w:rsid w:val="6D392DF7"/>
    <w:rsid w:val="6D402957"/>
    <w:rsid w:val="6D561607"/>
    <w:rsid w:val="6D571FEF"/>
    <w:rsid w:val="6D582FC7"/>
    <w:rsid w:val="6D591947"/>
    <w:rsid w:val="6D613490"/>
    <w:rsid w:val="6D616521"/>
    <w:rsid w:val="6D630F81"/>
    <w:rsid w:val="6D636C18"/>
    <w:rsid w:val="6D673A8B"/>
    <w:rsid w:val="6D74494C"/>
    <w:rsid w:val="6D754312"/>
    <w:rsid w:val="6D7D4303"/>
    <w:rsid w:val="6D803F3B"/>
    <w:rsid w:val="6D8617C0"/>
    <w:rsid w:val="6D8B5F11"/>
    <w:rsid w:val="6D8D61F8"/>
    <w:rsid w:val="6D922C45"/>
    <w:rsid w:val="6DA45115"/>
    <w:rsid w:val="6DAE0F7E"/>
    <w:rsid w:val="6DB34098"/>
    <w:rsid w:val="6DB545B6"/>
    <w:rsid w:val="6DBE4D0F"/>
    <w:rsid w:val="6DBE7D02"/>
    <w:rsid w:val="6DBF03D6"/>
    <w:rsid w:val="6DC02F24"/>
    <w:rsid w:val="6DC1508D"/>
    <w:rsid w:val="6DC70339"/>
    <w:rsid w:val="6DCB5519"/>
    <w:rsid w:val="6DCC6695"/>
    <w:rsid w:val="6DCF206C"/>
    <w:rsid w:val="6DD36E95"/>
    <w:rsid w:val="6DD604B0"/>
    <w:rsid w:val="6DE02FB4"/>
    <w:rsid w:val="6DEB4ECD"/>
    <w:rsid w:val="6DEC1248"/>
    <w:rsid w:val="6DF10F35"/>
    <w:rsid w:val="6DF816FE"/>
    <w:rsid w:val="6DF857BB"/>
    <w:rsid w:val="6E0373EC"/>
    <w:rsid w:val="6E041063"/>
    <w:rsid w:val="6E097577"/>
    <w:rsid w:val="6E0B5327"/>
    <w:rsid w:val="6E1659C4"/>
    <w:rsid w:val="6E184B0E"/>
    <w:rsid w:val="6E197E2D"/>
    <w:rsid w:val="6E1C43B3"/>
    <w:rsid w:val="6E1F67A8"/>
    <w:rsid w:val="6E1F7C4B"/>
    <w:rsid w:val="6E2A125E"/>
    <w:rsid w:val="6E2D223C"/>
    <w:rsid w:val="6E351CB7"/>
    <w:rsid w:val="6E376B5A"/>
    <w:rsid w:val="6E3866A1"/>
    <w:rsid w:val="6E421B93"/>
    <w:rsid w:val="6E4C11C2"/>
    <w:rsid w:val="6E4E0639"/>
    <w:rsid w:val="6E4E26E7"/>
    <w:rsid w:val="6E514CED"/>
    <w:rsid w:val="6E57007A"/>
    <w:rsid w:val="6E5822B4"/>
    <w:rsid w:val="6E594C52"/>
    <w:rsid w:val="6E5A53C7"/>
    <w:rsid w:val="6E60304B"/>
    <w:rsid w:val="6E652C14"/>
    <w:rsid w:val="6E6B7334"/>
    <w:rsid w:val="6E70609C"/>
    <w:rsid w:val="6E731858"/>
    <w:rsid w:val="6E733429"/>
    <w:rsid w:val="6E7C4A6D"/>
    <w:rsid w:val="6E854693"/>
    <w:rsid w:val="6E8926A3"/>
    <w:rsid w:val="6E895A98"/>
    <w:rsid w:val="6E8E4DD0"/>
    <w:rsid w:val="6E900775"/>
    <w:rsid w:val="6E95367F"/>
    <w:rsid w:val="6EA434F0"/>
    <w:rsid w:val="6EA45010"/>
    <w:rsid w:val="6EA51AD2"/>
    <w:rsid w:val="6EA81BB1"/>
    <w:rsid w:val="6EAB02DE"/>
    <w:rsid w:val="6EB5140B"/>
    <w:rsid w:val="6EB563D5"/>
    <w:rsid w:val="6EB86C29"/>
    <w:rsid w:val="6EBB7E7F"/>
    <w:rsid w:val="6EC03CF1"/>
    <w:rsid w:val="6EC04B06"/>
    <w:rsid w:val="6EC60226"/>
    <w:rsid w:val="6ED13D47"/>
    <w:rsid w:val="6ED442FC"/>
    <w:rsid w:val="6ED908D2"/>
    <w:rsid w:val="6ED92677"/>
    <w:rsid w:val="6EDD3662"/>
    <w:rsid w:val="6EDF2BFA"/>
    <w:rsid w:val="6EDF2F41"/>
    <w:rsid w:val="6EDF6835"/>
    <w:rsid w:val="6EE37702"/>
    <w:rsid w:val="6EE556E8"/>
    <w:rsid w:val="6EEE0533"/>
    <w:rsid w:val="6EF3205D"/>
    <w:rsid w:val="6EF65E76"/>
    <w:rsid w:val="6EF8049C"/>
    <w:rsid w:val="6EF80849"/>
    <w:rsid w:val="6EFA4214"/>
    <w:rsid w:val="6EFC7A4C"/>
    <w:rsid w:val="6F0747BB"/>
    <w:rsid w:val="6F077E1F"/>
    <w:rsid w:val="6F094805"/>
    <w:rsid w:val="6F0E3048"/>
    <w:rsid w:val="6F12520F"/>
    <w:rsid w:val="6F141276"/>
    <w:rsid w:val="6F1A56EC"/>
    <w:rsid w:val="6F1C7BED"/>
    <w:rsid w:val="6F225983"/>
    <w:rsid w:val="6F246374"/>
    <w:rsid w:val="6F290587"/>
    <w:rsid w:val="6F2D6EF6"/>
    <w:rsid w:val="6F2F4076"/>
    <w:rsid w:val="6F2F5852"/>
    <w:rsid w:val="6F3176F2"/>
    <w:rsid w:val="6F3379A2"/>
    <w:rsid w:val="6F35249E"/>
    <w:rsid w:val="6F3E67F6"/>
    <w:rsid w:val="6F3F2050"/>
    <w:rsid w:val="6F401846"/>
    <w:rsid w:val="6F44698A"/>
    <w:rsid w:val="6F4C0003"/>
    <w:rsid w:val="6F4C0821"/>
    <w:rsid w:val="6F5057C7"/>
    <w:rsid w:val="6F516ED6"/>
    <w:rsid w:val="6F541B76"/>
    <w:rsid w:val="6F5A2F04"/>
    <w:rsid w:val="6F5C7553"/>
    <w:rsid w:val="6F682AFA"/>
    <w:rsid w:val="6F6873CF"/>
    <w:rsid w:val="6F6A03AC"/>
    <w:rsid w:val="6F6C06BA"/>
    <w:rsid w:val="6F6C2F7B"/>
    <w:rsid w:val="6F6D3B69"/>
    <w:rsid w:val="6F766273"/>
    <w:rsid w:val="6F7C0CAF"/>
    <w:rsid w:val="6F8306AD"/>
    <w:rsid w:val="6F8520BC"/>
    <w:rsid w:val="6F855C9F"/>
    <w:rsid w:val="6F893399"/>
    <w:rsid w:val="6F8A4114"/>
    <w:rsid w:val="6F912360"/>
    <w:rsid w:val="6FAC6AA2"/>
    <w:rsid w:val="6FAF10F0"/>
    <w:rsid w:val="6FB80D80"/>
    <w:rsid w:val="6FB9049D"/>
    <w:rsid w:val="6FBE7937"/>
    <w:rsid w:val="6FCD3DF9"/>
    <w:rsid w:val="6FD169A3"/>
    <w:rsid w:val="6FD37DFB"/>
    <w:rsid w:val="6FDE1205"/>
    <w:rsid w:val="6FE46F99"/>
    <w:rsid w:val="6FE66435"/>
    <w:rsid w:val="6FE82A82"/>
    <w:rsid w:val="6FEB464D"/>
    <w:rsid w:val="6FEC17E5"/>
    <w:rsid w:val="6FF0374A"/>
    <w:rsid w:val="6FF12907"/>
    <w:rsid w:val="6FF33061"/>
    <w:rsid w:val="6FF869C2"/>
    <w:rsid w:val="6FFC5590"/>
    <w:rsid w:val="70002A9B"/>
    <w:rsid w:val="700370F8"/>
    <w:rsid w:val="700523C3"/>
    <w:rsid w:val="700A3421"/>
    <w:rsid w:val="700E1B9B"/>
    <w:rsid w:val="7011669A"/>
    <w:rsid w:val="70184FBF"/>
    <w:rsid w:val="70251FEC"/>
    <w:rsid w:val="70282457"/>
    <w:rsid w:val="702C773B"/>
    <w:rsid w:val="702E1864"/>
    <w:rsid w:val="703015CC"/>
    <w:rsid w:val="70315102"/>
    <w:rsid w:val="703748EC"/>
    <w:rsid w:val="703F1A82"/>
    <w:rsid w:val="703F2BE4"/>
    <w:rsid w:val="704135A4"/>
    <w:rsid w:val="70422316"/>
    <w:rsid w:val="70451FB5"/>
    <w:rsid w:val="705544D3"/>
    <w:rsid w:val="70575D59"/>
    <w:rsid w:val="70577F82"/>
    <w:rsid w:val="7059106F"/>
    <w:rsid w:val="70672DF0"/>
    <w:rsid w:val="706A28CF"/>
    <w:rsid w:val="706D1DD0"/>
    <w:rsid w:val="707341CC"/>
    <w:rsid w:val="70741723"/>
    <w:rsid w:val="70761788"/>
    <w:rsid w:val="70772D53"/>
    <w:rsid w:val="70780EA7"/>
    <w:rsid w:val="70847037"/>
    <w:rsid w:val="70856B87"/>
    <w:rsid w:val="70883E75"/>
    <w:rsid w:val="708D0891"/>
    <w:rsid w:val="70907F78"/>
    <w:rsid w:val="70944199"/>
    <w:rsid w:val="70957D09"/>
    <w:rsid w:val="709E6562"/>
    <w:rsid w:val="709F5CFF"/>
    <w:rsid w:val="70A17F1E"/>
    <w:rsid w:val="70A30C33"/>
    <w:rsid w:val="70A608FD"/>
    <w:rsid w:val="70A9313E"/>
    <w:rsid w:val="70A94C7E"/>
    <w:rsid w:val="70AB06C0"/>
    <w:rsid w:val="70AC2750"/>
    <w:rsid w:val="70B40EC6"/>
    <w:rsid w:val="70B9689C"/>
    <w:rsid w:val="70BD31AE"/>
    <w:rsid w:val="70CC6656"/>
    <w:rsid w:val="70CD25AE"/>
    <w:rsid w:val="70D2032D"/>
    <w:rsid w:val="70D20FA9"/>
    <w:rsid w:val="70D267DE"/>
    <w:rsid w:val="70D527EE"/>
    <w:rsid w:val="70D6386D"/>
    <w:rsid w:val="70E51511"/>
    <w:rsid w:val="70E524C7"/>
    <w:rsid w:val="70E70417"/>
    <w:rsid w:val="70F23CEF"/>
    <w:rsid w:val="70F4544E"/>
    <w:rsid w:val="70F53608"/>
    <w:rsid w:val="70F920B6"/>
    <w:rsid w:val="70F974D8"/>
    <w:rsid w:val="70FB3360"/>
    <w:rsid w:val="70FF3BA7"/>
    <w:rsid w:val="71130A49"/>
    <w:rsid w:val="71186C27"/>
    <w:rsid w:val="71196318"/>
    <w:rsid w:val="711C1286"/>
    <w:rsid w:val="71235585"/>
    <w:rsid w:val="71291FFA"/>
    <w:rsid w:val="71296C7D"/>
    <w:rsid w:val="712B578F"/>
    <w:rsid w:val="713A0E80"/>
    <w:rsid w:val="71442376"/>
    <w:rsid w:val="714D6567"/>
    <w:rsid w:val="715217D9"/>
    <w:rsid w:val="715B5300"/>
    <w:rsid w:val="71636712"/>
    <w:rsid w:val="716F2C97"/>
    <w:rsid w:val="71706602"/>
    <w:rsid w:val="717604C9"/>
    <w:rsid w:val="717C53B4"/>
    <w:rsid w:val="71827B00"/>
    <w:rsid w:val="71841547"/>
    <w:rsid w:val="71846D7C"/>
    <w:rsid w:val="718B0734"/>
    <w:rsid w:val="718B1D8A"/>
    <w:rsid w:val="718C5893"/>
    <w:rsid w:val="719423D3"/>
    <w:rsid w:val="719635EF"/>
    <w:rsid w:val="719938D2"/>
    <w:rsid w:val="719B42CA"/>
    <w:rsid w:val="719E47E9"/>
    <w:rsid w:val="71A42003"/>
    <w:rsid w:val="71AC7124"/>
    <w:rsid w:val="71AC77DC"/>
    <w:rsid w:val="71AD7C63"/>
    <w:rsid w:val="71B1246E"/>
    <w:rsid w:val="71B142AF"/>
    <w:rsid w:val="71B24055"/>
    <w:rsid w:val="71B55DDF"/>
    <w:rsid w:val="71B707CD"/>
    <w:rsid w:val="71B856A4"/>
    <w:rsid w:val="71BD3352"/>
    <w:rsid w:val="71C21646"/>
    <w:rsid w:val="71CC2000"/>
    <w:rsid w:val="71CC7658"/>
    <w:rsid w:val="71D27F8A"/>
    <w:rsid w:val="71D36EB0"/>
    <w:rsid w:val="71D435DE"/>
    <w:rsid w:val="71D628A5"/>
    <w:rsid w:val="71DA2248"/>
    <w:rsid w:val="71E12AD7"/>
    <w:rsid w:val="71E46EA1"/>
    <w:rsid w:val="71E76CD1"/>
    <w:rsid w:val="71EA649E"/>
    <w:rsid w:val="71EC557E"/>
    <w:rsid w:val="71F8427A"/>
    <w:rsid w:val="71FB2460"/>
    <w:rsid w:val="71FD0DB1"/>
    <w:rsid w:val="72036C99"/>
    <w:rsid w:val="72096764"/>
    <w:rsid w:val="720A7027"/>
    <w:rsid w:val="7211282E"/>
    <w:rsid w:val="72126DD4"/>
    <w:rsid w:val="721B697B"/>
    <w:rsid w:val="721D04E0"/>
    <w:rsid w:val="72221AA6"/>
    <w:rsid w:val="7229553C"/>
    <w:rsid w:val="722B0817"/>
    <w:rsid w:val="722B57DD"/>
    <w:rsid w:val="722C73CC"/>
    <w:rsid w:val="72341A5F"/>
    <w:rsid w:val="7235351D"/>
    <w:rsid w:val="72367718"/>
    <w:rsid w:val="723B2882"/>
    <w:rsid w:val="723C62EB"/>
    <w:rsid w:val="723E24DC"/>
    <w:rsid w:val="723E4BC3"/>
    <w:rsid w:val="72412333"/>
    <w:rsid w:val="72435953"/>
    <w:rsid w:val="72447257"/>
    <w:rsid w:val="724A1A72"/>
    <w:rsid w:val="72553024"/>
    <w:rsid w:val="72573AA7"/>
    <w:rsid w:val="725944C9"/>
    <w:rsid w:val="725D4BAC"/>
    <w:rsid w:val="725F52B0"/>
    <w:rsid w:val="726B52AC"/>
    <w:rsid w:val="72701293"/>
    <w:rsid w:val="727147ED"/>
    <w:rsid w:val="72717E78"/>
    <w:rsid w:val="727E1D88"/>
    <w:rsid w:val="72831837"/>
    <w:rsid w:val="728A3BDC"/>
    <w:rsid w:val="72937F2A"/>
    <w:rsid w:val="72961AC7"/>
    <w:rsid w:val="729A1F96"/>
    <w:rsid w:val="72A13EE4"/>
    <w:rsid w:val="72A267AF"/>
    <w:rsid w:val="72A4197E"/>
    <w:rsid w:val="72A7312D"/>
    <w:rsid w:val="72A97159"/>
    <w:rsid w:val="72C318C9"/>
    <w:rsid w:val="72C6126F"/>
    <w:rsid w:val="72C71962"/>
    <w:rsid w:val="72CE7E49"/>
    <w:rsid w:val="72D73A7E"/>
    <w:rsid w:val="72DC1F25"/>
    <w:rsid w:val="72E91A9D"/>
    <w:rsid w:val="72EC68F4"/>
    <w:rsid w:val="72ED6849"/>
    <w:rsid w:val="72ED6F3D"/>
    <w:rsid w:val="72F06B38"/>
    <w:rsid w:val="72F35B4A"/>
    <w:rsid w:val="72F4219D"/>
    <w:rsid w:val="72F82A59"/>
    <w:rsid w:val="72F82D7F"/>
    <w:rsid w:val="72F8563D"/>
    <w:rsid w:val="72F861B0"/>
    <w:rsid w:val="730041B6"/>
    <w:rsid w:val="73026209"/>
    <w:rsid w:val="730A06CD"/>
    <w:rsid w:val="730B42A7"/>
    <w:rsid w:val="730F13FD"/>
    <w:rsid w:val="730F3782"/>
    <w:rsid w:val="73122968"/>
    <w:rsid w:val="731318A8"/>
    <w:rsid w:val="731B5CB8"/>
    <w:rsid w:val="731F080A"/>
    <w:rsid w:val="731F143E"/>
    <w:rsid w:val="731F5D5E"/>
    <w:rsid w:val="73271A3D"/>
    <w:rsid w:val="7329331A"/>
    <w:rsid w:val="732B50D8"/>
    <w:rsid w:val="732C3CD1"/>
    <w:rsid w:val="73422F5A"/>
    <w:rsid w:val="73430839"/>
    <w:rsid w:val="73466800"/>
    <w:rsid w:val="735F24F6"/>
    <w:rsid w:val="735F6BD6"/>
    <w:rsid w:val="7368776F"/>
    <w:rsid w:val="736E164C"/>
    <w:rsid w:val="73804D34"/>
    <w:rsid w:val="73813156"/>
    <w:rsid w:val="7386392E"/>
    <w:rsid w:val="739044DA"/>
    <w:rsid w:val="7391552F"/>
    <w:rsid w:val="739E439D"/>
    <w:rsid w:val="73A7200C"/>
    <w:rsid w:val="73A84F16"/>
    <w:rsid w:val="73B02425"/>
    <w:rsid w:val="73B343C3"/>
    <w:rsid w:val="73B63C92"/>
    <w:rsid w:val="73BB1DD0"/>
    <w:rsid w:val="73C504E5"/>
    <w:rsid w:val="73C51AD5"/>
    <w:rsid w:val="73C663EF"/>
    <w:rsid w:val="73DC5CCC"/>
    <w:rsid w:val="73DF0F63"/>
    <w:rsid w:val="73E060CE"/>
    <w:rsid w:val="73E96E64"/>
    <w:rsid w:val="73EE785B"/>
    <w:rsid w:val="73F20FDD"/>
    <w:rsid w:val="73F500BE"/>
    <w:rsid w:val="73FB10C6"/>
    <w:rsid w:val="73FB1E5F"/>
    <w:rsid w:val="73FB4CB6"/>
    <w:rsid w:val="73FF62CC"/>
    <w:rsid w:val="7403616D"/>
    <w:rsid w:val="740B2D8A"/>
    <w:rsid w:val="740E4F8B"/>
    <w:rsid w:val="74125FE3"/>
    <w:rsid w:val="74166BEA"/>
    <w:rsid w:val="741924D2"/>
    <w:rsid w:val="741B3DCA"/>
    <w:rsid w:val="741E793C"/>
    <w:rsid w:val="74237D69"/>
    <w:rsid w:val="74244F6E"/>
    <w:rsid w:val="74273EDA"/>
    <w:rsid w:val="74316979"/>
    <w:rsid w:val="743170A2"/>
    <w:rsid w:val="74344C23"/>
    <w:rsid w:val="743A0BB3"/>
    <w:rsid w:val="743A75A9"/>
    <w:rsid w:val="744D0115"/>
    <w:rsid w:val="745B1700"/>
    <w:rsid w:val="745E3944"/>
    <w:rsid w:val="74675244"/>
    <w:rsid w:val="746D45DE"/>
    <w:rsid w:val="746E5488"/>
    <w:rsid w:val="74795E9D"/>
    <w:rsid w:val="747C6756"/>
    <w:rsid w:val="74801939"/>
    <w:rsid w:val="74824DF2"/>
    <w:rsid w:val="748909E7"/>
    <w:rsid w:val="748A3133"/>
    <w:rsid w:val="748C5E1A"/>
    <w:rsid w:val="748C7997"/>
    <w:rsid w:val="74952707"/>
    <w:rsid w:val="74952D43"/>
    <w:rsid w:val="74AC3211"/>
    <w:rsid w:val="74AD17BB"/>
    <w:rsid w:val="74B80DF9"/>
    <w:rsid w:val="74BB7BB3"/>
    <w:rsid w:val="74C66241"/>
    <w:rsid w:val="74C71D82"/>
    <w:rsid w:val="74C74467"/>
    <w:rsid w:val="74C77E0C"/>
    <w:rsid w:val="74D11768"/>
    <w:rsid w:val="74DF2AB6"/>
    <w:rsid w:val="74DF6D6F"/>
    <w:rsid w:val="74EA71B9"/>
    <w:rsid w:val="74EF09AC"/>
    <w:rsid w:val="74F04DBE"/>
    <w:rsid w:val="74F4799F"/>
    <w:rsid w:val="74FA2D11"/>
    <w:rsid w:val="74FB0F5A"/>
    <w:rsid w:val="75060E5D"/>
    <w:rsid w:val="750B0E95"/>
    <w:rsid w:val="750B71C1"/>
    <w:rsid w:val="751601EC"/>
    <w:rsid w:val="75177DDE"/>
    <w:rsid w:val="751F1366"/>
    <w:rsid w:val="7524418D"/>
    <w:rsid w:val="75250117"/>
    <w:rsid w:val="75263421"/>
    <w:rsid w:val="75284373"/>
    <w:rsid w:val="75297601"/>
    <w:rsid w:val="752E7097"/>
    <w:rsid w:val="752F0629"/>
    <w:rsid w:val="7530273D"/>
    <w:rsid w:val="75330BC7"/>
    <w:rsid w:val="75335412"/>
    <w:rsid w:val="75385B5F"/>
    <w:rsid w:val="75395201"/>
    <w:rsid w:val="753A019D"/>
    <w:rsid w:val="753A233C"/>
    <w:rsid w:val="75426CCD"/>
    <w:rsid w:val="75456D40"/>
    <w:rsid w:val="75495059"/>
    <w:rsid w:val="7557416E"/>
    <w:rsid w:val="755828A1"/>
    <w:rsid w:val="755D751F"/>
    <w:rsid w:val="755F3F8D"/>
    <w:rsid w:val="75601D28"/>
    <w:rsid w:val="75631BAA"/>
    <w:rsid w:val="75652E78"/>
    <w:rsid w:val="756970FD"/>
    <w:rsid w:val="756B68C1"/>
    <w:rsid w:val="756E5DB6"/>
    <w:rsid w:val="757423DF"/>
    <w:rsid w:val="75757B57"/>
    <w:rsid w:val="75771A25"/>
    <w:rsid w:val="75871BCD"/>
    <w:rsid w:val="75885572"/>
    <w:rsid w:val="7590529C"/>
    <w:rsid w:val="75934144"/>
    <w:rsid w:val="75982AF6"/>
    <w:rsid w:val="759D0B26"/>
    <w:rsid w:val="75A4054A"/>
    <w:rsid w:val="75A634FC"/>
    <w:rsid w:val="75A924F0"/>
    <w:rsid w:val="75AA68F1"/>
    <w:rsid w:val="75AB44BA"/>
    <w:rsid w:val="75B22436"/>
    <w:rsid w:val="75C85A19"/>
    <w:rsid w:val="75CE1D59"/>
    <w:rsid w:val="75D83DE3"/>
    <w:rsid w:val="75D844B1"/>
    <w:rsid w:val="75DB1939"/>
    <w:rsid w:val="75DC6B41"/>
    <w:rsid w:val="75E20EB0"/>
    <w:rsid w:val="75E31EFD"/>
    <w:rsid w:val="75E35F5F"/>
    <w:rsid w:val="75F425B7"/>
    <w:rsid w:val="75FC6AF9"/>
    <w:rsid w:val="760408F9"/>
    <w:rsid w:val="76053346"/>
    <w:rsid w:val="760616F0"/>
    <w:rsid w:val="760A5684"/>
    <w:rsid w:val="760D2852"/>
    <w:rsid w:val="76164029"/>
    <w:rsid w:val="76164B4A"/>
    <w:rsid w:val="76192B2B"/>
    <w:rsid w:val="761A710C"/>
    <w:rsid w:val="762116CE"/>
    <w:rsid w:val="76265996"/>
    <w:rsid w:val="762C1A00"/>
    <w:rsid w:val="762D3600"/>
    <w:rsid w:val="7635099D"/>
    <w:rsid w:val="76391AC6"/>
    <w:rsid w:val="763E7C8B"/>
    <w:rsid w:val="763F65A1"/>
    <w:rsid w:val="76407811"/>
    <w:rsid w:val="76465F91"/>
    <w:rsid w:val="764F6E68"/>
    <w:rsid w:val="76520B28"/>
    <w:rsid w:val="76536ED3"/>
    <w:rsid w:val="765863F0"/>
    <w:rsid w:val="76591B39"/>
    <w:rsid w:val="765E6060"/>
    <w:rsid w:val="7666050E"/>
    <w:rsid w:val="76690B4D"/>
    <w:rsid w:val="767057F7"/>
    <w:rsid w:val="76711ACF"/>
    <w:rsid w:val="76736775"/>
    <w:rsid w:val="767D5E56"/>
    <w:rsid w:val="768216BE"/>
    <w:rsid w:val="768F16E6"/>
    <w:rsid w:val="769E7B7B"/>
    <w:rsid w:val="76A01B7B"/>
    <w:rsid w:val="76A15698"/>
    <w:rsid w:val="76AA6D56"/>
    <w:rsid w:val="76AF3B36"/>
    <w:rsid w:val="76BD7E89"/>
    <w:rsid w:val="76C13399"/>
    <w:rsid w:val="76C20C4B"/>
    <w:rsid w:val="76C43D5B"/>
    <w:rsid w:val="76CF5CD8"/>
    <w:rsid w:val="76DA3B15"/>
    <w:rsid w:val="76F4478F"/>
    <w:rsid w:val="76F7157E"/>
    <w:rsid w:val="76F968D8"/>
    <w:rsid w:val="76FA1255"/>
    <w:rsid w:val="76FB2B3B"/>
    <w:rsid w:val="76FD7DC0"/>
    <w:rsid w:val="77045A82"/>
    <w:rsid w:val="77075720"/>
    <w:rsid w:val="77085369"/>
    <w:rsid w:val="7709017F"/>
    <w:rsid w:val="770E6F90"/>
    <w:rsid w:val="771407B6"/>
    <w:rsid w:val="77182BF4"/>
    <w:rsid w:val="771D4000"/>
    <w:rsid w:val="7721412B"/>
    <w:rsid w:val="772B4E54"/>
    <w:rsid w:val="773452EE"/>
    <w:rsid w:val="773A3D47"/>
    <w:rsid w:val="773D5FCA"/>
    <w:rsid w:val="77437B69"/>
    <w:rsid w:val="774A3AB3"/>
    <w:rsid w:val="774B5D1A"/>
    <w:rsid w:val="7751724C"/>
    <w:rsid w:val="775906D3"/>
    <w:rsid w:val="77617385"/>
    <w:rsid w:val="77640D5C"/>
    <w:rsid w:val="776A2281"/>
    <w:rsid w:val="77762421"/>
    <w:rsid w:val="77887588"/>
    <w:rsid w:val="778E63B4"/>
    <w:rsid w:val="778F6CAD"/>
    <w:rsid w:val="779276DF"/>
    <w:rsid w:val="77935289"/>
    <w:rsid w:val="77951FAD"/>
    <w:rsid w:val="77953B19"/>
    <w:rsid w:val="779C055E"/>
    <w:rsid w:val="77A64E4C"/>
    <w:rsid w:val="77AF3F5F"/>
    <w:rsid w:val="77AF5AF1"/>
    <w:rsid w:val="77B074C1"/>
    <w:rsid w:val="77B078C2"/>
    <w:rsid w:val="77B51620"/>
    <w:rsid w:val="77B56B1F"/>
    <w:rsid w:val="77B70DCC"/>
    <w:rsid w:val="77B85696"/>
    <w:rsid w:val="77BB1FAA"/>
    <w:rsid w:val="77BC05E0"/>
    <w:rsid w:val="77C02BE3"/>
    <w:rsid w:val="77C16217"/>
    <w:rsid w:val="77C72C11"/>
    <w:rsid w:val="77CF08AF"/>
    <w:rsid w:val="77CF5CDE"/>
    <w:rsid w:val="77D039F0"/>
    <w:rsid w:val="77D05B64"/>
    <w:rsid w:val="77D05DF4"/>
    <w:rsid w:val="77D16703"/>
    <w:rsid w:val="77D52578"/>
    <w:rsid w:val="77D65F6E"/>
    <w:rsid w:val="77DB435C"/>
    <w:rsid w:val="77DC2E91"/>
    <w:rsid w:val="77DD4157"/>
    <w:rsid w:val="77DE0B76"/>
    <w:rsid w:val="77E1345A"/>
    <w:rsid w:val="77E17335"/>
    <w:rsid w:val="77E17AA9"/>
    <w:rsid w:val="77F364D2"/>
    <w:rsid w:val="77F718DD"/>
    <w:rsid w:val="77FD3B6C"/>
    <w:rsid w:val="780627AE"/>
    <w:rsid w:val="78074490"/>
    <w:rsid w:val="780B19BC"/>
    <w:rsid w:val="780D1127"/>
    <w:rsid w:val="780D7A55"/>
    <w:rsid w:val="780F09F4"/>
    <w:rsid w:val="78115B6E"/>
    <w:rsid w:val="781316F1"/>
    <w:rsid w:val="78162D9E"/>
    <w:rsid w:val="78165DEF"/>
    <w:rsid w:val="781C611C"/>
    <w:rsid w:val="782760D6"/>
    <w:rsid w:val="782D52B2"/>
    <w:rsid w:val="78386997"/>
    <w:rsid w:val="783F2201"/>
    <w:rsid w:val="78486E59"/>
    <w:rsid w:val="784F0CDB"/>
    <w:rsid w:val="784F637F"/>
    <w:rsid w:val="785B6BBB"/>
    <w:rsid w:val="785B6C6F"/>
    <w:rsid w:val="78615612"/>
    <w:rsid w:val="786E381D"/>
    <w:rsid w:val="786E3B6F"/>
    <w:rsid w:val="78767CCF"/>
    <w:rsid w:val="787D5B5A"/>
    <w:rsid w:val="78807120"/>
    <w:rsid w:val="78822056"/>
    <w:rsid w:val="78863BE2"/>
    <w:rsid w:val="788A1F12"/>
    <w:rsid w:val="788E7294"/>
    <w:rsid w:val="788F2F5E"/>
    <w:rsid w:val="78930502"/>
    <w:rsid w:val="789507DE"/>
    <w:rsid w:val="78962CDC"/>
    <w:rsid w:val="78995F09"/>
    <w:rsid w:val="789D00A7"/>
    <w:rsid w:val="789F41DE"/>
    <w:rsid w:val="78A42142"/>
    <w:rsid w:val="78A718FF"/>
    <w:rsid w:val="78A90480"/>
    <w:rsid w:val="78B87074"/>
    <w:rsid w:val="78BE7006"/>
    <w:rsid w:val="78BF45AF"/>
    <w:rsid w:val="78C243DE"/>
    <w:rsid w:val="78C7374A"/>
    <w:rsid w:val="78CB5A16"/>
    <w:rsid w:val="78CC4E73"/>
    <w:rsid w:val="78E037F7"/>
    <w:rsid w:val="78E759E2"/>
    <w:rsid w:val="78EC7FFF"/>
    <w:rsid w:val="78F21366"/>
    <w:rsid w:val="78FB5D05"/>
    <w:rsid w:val="79023435"/>
    <w:rsid w:val="79025FAD"/>
    <w:rsid w:val="790A1C96"/>
    <w:rsid w:val="790C2E4D"/>
    <w:rsid w:val="79165AFA"/>
    <w:rsid w:val="79165CA8"/>
    <w:rsid w:val="79202868"/>
    <w:rsid w:val="7929015A"/>
    <w:rsid w:val="79293C80"/>
    <w:rsid w:val="792D3D48"/>
    <w:rsid w:val="792E0C4D"/>
    <w:rsid w:val="792F162F"/>
    <w:rsid w:val="793B5B55"/>
    <w:rsid w:val="79416925"/>
    <w:rsid w:val="794501D8"/>
    <w:rsid w:val="79476D11"/>
    <w:rsid w:val="794A3C09"/>
    <w:rsid w:val="794C0C6C"/>
    <w:rsid w:val="794E5888"/>
    <w:rsid w:val="795640BC"/>
    <w:rsid w:val="795C2B19"/>
    <w:rsid w:val="79654F90"/>
    <w:rsid w:val="79681CD4"/>
    <w:rsid w:val="796C5D0E"/>
    <w:rsid w:val="7973301B"/>
    <w:rsid w:val="79841F18"/>
    <w:rsid w:val="798A42B2"/>
    <w:rsid w:val="798A4D11"/>
    <w:rsid w:val="798B0C34"/>
    <w:rsid w:val="799463EE"/>
    <w:rsid w:val="799C2A97"/>
    <w:rsid w:val="79A10BBB"/>
    <w:rsid w:val="79A252DB"/>
    <w:rsid w:val="79A31828"/>
    <w:rsid w:val="79A5340D"/>
    <w:rsid w:val="79A86EAC"/>
    <w:rsid w:val="79A96129"/>
    <w:rsid w:val="79AE4681"/>
    <w:rsid w:val="79B05CC3"/>
    <w:rsid w:val="79BC0090"/>
    <w:rsid w:val="79C16605"/>
    <w:rsid w:val="79C26BA0"/>
    <w:rsid w:val="79D9694C"/>
    <w:rsid w:val="79DE0107"/>
    <w:rsid w:val="79E10107"/>
    <w:rsid w:val="79E73EC2"/>
    <w:rsid w:val="79E80142"/>
    <w:rsid w:val="79EE0BA0"/>
    <w:rsid w:val="79EE7007"/>
    <w:rsid w:val="79F11ABC"/>
    <w:rsid w:val="79F426BE"/>
    <w:rsid w:val="79F50F4B"/>
    <w:rsid w:val="79F75267"/>
    <w:rsid w:val="79F86DF5"/>
    <w:rsid w:val="79F943F8"/>
    <w:rsid w:val="79FA3DDB"/>
    <w:rsid w:val="7A0A4706"/>
    <w:rsid w:val="7A0A5C53"/>
    <w:rsid w:val="7A112498"/>
    <w:rsid w:val="7A15374E"/>
    <w:rsid w:val="7A1867D7"/>
    <w:rsid w:val="7A1C11E2"/>
    <w:rsid w:val="7A1D7E42"/>
    <w:rsid w:val="7A223956"/>
    <w:rsid w:val="7A280315"/>
    <w:rsid w:val="7A305B36"/>
    <w:rsid w:val="7A330808"/>
    <w:rsid w:val="7A364017"/>
    <w:rsid w:val="7A3914BE"/>
    <w:rsid w:val="7A3E00E0"/>
    <w:rsid w:val="7A3E5D4E"/>
    <w:rsid w:val="7A411810"/>
    <w:rsid w:val="7A44363C"/>
    <w:rsid w:val="7A4E280C"/>
    <w:rsid w:val="7A4E3E08"/>
    <w:rsid w:val="7A5D2B51"/>
    <w:rsid w:val="7A5E5ED5"/>
    <w:rsid w:val="7A5F1655"/>
    <w:rsid w:val="7A6960F8"/>
    <w:rsid w:val="7A6E0E84"/>
    <w:rsid w:val="7A732A74"/>
    <w:rsid w:val="7A7421A5"/>
    <w:rsid w:val="7A76508A"/>
    <w:rsid w:val="7A787636"/>
    <w:rsid w:val="7A7E0A37"/>
    <w:rsid w:val="7A7F781B"/>
    <w:rsid w:val="7A8004D3"/>
    <w:rsid w:val="7A8265E1"/>
    <w:rsid w:val="7A845AA4"/>
    <w:rsid w:val="7A867008"/>
    <w:rsid w:val="7A885E17"/>
    <w:rsid w:val="7A8A0B21"/>
    <w:rsid w:val="7A975F70"/>
    <w:rsid w:val="7A9C0A4E"/>
    <w:rsid w:val="7A9D7EB1"/>
    <w:rsid w:val="7AA0768C"/>
    <w:rsid w:val="7AAD6C8B"/>
    <w:rsid w:val="7AB21D15"/>
    <w:rsid w:val="7AB84FD2"/>
    <w:rsid w:val="7ABC3A10"/>
    <w:rsid w:val="7ABD2EDD"/>
    <w:rsid w:val="7AC67FAD"/>
    <w:rsid w:val="7ACB3FC9"/>
    <w:rsid w:val="7ACC5C7E"/>
    <w:rsid w:val="7AD011B0"/>
    <w:rsid w:val="7AD06ADB"/>
    <w:rsid w:val="7AD3057A"/>
    <w:rsid w:val="7AD5704E"/>
    <w:rsid w:val="7AD7415D"/>
    <w:rsid w:val="7ADD701F"/>
    <w:rsid w:val="7ADE0E8D"/>
    <w:rsid w:val="7ADF75D4"/>
    <w:rsid w:val="7AE55D78"/>
    <w:rsid w:val="7AED10D1"/>
    <w:rsid w:val="7AF34F9A"/>
    <w:rsid w:val="7AF35BFB"/>
    <w:rsid w:val="7AF42EB5"/>
    <w:rsid w:val="7B0322A2"/>
    <w:rsid w:val="7B034DE3"/>
    <w:rsid w:val="7B0C47FA"/>
    <w:rsid w:val="7B0D0C43"/>
    <w:rsid w:val="7B1125D5"/>
    <w:rsid w:val="7B142DD7"/>
    <w:rsid w:val="7B193332"/>
    <w:rsid w:val="7B197665"/>
    <w:rsid w:val="7B1B4AA7"/>
    <w:rsid w:val="7B1F49B7"/>
    <w:rsid w:val="7B246FEA"/>
    <w:rsid w:val="7B27182E"/>
    <w:rsid w:val="7B304F7F"/>
    <w:rsid w:val="7B327C61"/>
    <w:rsid w:val="7B3419BA"/>
    <w:rsid w:val="7B441BB1"/>
    <w:rsid w:val="7B441BCA"/>
    <w:rsid w:val="7B44592B"/>
    <w:rsid w:val="7B4B03D8"/>
    <w:rsid w:val="7B4B68F8"/>
    <w:rsid w:val="7B514C38"/>
    <w:rsid w:val="7B5621C1"/>
    <w:rsid w:val="7B567A68"/>
    <w:rsid w:val="7B5E402F"/>
    <w:rsid w:val="7B601523"/>
    <w:rsid w:val="7B6463E4"/>
    <w:rsid w:val="7B686D42"/>
    <w:rsid w:val="7B717DF1"/>
    <w:rsid w:val="7B765935"/>
    <w:rsid w:val="7B790E18"/>
    <w:rsid w:val="7B7A20A7"/>
    <w:rsid w:val="7B7C5F28"/>
    <w:rsid w:val="7B841746"/>
    <w:rsid w:val="7B9D0EB2"/>
    <w:rsid w:val="7BA02F13"/>
    <w:rsid w:val="7BA57947"/>
    <w:rsid w:val="7BA96258"/>
    <w:rsid w:val="7BB06386"/>
    <w:rsid w:val="7BB32DC3"/>
    <w:rsid w:val="7BB42EC1"/>
    <w:rsid w:val="7BB53F2C"/>
    <w:rsid w:val="7BB70115"/>
    <w:rsid w:val="7BC03D64"/>
    <w:rsid w:val="7BCB7516"/>
    <w:rsid w:val="7BD51728"/>
    <w:rsid w:val="7BE84224"/>
    <w:rsid w:val="7BE86CFD"/>
    <w:rsid w:val="7BEA1CDB"/>
    <w:rsid w:val="7BEE5811"/>
    <w:rsid w:val="7BF83C84"/>
    <w:rsid w:val="7BF91D16"/>
    <w:rsid w:val="7BFA3F84"/>
    <w:rsid w:val="7BFD2831"/>
    <w:rsid w:val="7C007234"/>
    <w:rsid w:val="7C08168C"/>
    <w:rsid w:val="7C0E57A2"/>
    <w:rsid w:val="7C11202E"/>
    <w:rsid w:val="7C130AEB"/>
    <w:rsid w:val="7C1B5E5D"/>
    <w:rsid w:val="7C231DE2"/>
    <w:rsid w:val="7C236819"/>
    <w:rsid w:val="7C263095"/>
    <w:rsid w:val="7C2A42B9"/>
    <w:rsid w:val="7C2B648E"/>
    <w:rsid w:val="7C345209"/>
    <w:rsid w:val="7C411EAE"/>
    <w:rsid w:val="7C430E06"/>
    <w:rsid w:val="7C44627B"/>
    <w:rsid w:val="7C464E77"/>
    <w:rsid w:val="7C4B2353"/>
    <w:rsid w:val="7C535200"/>
    <w:rsid w:val="7C5840AC"/>
    <w:rsid w:val="7C5B37CC"/>
    <w:rsid w:val="7C621AFD"/>
    <w:rsid w:val="7C627B91"/>
    <w:rsid w:val="7C6B692E"/>
    <w:rsid w:val="7C6C5AC7"/>
    <w:rsid w:val="7C736C66"/>
    <w:rsid w:val="7C790B69"/>
    <w:rsid w:val="7C854DF2"/>
    <w:rsid w:val="7C8C2833"/>
    <w:rsid w:val="7C8F3CC8"/>
    <w:rsid w:val="7C923CDE"/>
    <w:rsid w:val="7C953CF2"/>
    <w:rsid w:val="7C9804E0"/>
    <w:rsid w:val="7CA24618"/>
    <w:rsid w:val="7CA331DB"/>
    <w:rsid w:val="7CA55202"/>
    <w:rsid w:val="7CAA2481"/>
    <w:rsid w:val="7CB02CC1"/>
    <w:rsid w:val="7CBD172E"/>
    <w:rsid w:val="7CBF3C9A"/>
    <w:rsid w:val="7CC12815"/>
    <w:rsid w:val="7CC219C2"/>
    <w:rsid w:val="7CC40759"/>
    <w:rsid w:val="7CC6544B"/>
    <w:rsid w:val="7CC837EC"/>
    <w:rsid w:val="7CD40E51"/>
    <w:rsid w:val="7CDD6705"/>
    <w:rsid w:val="7CDF19D9"/>
    <w:rsid w:val="7CE14B77"/>
    <w:rsid w:val="7CEA019E"/>
    <w:rsid w:val="7CEC3352"/>
    <w:rsid w:val="7CF95B0B"/>
    <w:rsid w:val="7CFB1883"/>
    <w:rsid w:val="7CFC14DF"/>
    <w:rsid w:val="7D001A2A"/>
    <w:rsid w:val="7D0239FF"/>
    <w:rsid w:val="7D054B42"/>
    <w:rsid w:val="7D07647A"/>
    <w:rsid w:val="7D0C1750"/>
    <w:rsid w:val="7D116099"/>
    <w:rsid w:val="7D1454D2"/>
    <w:rsid w:val="7D1F270F"/>
    <w:rsid w:val="7D260F6A"/>
    <w:rsid w:val="7D3503C7"/>
    <w:rsid w:val="7D3B4D4C"/>
    <w:rsid w:val="7D3D1E9B"/>
    <w:rsid w:val="7D424C5B"/>
    <w:rsid w:val="7D4259FF"/>
    <w:rsid w:val="7D472687"/>
    <w:rsid w:val="7D4A6565"/>
    <w:rsid w:val="7D4D06F7"/>
    <w:rsid w:val="7D4F0E53"/>
    <w:rsid w:val="7D515D1F"/>
    <w:rsid w:val="7D550036"/>
    <w:rsid w:val="7D566391"/>
    <w:rsid w:val="7D5A43EB"/>
    <w:rsid w:val="7D5B1E4E"/>
    <w:rsid w:val="7D5B3A80"/>
    <w:rsid w:val="7D5D2816"/>
    <w:rsid w:val="7D5E40CD"/>
    <w:rsid w:val="7D5F5D60"/>
    <w:rsid w:val="7D6A0724"/>
    <w:rsid w:val="7D782ED3"/>
    <w:rsid w:val="7D7B0383"/>
    <w:rsid w:val="7D7B2817"/>
    <w:rsid w:val="7D7E4E15"/>
    <w:rsid w:val="7D8B1395"/>
    <w:rsid w:val="7D8B7D13"/>
    <w:rsid w:val="7D9237D0"/>
    <w:rsid w:val="7D944E8A"/>
    <w:rsid w:val="7D9475D6"/>
    <w:rsid w:val="7D9B3066"/>
    <w:rsid w:val="7DA168CE"/>
    <w:rsid w:val="7DA3220B"/>
    <w:rsid w:val="7DAF278B"/>
    <w:rsid w:val="7DB10997"/>
    <w:rsid w:val="7DB20043"/>
    <w:rsid w:val="7DB23401"/>
    <w:rsid w:val="7DB30F95"/>
    <w:rsid w:val="7DB8295F"/>
    <w:rsid w:val="7DBA0247"/>
    <w:rsid w:val="7DBA7EE4"/>
    <w:rsid w:val="7DBF1C23"/>
    <w:rsid w:val="7DBF74C9"/>
    <w:rsid w:val="7DC20CDA"/>
    <w:rsid w:val="7DCA5E02"/>
    <w:rsid w:val="7DCD56F2"/>
    <w:rsid w:val="7DCE568F"/>
    <w:rsid w:val="7DCF5A98"/>
    <w:rsid w:val="7DCF73B7"/>
    <w:rsid w:val="7DD02D0F"/>
    <w:rsid w:val="7DE234B2"/>
    <w:rsid w:val="7DE41537"/>
    <w:rsid w:val="7DE561B9"/>
    <w:rsid w:val="7DEA136B"/>
    <w:rsid w:val="7DED4C80"/>
    <w:rsid w:val="7DEF7452"/>
    <w:rsid w:val="7DF57CCF"/>
    <w:rsid w:val="7DFD0333"/>
    <w:rsid w:val="7E044FBE"/>
    <w:rsid w:val="7E066CB6"/>
    <w:rsid w:val="7E07142B"/>
    <w:rsid w:val="7E0B2DFF"/>
    <w:rsid w:val="7E0D2568"/>
    <w:rsid w:val="7E0D6681"/>
    <w:rsid w:val="7E134DCB"/>
    <w:rsid w:val="7E1B031D"/>
    <w:rsid w:val="7E210565"/>
    <w:rsid w:val="7E225915"/>
    <w:rsid w:val="7E2712B8"/>
    <w:rsid w:val="7E2A796C"/>
    <w:rsid w:val="7E2D7A48"/>
    <w:rsid w:val="7E35217B"/>
    <w:rsid w:val="7E384A2E"/>
    <w:rsid w:val="7E3C3A1B"/>
    <w:rsid w:val="7E3F7A67"/>
    <w:rsid w:val="7E41161D"/>
    <w:rsid w:val="7E4159BB"/>
    <w:rsid w:val="7E494398"/>
    <w:rsid w:val="7E4B6498"/>
    <w:rsid w:val="7E4F1CA3"/>
    <w:rsid w:val="7E503BFB"/>
    <w:rsid w:val="7E57588B"/>
    <w:rsid w:val="7E590700"/>
    <w:rsid w:val="7E647B16"/>
    <w:rsid w:val="7E694E38"/>
    <w:rsid w:val="7E7267AC"/>
    <w:rsid w:val="7E7A0ECD"/>
    <w:rsid w:val="7E7C0F9A"/>
    <w:rsid w:val="7E7F2796"/>
    <w:rsid w:val="7E906CD5"/>
    <w:rsid w:val="7E9B10CA"/>
    <w:rsid w:val="7E9D0A6E"/>
    <w:rsid w:val="7EA1645A"/>
    <w:rsid w:val="7EA23497"/>
    <w:rsid w:val="7EB76786"/>
    <w:rsid w:val="7EB92E71"/>
    <w:rsid w:val="7EB96173"/>
    <w:rsid w:val="7EBB7E39"/>
    <w:rsid w:val="7EC7606C"/>
    <w:rsid w:val="7EC924F6"/>
    <w:rsid w:val="7ECB3E37"/>
    <w:rsid w:val="7ED117FE"/>
    <w:rsid w:val="7ED537D4"/>
    <w:rsid w:val="7ED5432E"/>
    <w:rsid w:val="7EDC6FAC"/>
    <w:rsid w:val="7EDD2A68"/>
    <w:rsid w:val="7EDE7D9F"/>
    <w:rsid w:val="7EE54DDF"/>
    <w:rsid w:val="7EE75B53"/>
    <w:rsid w:val="7EEA1BAF"/>
    <w:rsid w:val="7EF04CF2"/>
    <w:rsid w:val="7EF25C14"/>
    <w:rsid w:val="7EF40731"/>
    <w:rsid w:val="7EFA01B0"/>
    <w:rsid w:val="7EFE1E4D"/>
    <w:rsid w:val="7EFE565A"/>
    <w:rsid w:val="7F001CE7"/>
    <w:rsid w:val="7F061F1B"/>
    <w:rsid w:val="7F086651"/>
    <w:rsid w:val="7F0A7A19"/>
    <w:rsid w:val="7F0F7AA1"/>
    <w:rsid w:val="7F102EA8"/>
    <w:rsid w:val="7F1125F0"/>
    <w:rsid w:val="7F22002A"/>
    <w:rsid w:val="7F265E29"/>
    <w:rsid w:val="7F350996"/>
    <w:rsid w:val="7F3A7689"/>
    <w:rsid w:val="7F3B5AB2"/>
    <w:rsid w:val="7F3B5C65"/>
    <w:rsid w:val="7F4265C9"/>
    <w:rsid w:val="7F480D40"/>
    <w:rsid w:val="7F4C6E6A"/>
    <w:rsid w:val="7F4D7797"/>
    <w:rsid w:val="7F4E09FB"/>
    <w:rsid w:val="7F5C1011"/>
    <w:rsid w:val="7F5D7356"/>
    <w:rsid w:val="7F61447E"/>
    <w:rsid w:val="7F641D0F"/>
    <w:rsid w:val="7F6B32A5"/>
    <w:rsid w:val="7F803BD1"/>
    <w:rsid w:val="7F805E26"/>
    <w:rsid w:val="7F8457DC"/>
    <w:rsid w:val="7F853527"/>
    <w:rsid w:val="7F8940CD"/>
    <w:rsid w:val="7F8F665F"/>
    <w:rsid w:val="7F9162E5"/>
    <w:rsid w:val="7F925897"/>
    <w:rsid w:val="7F94542C"/>
    <w:rsid w:val="7F972929"/>
    <w:rsid w:val="7F973D6D"/>
    <w:rsid w:val="7F9935D5"/>
    <w:rsid w:val="7F995383"/>
    <w:rsid w:val="7F9B5393"/>
    <w:rsid w:val="7FA11AC8"/>
    <w:rsid w:val="7FA1671F"/>
    <w:rsid w:val="7FA418C1"/>
    <w:rsid w:val="7FA65BF2"/>
    <w:rsid w:val="7FA76A1C"/>
    <w:rsid w:val="7FAC155A"/>
    <w:rsid w:val="7FBA6136"/>
    <w:rsid w:val="7FBF52B3"/>
    <w:rsid w:val="7FBF711F"/>
    <w:rsid w:val="7FC0718C"/>
    <w:rsid w:val="7FC307D4"/>
    <w:rsid w:val="7FC60556"/>
    <w:rsid w:val="7FC81845"/>
    <w:rsid w:val="7FCB51C7"/>
    <w:rsid w:val="7FCE4341"/>
    <w:rsid w:val="7FCF2B8A"/>
    <w:rsid w:val="7FD0349B"/>
    <w:rsid w:val="7FD93C2C"/>
    <w:rsid w:val="7FDB2D9D"/>
    <w:rsid w:val="7FDD5BB8"/>
    <w:rsid w:val="7FE17229"/>
    <w:rsid w:val="7FE47E50"/>
    <w:rsid w:val="7FE80DB6"/>
    <w:rsid w:val="7FED69DE"/>
    <w:rsid w:val="7FF375BD"/>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99" w:semiHidden="0" w:name="Body Text First Indent"/>
    <w:lsdException w:qFormat="1" w:uiPriority="99" w:semiHidden="0" w:name="Body Text First Indent 2"/>
    <w:lsdException w:unhideWhenUsed="0" w:uiPriority="0" w:semiHidden="0" w:name="Note Heading"/>
    <w:lsdException w:qFormat="1" w:uiPriority="99"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qFormat="1"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link w:val="46"/>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5">
    <w:name w:val="heading 2"/>
    <w:basedOn w:val="1"/>
    <w:next w:val="1"/>
    <w:link w:val="47"/>
    <w:qFormat/>
    <w:uiPriority w:val="0"/>
    <w:pPr>
      <w:keepNext/>
      <w:keepLines/>
      <w:spacing w:before="260" w:after="260" w:line="416" w:lineRule="auto"/>
      <w:outlineLvl w:val="1"/>
    </w:pPr>
    <w:rPr>
      <w:rFonts w:ascii="Arial" w:hAnsi="Arial" w:eastAsia="黑体"/>
      <w:b/>
      <w:bCs/>
      <w:sz w:val="32"/>
      <w:szCs w:val="32"/>
    </w:rPr>
  </w:style>
  <w:style w:type="paragraph" w:styleId="6">
    <w:name w:val="heading 3"/>
    <w:basedOn w:val="1"/>
    <w:next w:val="1"/>
    <w:link w:val="48"/>
    <w:qFormat/>
    <w:uiPriority w:val="0"/>
    <w:pPr>
      <w:keepNext/>
      <w:keepLines/>
      <w:spacing w:before="260" w:after="260" w:line="416" w:lineRule="auto"/>
      <w:outlineLvl w:val="2"/>
    </w:pPr>
    <w:rPr>
      <w:b/>
      <w:bCs/>
      <w:sz w:val="32"/>
      <w:szCs w:val="32"/>
    </w:rPr>
  </w:style>
  <w:style w:type="paragraph" w:styleId="7">
    <w:name w:val="heading 4"/>
    <w:basedOn w:val="1"/>
    <w:next w:val="1"/>
    <w:link w:val="49"/>
    <w:qFormat/>
    <w:uiPriority w:val="9"/>
    <w:pPr>
      <w:keepNext/>
      <w:keepLines/>
      <w:spacing w:before="280" w:after="290" w:line="376" w:lineRule="auto"/>
      <w:outlineLvl w:val="3"/>
    </w:pPr>
    <w:rPr>
      <w:rFonts w:ascii="等线 Light" w:hAnsi="等线 Light" w:eastAsia="等线 Light" w:cs="Times New Roman"/>
      <w:b/>
      <w:bCs/>
      <w:sz w:val="28"/>
      <w:szCs w:val="28"/>
    </w:rPr>
  </w:style>
  <w:style w:type="character" w:default="1" w:styleId="39">
    <w:name w:val="Default Paragraph Font"/>
    <w:semiHidden/>
    <w:qFormat/>
    <w:uiPriority w:val="0"/>
  </w:style>
  <w:style w:type="table" w:default="1" w:styleId="37">
    <w:name w:val="Normal Table"/>
    <w:semiHidden/>
    <w:qFormat/>
    <w:uiPriority w:val="0"/>
    <w:tblPr>
      <w:tblCellMar>
        <w:top w:w="0" w:type="dxa"/>
        <w:left w:w="108" w:type="dxa"/>
        <w:bottom w:w="0" w:type="dxa"/>
        <w:right w:w="108" w:type="dxa"/>
      </w:tblCellMar>
    </w:tblPr>
  </w:style>
  <w:style w:type="paragraph" w:customStyle="1" w:styleId="2">
    <w:name w:val="Default"/>
    <w:basedOn w:val="3"/>
    <w:next w:val="1"/>
    <w:qFormat/>
    <w:uiPriority w:val="0"/>
    <w:pPr>
      <w:widowControl w:val="0"/>
      <w:autoSpaceDE w:val="0"/>
      <w:autoSpaceDN w:val="0"/>
      <w:adjustRightInd w:val="0"/>
    </w:pPr>
    <w:rPr>
      <w:rFonts w:ascii="宋体" w:cs="宋体"/>
      <w:color w:val="000000"/>
      <w:sz w:val="24"/>
      <w:szCs w:val="24"/>
      <w:lang w:val="en-US" w:eastAsia="zh-CN" w:bidi="ar-SA"/>
    </w:rPr>
  </w:style>
  <w:style w:type="paragraph" w:customStyle="1" w:styleId="3">
    <w:name w:val="标题 段落4级"/>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paragraph" w:styleId="8">
    <w:name w:val="E-mail Signature"/>
    <w:basedOn w:val="1"/>
    <w:next w:val="9"/>
    <w:qFormat/>
    <w:uiPriority w:val="0"/>
    <w:pPr>
      <w:spacing w:line="460" w:lineRule="exact"/>
      <w:ind w:firstLine="200"/>
    </w:pPr>
    <w:rPr>
      <w:rFonts w:ascii="Times New Roman" w:hAnsi="Times New Roman" w:eastAsia="宋体" w:cs="Times New Roman"/>
      <w:sz w:val="24"/>
    </w:rPr>
  </w:style>
  <w:style w:type="paragraph" w:customStyle="1" w:styleId="9">
    <w:name w:val="文章"/>
    <w:basedOn w:val="1"/>
    <w:next w:val="10"/>
    <w:qFormat/>
    <w:uiPriority w:val="0"/>
    <w:pPr>
      <w:widowControl/>
      <w:ind w:firstLine="480"/>
      <w:jc w:val="center"/>
    </w:pPr>
    <w:rPr>
      <w:rFonts w:ascii="Times New Roman" w:hAnsi="Times New Roman" w:eastAsia="宋体" w:cs="Times New Roman"/>
      <w:sz w:val="26"/>
    </w:rPr>
  </w:style>
  <w:style w:type="paragraph" w:styleId="10">
    <w:name w:val="List"/>
    <w:basedOn w:val="1"/>
    <w:next w:val="11"/>
    <w:qFormat/>
    <w:uiPriority w:val="0"/>
    <w:pPr>
      <w:ind w:left="200" w:hanging="200" w:hangingChars="200"/>
    </w:pPr>
  </w:style>
  <w:style w:type="paragraph" w:styleId="11">
    <w:name w:val="List Bullet 2"/>
    <w:basedOn w:val="1"/>
    <w:next w:val="12"/>
    <w:qFormat/>
    <w:uiPriority w:val="0"/>
    <w:pPr>
      <w:numPr>
        <w:ilvl w:val="0"/>
        <w:numId w:val="1"/>
      </w:numPr>
    </w:pPr>
  </w:style>
  <w:style w:type="paragraph" w:customStyle="1" w:styleId="12">
    <w:name w:val="xl70"/>
    <w:basedOn w:val="1"/>
    <w:next w:val="13"/>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13">
    <w:name w:val="正文缩进1"/>
    <w:basedOn w:val="1"/>
    <w:next w:val="14"/>
    <w:qFormat/>
    <w:uiPriority w:val="0"/>
    <w:pPr>
      <w:ind w:firstLine="420"/>
    </w:pPr>
    <w:rPr>
      <w:rFonts w:ascii="Times New Roman" w:hAnsi="Times New Roman" w:eastAsia="宋体" w:cs="Times New Roman"/>
    </w:rPr>
  </w:style>
  <w:style w:type="paragraph" w:customStyle="1" w:styleId="14">
    <w:name w:val="td1"/>
    <w:basedOn w:val="1"/>
    <w:next w:val="1"/>
    <w:qFormat/>
    <w:uiPriority w:val="0"/>
    <w:pPr>
      <w:widowControl/>
      <w:spacing w:before="280" w:after="280" w:line="300" w:lineRule="atLeast"/>
      <w:ind w:firstLine="200"/>
    </w:pPr>
    <w:rPr>
      <w:rFonts w:ascii="Times New Roman" w:hAnsi="Times New Roman" w:eastAsia="宋体" w:cs="Times New Roman"/>
      <w:color w:val="000000"/>
      <w:sz w:val="18"/>
    </w:rPr>
  </w:style>
  <w:style w:type="paragraph" w:styleId="15">
    <w:name w:val="Normal Indent"/>
    <w:basedOn w:val="1"/>
    <w:next w:val="1"/>
    <w:link w:val="50"/>
    <w:qFormat/>
    <w:uiPriority w:val="0"/>
    <w:pPr>
      <w:spacing w:line="360" w:lineRule="auto"/>
      <w:ind w:firstLine="420" w:firstLineChars="200"/>
    </w:pPr>
    <w:rPr>
      <w:sz w:val="24"/>
      <w:szCs w:val="20"/>
    </w:rPr>
  </w:style>
  <w:style w:type="paragraph" w:styleId="16">
    <w:name w:val="caption"/>
    <w:basedOn w:val="1"/>
    <w:next w:val="1"/>
    <w:qFormat/>
    <w:uiPriority w:val="0"/>
    <w:pPr>
      <w:jc w:val="center"/>
    </w:pPr>
    <w:rPr>
      <w:rFonts w:ascii="Calibri" w:hAnsi="Calibri"/>
      <w:b/>
      <w:kern w:val="0"/>
      <w:sz w:val="28"/>
      <w:szCs w:val="20"/>
    </w:rPr>
  </w:style>
  <w:style w:type="paragraph" w:styleId="17">
    <w:name w:val="annotation text"/>
    <w:basedOn w:val="1"/>
    <w:link w:val="52"/>
    <w:qFormat/>
    <w:uiPriority w:val="0"/>
    <w:pPr>
      <w:jc w:val="left"/>
    </w:pPr>
    <w:rPr>
      <w:kern w:val="0"/>
      <w:sz w:val="24"/>
      <w:szCs w:val="20"/>
    </w:rPr>
  </w:style>
  <w:style w:type="paragraph" w:styleId="18">
    <w:name w:val="Salutation"/>
    <w:basedOn w:val="1"/>
    <w:next w:val="1"/>
    <w:qFormat/>
    <w:uiPriority w:val="0"/>
    <w:rPr>
      <w:sz w:val="21"/>
    </w:rPr>
  </w:style>
  <w:style w:type="paragraph" w:styleId="19">
    <w:name w:val="Body Text"/>
    <w:basedOn w:val="1"/>
    <w:next w:val="20"/>
    <w:link w:val="45"/>
    <w:qFormat/>
    <w:uiPriority w:val="0"/>
    <w:pPr>
      <w:widowControl/>
      <w:snapToGrid w:val="0"/>
      <w:spacing w:before="60" w:after="160" w:line="259" w:lineRule="auto"/>
      <w:ind w:right="113"/>
    </w:pPr>
    <w:rPr>
      <w:kern w:val="0"/>
      <w:sz w:val="18"/>
      <w:szCs w:val="20"/>
    </w:rPr>
  </w:style>
  <w:style w:type="paragraph" w:customStyle="1" w:styleId="20">
    <w:name w:val="xl2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rPr>
  </w:style>
  <w:style w:type="paragraph" w:styleId="21">
    <w:name w:val="Body Text Indent"/>
    <w:basedOn w:val="1"/>
    <w:next w:val="22"/>
    <w:link w:val="53"/>
    <w:qFormat/>
    <w:uiPriority w:val="0"/>
    <w:pPr>
      <w:spacing w:after="120"/>
      <w:ind w:left="420" w:leftChars="200"/>
    </w:pPr>
    <w:rPr>
      <w:kern w:val="0"/>
      <w:sz w:val="24"/>
      <w:szCs w:val="20"/>
    </w:rPr>
  </w:style>
  <w:style w:type="paragraph" w:customStyle="1" w:styleId="22">
    <w:name w:val="样式 标题 1一级标题 + 段前: 0.5 行 段后: 0.5 行"/>
    <w:basedOn w:val="4"/>
    <w:qFormat/>
    <w:uiPriority w:val="99"/>
    <w:pPr>
      <w:spacing w:line="320" w:lineRule="exact"/>
      <w:outlineLvl w:val="9"/>
    </w:pPr>
    <w:rPr>
      <w:spacing w:val="-6"/>
      <w:sz w:val="21"/>
      <w:szCs w:val="21"/>
    </w:rPr>
  </w:style>
  <w:style w:type="paragraph" w:styleId="23">
    <w:name w:val="Block Text"/>
    <w:basedOn w:val="1"/>
    <w:unhideWhenUsed/>
    <w:qFormat/>
    <w:uiPriority w:val="0"/>
    <w:pPr>
      <w:snapToGrid w:val="0"/>
      <w:spacing w:line="408" w:lineRule="auto"/>
      <w:ind w:left="-113" w:right="-510" w:firstLine="510"/>
    </w:pPr>
    <w:rPr>
      <w:rFonts w:ascii="Calibri" w:hAnsi="Calibri"/>
      <w:sz w:val="24"/>
      <w:szCs w:val="20"/>
    </w:rPr>
  </w:style>
  <w:style w:type="paragraph" w:styleId="24">
    <w:name w:val="Plain Text"/>
    <w:basedOn w:val="1"/>
    <w:next w:val="18"/>
    <w:link w:val="54"/>
    <w:qFormat/>
    <w:uiPriority w:val="0"/>
    <w:rPr>
      <w:rFonts w:ascii="宋体" w:hAnsi="Courier New"/>
      <w:szCs w:val="21"/>
    </w:rPr>
  </w:style>
  <w:style w:type="paragraph" w:styleId="25">
    <w:name w:val="Date"/>
    <w:basedOn w:val="1"/>
    <w:next w:val="1"/>
    <w:link w:val="55"/>
    <w:qFormat/>
    <w:uiPriority w:val="0"/>
    <w:pPr>
      <w:ind w:left="100" w:leftChars="2500"/>
    </w:pPr>
    <w:rPr>
      <w:kern w:val="0"/>
      <w:sz w:val="24"/>
      <w:szCs w:val="20"/>
    </w:rPr>
  </w:style>
  <w:style w:type="paragraph" w:styleId="26">
    <w:name w:val="Balloon Text"/>
    <w:basedOn w:val="1"/>
    <w:link w:val="56"/>
    <w:semiHidden/>
    <w:qFormat/>
    <w:uiPriority w:val="0"/>
    <w:rPr>
      <w:kern w:val="0"/>
      <w:sz w:val="18"/>
      <w:szCs w:val="20"/>
    </w:rPr>
  </w:style>
  <w:style w:type="paragraph" w:styleId="27">
    <w:name w:val="footer"/>
    <w:basedOn w:val="1"/>
    <w:link w:val="57"/>
    <w:qFormat/>
    <w:uiPriority w:val="99"/>
    <w:pPr>
      <w:tabs>
        <w:tab w:val="center" w:pos="4153"/>
        <w:tab w:val="right" w:pos="8306"/>
      </w:tabs>
      <w:snapToGrid w:val="0"/>
      <w:jc w:val="left"/>
    </w:pPr>
    <w:rPr>
      <w:kern w:val="0"/>
      <w:sz w:val="18"/>
      <w:szCs w:val="20"/>
    </w:rPr>
  </w:style>
  <w:style w:type="paragraph" w:styleId="28">
    <w:name w:val="header"/>
    <w:basedOn w:val="1"/>
    <w:link w:val="58"/>
    <w:qFormat/>
    <w:uiPriority w:val="99"/>
    <w:pPr>
      <w:pBdr>
        <w:bottom w:val="single" w:color="auto" w:sz="6" w:space="1"/>
      </w:pBdr>
      <w:tabs>
        <w:tab w:val="center" w:pos="4153"/>
        <w:tab w:val="right" w:pos="8306"/>
      </w:tabs>
      <w:snapToGrid w:val="0"/>
      <w:jc w:val="center"/>
    </w:pPr>
    <w:rPr>
      <w:kern w:val="0"/>
      <w:sz w:val="18"/>
      <w:szCs w:val="20"/>
    </w:rPr>
  </w:style>
  <w:style w:type="paragraph" w:styleId="29">
    <w:name w:val="Body Text Indent 3"/>
    <w:basedOn w:val="1"/>
    <w:link w:val="59"/>
    <w:qFormat/>
    <w:uiPriority w:val="0"/>
    <w:pPr>
      <w:spacing w:after="120"/>
      <w:ind w:left="420" w:leftChars="200"/>
    </w:pPr>
    <w:rPr>
      <w:sz w:val="16"/>
      <w:szCs w:val="16"/>
    </w:rPr>
  </w:style>
  <w:style w:type="paragraph" w:styleId="30">
    <w:name w:val="toc 2"/>
    <w:basedOn w:val="1"/>
    <w:next w:val="8"/>
    <w:qFormat/>
    <w:uiPriority w:val="0"/>
    <w:pPr>
      <w:tabs>
        <w:tab w:val="left" w:pos="1021"/>
      </w:tabs>
      <w:ind w:left="420" w:leftChars="200"/>
    </w:pPr>
    <w:rPr>
      <w:rFonts w:ascii="宋体" w:hAnsi="宋体" w:eastAsia="宋体" w:cs="Times New Roman"/>
      <w:b/>
    </w:rPr>
  </w:style>
  <w:style w:type="paragraph" w:styleId="31">
    <w:name w:val="Body Text 2"/>
    <w:basedOn w:val="1"/>
    <w:link w:val="60"/>
    <w:unhideWhenUsed/>
    <w:qFormat/>
    <w:uiPriority w:val="99"/>
    <w:pPr>
      <w:spacing w:after="120" w:line="480" w:lineRule="auto"/>
    </w:pPr>
  </w:style>
  <w:style w:type="paragraph" w:styleId="32">
    <w:name w:val="HTML Preformatted"/>
    <w:basedOn w:val="1"/>
    <w:link w:val="6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33">
    <w:name w:val="Normal (Web)"/>
    <w:basedOn w:val="1"/>
    <w:link w:val="62"/>
    <w:qFormat/>
    <w:uiPriority w:val="0"/>
    <w:pPr>
      <w:widowControl/>
      <w:spacing w:before="100" w:beforeAutospacing="1" w:after="100" w:afterAutospacing="1"/>
      <w:jc w:val="left"/>
    </w:pPr>
    <w:rPr>
      <w:rFonts w:ascii="宋体" w:hAnsi="宋体"/>
      <w:kern w:val="0"/>
      <w:sz w:val="24"/>
      <w:szCs w:val="20"/>
    </w:rPr>
  </w:style>
  <w:style w:type="paragraph" w:styleId="34">
    <w:name w:val="annotation subject"/>
    <w:basedOn w:val="17"/>
    <w:next w:val="17"/>
    <w:link w:val="63"/>
    <w:semiHidden/>
    <w:qFormat/>
    <w:uiPriority w:val="0"/>
    <w:rPr>
      <w:b/>
      <w:sz w:val="24"/>
      <w:szCs w:val="20"/>
    </w:rPr>
  </w:style>
  <w:style w:type="paragraph" w:styleId="35">
    <w:name w:val="Body Text First Indent"/>
    <w:basedOn w:val="19"/>
    <w:next w:val="1"/>
    <w:link w:val="64"/>
    <w:qFormat/>
    <w:uiPriority w:val="99"/>
    <w:pPr>
      <w:widowControl w:val="0"/>
      <w:snapToGrid/>
      <w:spacing w:before="0" w:after="120" w:line="240" w:lineRule="auto"/>
      <w:ind w:right="0" w:firstLine="420" w:firstLineChars="100"/>
    </w:pPr>
    <w:rPr>
      <w:kern w:val="2"/>
      <w:sz w:val="21"/>
      <w:szCs w:val="24"/>
    </w:rPr>
  </w:style>
  <w:style w:type="paragraph" w:styleId="36">
    <w:name w:val="Body Text First Indent 2"/>
    <w:basedOn w:val="1"/>
    <w:link w:val="65"/>
    <w:unhideWhenUsed/>
    <w:qFormat/>
    <w:uiPriority w:val="99"/>
    <w:pPr>
      <w:ind w:firstLine="420" w:firstLineChars="200"/>
    </w:pPr>
  </w:style>
  <w:style w:type="table" w:styleId="38">
    <w:name w:val="Table Grid"/>
    <w:basedOn w:val="37"/>
    <w:qFormat/>
    <w:uiPriority w:val="99"/>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0">
    <w:name w:val="Strong"/>
    <w:qFormat/>
    <w:uiPriority w:val="0"/>
    <w:rPr>
      <w:b/>
      <w:bCs/>
    </w:rPr>
  </w:style>
  <w:style w:type="character" w:styleId="41">
    <w:name w:val="page number"/>
    <w:qFormat/>
    <w:uiPriority w:val="0"/>
  </w:style>
  <w:style w:type="character" w:styleId="42">
    <w:name w:val="Emphasis"/>
    <w:qFormat/>
    <w:uiPriority w:val="0"/>
    <w:rPr>
      <w:i/>
      <w:sz w:val="21"/>
    </w:rPr>
  </w:style>
  <w:style w:type="character" w:styleId="43">
    <w:name w:val="Hyperlink"/>
    <w:qFormat/>
    <w:uiPriority w:val="0"/>
    <w:rPr>
      <w:color w:val="136EC2"/>
      <w:u w:val="single"/>
    </w:rPr>
  </w:style>
  <w:style w:type="character" w:styleId="44">
    <w:name w:val="annotation reference"/>
    <w:semiHidden/>
    <w:qFormat/>
    <w:uiPriority w:val="99"/>
    <w:rPr>
      <w:sz w:val="21"/>
    </w:rPr>
  </w:style>
  <w:style w:type="character" w:customStyle="1" w:styleId="45">
    <w:name w:val="正文文本 字符"/>
    <w:link w:val="19"/>
    <w:qFormat/>
    <w:uiPriority w:val="0"/>
    <w:rPr>
      <w:sz w:val="18"/>
    </w:rPr>
  </w:style>
  <w:style w:type="character" w:customStyle="1" w:styleId="46">
    <w:name w:val="标题 1 字符"/>
    <w:link w:val="4"/>
    <w:qFormat/>
    <w:uiPriority w:val="0"/>
    <w:rPr>
      <w:rFonts w:eastAsia="黑体"/>
      <w:b/>
      <w:bCs/>
      <w:color w:val="000000"/>
      <w:kern w:val="44"/>
      <w:sz w:val="30"/>
      <w:szCs w:val="30"/>
    </w:rPr>
  </w:style>
  <w:style w:type="character" w:customStyle="1" w:styleId="47">
    <w:name w:val="标题 2 字符"/>
    <w:link w:val="5"/>
    <w:qFormat/>
    <w:uiPriority w:val="0"/>
    <w:rPr>
      <w:rFonts w:ascii="Arial" w:hAnsi="Arial" w:eastAsia="黑体"/>
      <w:b/>
      <w:bCs/>
      <w:kern w:val="2"/>
      <w:sz w:val="32"/>
      <w:szCs w:val="32"/>
    </w:rPr>
  </w:style>
  <w:style w:type="character" w:customStyle="1" w:styleId="48">
    <w:name w:val="标题 3 字符"/>
    <w:link w:val="6"/>
    <w:qFormat/>
    <w:uiPriority w:val="0"/>
    <w:rPr>
      <w:b/>
      <w:bCs/>
      <w:kern w:val="2"/>
      <w:sz w:val="32"/>
      <w:szCs w:val="32"/>
    </w:rPr>
  </w:style>
  <w:style w:type="character" w:customStyle="1" w:styleId="49">
    <w:name w:val="标题 4 字符"/>
    <w:link w:val="7"/>
    <w:semiHidden/>
    <w:qFormat/>
    <w:uiPriority w:val="9"/>
    <w:rPr>
      <w:rFonts w:ascii="等线 Light" w:hAnsi="等线 Light" w:eastAsia="等线 Light"/>
      <w:b/>
      <w:bCs/>
      <w:kern w:val="2"/>
      <w:sz w:val="28"/>
      <w:szCs w:val="28"/>
    </w:rPr>
  </w:style>
  <w:style w:type="character" w:customStyle="1" w:styleId="50">
    <w:name w:val="正文缩进 字符"/>
    <w:link w:val="15"/>
    <w:qFormat/>
    <w:uiPriority w:val="0"/>
    <w:rPr>
      <w:kern w:val="2"/>
      <w:sz w:val="24"/>
    </w:rPr>
  </w:style>
  <w:style w:type="paragraph" w:customStyle="1" w:styleId="51">
    <w:name w:val="样式 正文文本 + 首行缩进:  2 字符"/>
    <w:qFormat/>
    <w:uiPriority w:val="99"/>
    <w:pPr>
      <w:spacing w:after="200" w:line="480" w:lineRule="exact"/>
      <w:ind w:firstLine="480" w:firstLineChars="200"/>
    </w:pPr>
    <w:rPr>
      <w:rFonts w:ascii="Times New Roman" w:hAnsi="Times New Roman" w:eastAsia="微软雅黑" w:cs="Times New Roman"/>
      <w:sz w:val="24"/>
      <w:szCs w:val="22"/>
      <w:lang w:val="en-US" w:eastAsia="zh-CN" w:bidi="ar-SA"/>
    </w:rPr>
  </w:style>
  <w:style w:type="character" w:customStyle="1" w:styleId="52">
    <w:name w:val="批注文字 字符"/>
    <w:link w:val="17"/>
    <w:qFormat/>
    <w:uiPriority w:val="0"/>
    <w:rPr>
      <w:rFonts w:ascii="Times New Roman" w:hAnsi="Times New Roman" w:eastAsia="宋体"/>
      <w:sz w:val="24"/>
    </w:rPr>
  </w:style>
  <w:style w:type="character" w:customStyle="1" w:styleId="53">
    <w:name w:val="正文文本缩进 字符"/>
    <w:link w:val="21"/>
    <w:qFormat/>
    <w:uiPriority w:val="0"/>
    <w:rPr>
      <w:rFonts w:ascii="Times New Roman" w:hAnsi="Times New Roman" w:eastAsia="宋体"/>
      <w:sz w:val="24"/>
    </w:rPr>
  </w:style>
  <w:style w:type="character" w:customStyle="1" w:styleId="54">
    <w:name w:val="纯文本 字符"/>
    <w:link w:val="24"/>
    <w:qFormat/>
    <w:uiPriority w:val="0"/>
    <w:rPr>
      <w:rFonts w:ascii="宋体" w:hAnsi="Courier New"/>
      <w:kern w:val="2"/>
      <w:sz w:val="21"/>
      <w:szCs w:val="21"/>
    </w:rPr>
  </w:style>
  <w:style w:type="character" w:customStyle="1" w:styleId="55">
    <w:name w:val="日期 字符1"/>
    <w:link w:val="25"/>
    <w:qFormat/>
    <w:uiPriority w:val="0"/>
    <w:rPr>
      <w:rFonts w:ascii="Times New Roman" w:hAnsi="Times New Roman" w:eastAsia="宋体"/>
      <w:sz w:val="24"/>
    </w:rPr>
  </w:style>
  <w:style w:type="character" w:customStyle="1" w:styleId="56">
    <w:name w:val="批注框文本 字符"/>
    <w:link w:val="26"/>
    <w:semiHidden/>
    <w:qFormat/>
    <w:uiPriority w:val="0"/>
    <w:rPr>
      <w:rFonts w:ascii="Times New Roman" w:hAnsi="Times New Roman" w:eastAsia="宋体"/>
      <w:sz w:val="18"/>
    </w:rPr>
  </w:style>
  <w:style w:type="character" w:customStyle="1" w:styleId="57">
    <w:name w:val="页脚 字符1"/>
    <w:link w:val="27"/>
    <w:qFormat/>
    <w:uiPriority w:val="99"/>
    <w:rPr>
      <w:sz w:val="18"/>
    </w:rPr>
  </w:style>
  <w:style w:type="character" w:customStyle="1" w:styleId="58">
    <w:name w:val="页眉 字符"/>
    <w:link w:val="28"/>
    <w:qFormat/>
    <w:uiPriority w:val="99"/>
    <w:rPr>
      <w:sz w:val="18"/>
    </w:rPr>
  </w:style>
  <w:style w:type="character" w:customStyle="1" w:styleId="59">
    <w:name w:val="正文文本缩进 3 字符"/>
    <w:link w:val="29"/>
    <w:qFormat/>
    <w:uiPriority w:val="0"/>
    <w:rPr>
      <w:kern w:val="2"/>
      <w:sz w:val="16"/>
      <w:szCs w:val="16"/>
    </w:rPr>
  </w:style>
  <w:style w:type="character" w:customStyle="1" w:styleId="60">
    <w:name w:val="正文文本 2 字符"/>
    <w:link w:val="31"/>
    <w:qFormat/>
    <w:uiPriority w:val="99"/>
    <w:rPr>
      <w:kern w:val="2"/>
      <w:sz w:val="21"/>
      <w:szCs w:val="24"/>
    </w:rPr>
  </w:style>
  <w:style w:type="character" w:customStyle="1" w:styleId="61">
    <w:name w:val="HTML 预设格式 字符"/>
    <w:link w:val="32"/>
    <w:qFormat/>
    <w:uiPriority w:val="0"/>
    <w:rPr>
      <w:rFonts w:ascii="Arial" w:hAnsi="Arial" w:cs="Arial"/>
      <w:sz w:val="21"/>
      <w:szCs w:val="21"/>
    </w:rPr>
  </w:style>
  <w:style w:type="character" w:customStyle="1" w:styleId="62">
    <w:name w:val="普通(网站) 字符"/>
    <w:link w:val="33"/>
    <w:qFormat/>
    <w:uiPriority w:val="0"/>
    <w:rPr>
      <w:rFonts w:ascii="宋体" w:hAnsi="宋体" w:eastAsia="宋体"/>
      <w:sz w:val="24"/>
    </w:rPr>
  </w:style>
  <w:style w:type="character" w:customStyle="1" w:styleId="63">
    <w:name w:val="批注主题 字符"/>
    <w:link w:val="34"/>
    <w:semiHidden/>
    <w:qFormat/>
    <w:uiPriority w:val="0"/>
    <w:rPr>
      <w:rFonts w:ascii="Times New Roman" w:hAnsi="Times New Roman" w:eastAsia="宋体"/>
      <w:b/>
      <w:kern w:val="2"/>
      <w:sz w:val="24"/>
    </w:rPr>
  </w:style>
  <w:style w:type="character" w:customStyle="1" w:styleId="64">
    <w:name w:val="正文文本首行缩进 字符"/>
    <w:link w:val="35"/>
    <w:qFormat/>
    <w:uiPriority w:val="99"/>
    <w:rPr>
      <w:kern w:val="2"/>
      <w:sz w:val="21"/>
      <w:szCs w:val="24"/>
    </w:rPr>
  </w:style>
  <w:style w:type="character" w:customStyle="1" w:styleId="65">
    <w:name w:val="正文文本首行缩进 2 字符"/>
    <w:link w:val="36"/>
    <w:qFormat/>
    <w:uiPriority w:val="99"/>
    <w:rPr>
      <w:rFonts w:ascii="Times New Roman" w:hAnsi="Times New Roman" w:eastAsia="宋体"/>
      <w:kern w:val="2"/>
      <w:sz w:val="21"/>
      <w:szCs w:val="24"/>
    </w:rPr>
  </w:style>
  <w:style w:type="character" w:customStyle="1" w:styleId="66">
    <w:name w:val="页脚 字符"/>
    <w:qFormat/>
    <w:uiPriority w:val="99"/>
  </w:style>
  <w:style w:type="character" w:customStyle="1" w:styleId="67">
    <w:name w:val="正文文本 字符1"/>
    <w:semiHidden/>
    <w:qFormat/>
    <w:uiPriority w:val="0"/>
    <w:rPr>
      <w:rFonts w:ascii="Times New Roman" w:hAnsi="Times New Roman" w:eastAsia="宋体"/>
      <w:sz w:val="24"/>
    </w:rPr>
  </w:style>
  <w:style w:type="character" w:customStyle="1" w:styleId="68">
    <w:name w:val="表格 Char"/>
    <w:link w:val="69"/>
    <w:qFormat/>
    <w:uiPriority w:val="0"/>
    <w:rPr>
      <w:rFonts w:ascii="宋体"/>
      <w:sz w:val="21"/>
    </w:rPr>
  </w:style>
  <w:style w:type="paragraph" w:customStyle="1" w:styleId="69">
    <w:name w:val="表格"/>
    <w:basedOn w:val="10"/>
    <w:next w:val="1"/>
    <w:link w:val="68"/>
    <w:qFormat/>
    <w:uiPriority w:val="0"/>
    <w:pPr>
      <w:adjustRightInd w:val="0"/>
      <w:snapToGrid w:val="0"/>
      <w:spacing w:beforeLines="10" w:afterLines="10" w:line="259" w:lineRule="auto"/>
      <w:jc w:val="center"/>
    </w:pPr>
    <w:rPr>
      <w:rFonts w:ascii="宋体"/>
      <w:kern w:val="0"/>
      <w:szCs w:val="20"/>
    </w:rPr>
  </w:style>
  <w:style w:type="character" w:customStyle="1" w:styleId="70">
    <w:name w:val="日期 字符"/>
    <w:semiHidden/>
    <w:qFormat/>
    <w:uiPriority w:val="0"/>
    <w:rPr>
      <w:rFonts w:ascii="Times New Roman" w:hAnsi="Times New Roman" w:eastAsia="宋体"/>
      <w:sz w:val="24"/>
    </w:rPr>
  </w:style>
  <w:style w:type="character" w:customStyle="1" w:styleId="71">
    <w:name w:val="批注文字 字符1"/>
    <w:semiHidden/>
    <w:qFormat/>
    <w:uiPriority w:val="0"/>
    <w:rPr>
      <w:rFonts w:ascii="Times New Roman" w:hAnsi="Times New Roman" w:eastAsia="宋体"/>
      <w:sz w:val="24"/>
    </w:rPr>
  </w:style>
  <w:style w:type="paragraph" w:customStyle="1" w:styleId="72">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73">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74">
    <w:name w:val="表内字"/>
    <w:basedOn w:val="1"/>
    <w:link w:val="75"/>
    <w:qFormat/>
    <w:uiPriority w:val="0"/>
    <w:pPr>
      <w:widowControl/>
      <w:spacing w:line="320" w:lineRule="exact"/>
      <w:jc w:val="center"/>
    </w:pPr>
    <w:rPr>
      <w:rFonts w:ascii="Calibri" w:hAnsi="Calibri" w:cs="宋体"/>
      <w:szCs w:val="21"/>
    </w:rPr>
  </w:style>
  <w:style w:type="character" w:customStyle="1" w:styleId="75">
    <w:name w:val="表内字 Char"/>
    <w:link w:val="74"/>
    <w:qFormat/>
    <w:uiPriority w:val="0"/>
    <w:rPr>
      <w:rFonts w:ascii="Calibri" w:hAnsi="Calibri" w:cs="宋体"/>
      <w:kern w:val="2"/>
      <w:sz w:val="21"/>
      <w:szCs w:val="21"/>
    </w:rPr>
  </w:style>
  <w:style w:type="paragraph" w:styleId="76">
    <w:name w:val="List Paragraph"/>
    <w:basedOn w:val="1"/>
    <w:qFormat/>
    <w:uiPriority w:val="34"/>
    <w:pPr>
      <w:ind w:firstLine="420" w:firstLineChars="200"/>
    </w:pPr>
  </w:style>
  <w:style w:type="paragraph" w:customStyle="1" w:styleId="77">
    <w:name w:val="表格内容"/>
    <w:basedOn w:val="1"/>
    <w:link w:val="78"/>
    <w:qFormat/>
    <w:uiPriority w:val="0"/>
    <w:pPr>
      <w:jc w:val="center"/>
    </w:pPr>
    <w:rPr>
      <w:rFonts w:ascii="Calibri" w:hAnsi="Calibri" w:eastAsia="宋体" w:cs="Times New Roman"/>
      <w:szCs w:val="22"/>
    </w:rPr>
  </w:style>
  <w:style w:type="character" w:customStyle="1" w:styleId="78">
    <w:name w:val="表格内容 Char"/>
    <w:link w:val="77"/>
    <w:qFormat/>
    <w:uiPriority w:val="0"/>
    <w:rPr>
      <w:rFonts w:ascii="Calibri" w:hAnsi="Calibri"/>
      <w:kern w:val="2"/>
      <w:sz w:val="21"/>
      <w:szCs w:val="22"/>
    </w:rPr>
  </w:style>
  <w:style w:type="paragraph" w:customStyle="1" w:styleId="79">
    <w:name w:val="p0"/>
    <w:basedOn w:val="1"/>
    <w:qFormat/>
    <w:uiPriority w:val="0"/>
    <w:pPr>
      <w:widowControl/>
    </w:pPr>
    <w:rPr>
      <w:kern w:val="0"/>
      <w:szCs w:val="21"/>
    </w:rPr>
  </w:style>
  <w:style w:type="paragraph" w:customStyle="1" w:styleId="80">
    <w:name w:val="宋体 小四"/>
    <w:basedOn w:val="1"/>
    <w:link w:val="81"/>
    <w:qFormat/>
    <w:uiPriority w:val="0"/>
    <w:pPr>
      <w:spacing w:line="360" w:lineRule="auto"/>
      <w:ind w:firstLine="200" w:firstLineChars="200"/>
    </w:pPr>
    <w:rPr>
      <w:rFonts w:hAnsi="宋体"/>
      <w:sz w:val="24"/>
    </w:rPr>
  </w:style>
  <w:style w:type="character" w:customStyle="1" w:styleId="81">
    <w:name w:val="宋体 小四 Char"/>
    <w:link w:val="80"/>
    <w:qFormat/>
    <w:uiPriority w:val="0"/>
    <w:rPr>
      <w:rFonts w:hAnsi="宋体"/>
      <w:kern w:val="2"/>
      <w:sz w:val="24"/>
      <w:szCs w:val="24"/>
    </w:rPr>
  </w:style>
  <w:style w:type="paragraph" w:customStyle="1" w:styleId="82">
    <w:name w:val="简单回函地址"/>
    <w:basedOn w:val="1"/>
    <w:qFormat/>
    <w:uiPriority w:val="0"/>
    <w:rPr>
      <w:sz w:val="24"/>
      <w:szCs w:val="20"/>
    </w:rPr>
  </w:style>
  <w:style w:type="paragraph" w:customStyle="1" w:styleId="83">
    <w:name w:val="表格文字"/>
    <w:basedOn w:val="15"/>
    <w:qFormat/>
    <w:uiPriority w:val="0"/>
    <w:pPr>
      <w:widowControl w:val="0"/>
      <w:autoSpaceDE w:val="0"/>
      <w:autoSpaceDN w:val="0"/>
      <w:adjustRightInd w:val="0"/>
      <w:textAlignment w:val="baseline"/>
    </w:pPr>
    <w:rPr>
      <w:rFonts w:ascii="宋体"/>
      <w:color w:val="000000"/>
      <w:sz w:val="24"/>
      <w:lang w:val="en-US" w:eastAsia="zh-CN" w:bidi="ar-SA"/>
    </w:rPr>
  </w:style>
  <w:style w:type="paragraph" w:customStyle="1" w:styleId="84">
    <w:name w:val="Char"/>
    <w:basedOn w:val="1"/>
    <w:qFormat/>
    <w:uiPriority w:val="0"/>
    <w:pPr>
      <w:snapToGrid w:val="0"/>
      <w:spacing w:line="360" w:lineRule="auto"/>
      <w:ind w:firstLine="529" w:firstLineChars="200"/>
    </w:pPr>
    <w:rPr>
      <w:rFonts w:ascii="宋体" w:hAnsi="宋体"/>
      <w:b/>
    </w:rPr>
  </w:style>
  <w:style w:type="paragraph" w:customStyle="1" w:styleId="85">
    <w:name w:val="1"/>
    <w:basedOn w:val="1"/>
    <w:next w:val="21"/>
    <w:qFormat/>
    <w:uiPriority w:val="0"/>
    <w:pPr>
      <w:spacing w:line="360" w:lineRule="auto"/>
      <w:ind w:firstLine="480" w:firstLineChars="200"/>
    </w:pPr>
    <w:rPr>
      <w:rFonts w:ascii="仿宋_GB2312" w:eastAsia="仿宋_GB2312"/>
      <w:sz w:val="24"/>
      <w:szCs w:val="20"/>
    </w:rPr>
  </w:style>
  <w:style w:type="paragraph" w:customStyle="1" w:styleId="86">
    <w:name w:val="默认段落字体 Para Char Char Char Char"/>
    <w:basedOn w:val="1"/>
    <w:qFormat/>
    <w:uiPriority w:val="0"/>
    <w:rPr>
      <w:sz w:val="24"/>
    </w:rPr>
  </w:style>
  <w:style w:type="character" w:customStyle="1" w:styleId="87">
    <w:name w:val="search_content1"/>
    <w:qFormat/>
    <w:uiPriority w:val="0"/>
    <w:rPr>
      <w:sz w:val="20"/>
      <w:szCs w:val="20"/>
    </w:rPr>
  </w:style>
  <w:style w:type="paragraph" w:customStyle="1" w:styleId="88">
    <w:name w:val="Char Char Char Char"/>
    <w:basedOn w:val="1"/>
    <w:qFormat/>
    <w:uiPriority w:val="0"/>
  </w:style>
  <w:style w:type="character" w:customStyle="1" w:styleId="89">
    <w:name w:val="ccccc正文 Char"/>
    <w:link w:val="90"/>
    <w:qFormat/>
    <w:uiPriority w:val="0"/>
    <w:rPr>
      <w:rFonts w:ascii="宋体" w:hAnsi="宋体"/>
      <w:color w:val="000000"/>
      <w:sz w:val="24"/>
    </w:rPr>
  </w:style>
  <w:style w:type="paragraph" w:customStyle="1" w:styleId="90">
    <w:name w:val="ccccc正文"/>
    <w:basedOn w:val="1"/>
    <w:link w:val="89"/>
    <w:qFormat/>
    <w:uiPriority w:val="0"/>
    <w:pPr>
      <w:keepNext/>
      <w:keepLines/>
      <w:spacing w:line="360" w:lineRule="auto"/>
      <w:ind w:firstLine="480" w:firstLineChars="200"/>
    </w:pPr>
    <w:rPr>
      <w:rFonts w:ascii="宋体" w:hAnsi="宋体"/>
      <w:color w:val="000000"/>
      <w:kern w:val="0"/>
      <w:sz w:val="24"/>
      <w:szCs w:val="20"/>
    </w:rPr>
  </w:style>
  <w:style w:type="paragraph" w:customStyle="1" w:styleId="91">
    <w:name w:val="表格2"/>
    <w:basedOn w:val="1"/>
    <w:link w:val="92"/>
    <w:qFormat/>
    <w:uiPriority w:val="0"/>
    <w:pPr>
      <w:adjustRightInd w:val="0"/>
      <w:snapToGrid w:val="0"/>
      <w:jc w:val="center"/>
    </w:pPr>
    <w:rPr>
      <w:rFonts w:eastAsia="Times New Roman"/>
      <w:bCs/>
      <w:szCs w:val="21"/>
    </w:rPr>
  </w:style>
  <w:style w:type="character" w:customStyle="1" w:styleId="92">
    <w:name w:val="表格2 Char"/>
    <w:link w:val="91"/>
    <w:qFormat/>
    <w:uiPriority w:val="0"/>
    <w:rPr>
      <w:rFonts w:eastAsia="Times New Roman"/>
      <w:bCs/>
      <w:kern w:val="2"/>
      <w:sz w:val="21"/>
      <w:szCs w:val="21"/>
    </w:rPr>
  </w:style>
  <w:style w:type="paragraph" w:customStyle="1" w:styleId="93">
    <w:name w:val="报告表正文"/>
    <w:basedOn w:val="1"/>
    <w:qFormat/>
    <w:uiPriority w:val="0"/>
    <w:pPr>
      <w:adjustRightInd w:val="0"/>
      <w:spacing w:line="312" w:lineRule="auto"/>
      <w:ind w:left="113" w:right="113" w:firstLine="482"/>
      <w:jc w:val="left"/>
      <w:textAlignment w:val="baseline"/>
    </w:pPr>
    <w:rPr>
      <w:kern w:val="0"/>
      <w:sz w:val="24"/>
      <w:szCs w:val="20"/>
    </w:rPr>
  </w:style>
  <w:style w:type="character" w:customStyle="1" w:styleId="94">
    <w:name w:val="headline-content2"/>
    <w:qFormat/>
    <w:uiPriority w:val="0"/>
  </w:style>
  <w:style w:type="paragraph" w:customStyle="1" w:styleId="95">
    <w:name w:val="Char Char3"/>
    <w:basedOn w:val="1"/>
    <w:qFormat/>
    <w:uiPriority w:val="0"/>
    <w:rPr>
      <w:szCs w:val="21"/>
    </w:rPr>
  </w:style>
  <w:style w:type="paragraph" w:customStyle="1" w:styleId="96">
    <w:name w:val="Char1 Char Char Char"/>
    <w:basedOn w:val="1"/>
    <w:qFormat/>
    <w:uiPriority w:val="0"/>
    <w:pPr>
      <w:spacing w:beforeLines="100" w:afterLines="50" w:line="600" w:lineRule="exact"/>
      <w:ind w:firstLine="200" w:firstLineChars="200"/>
    </w:pPr>
    <w:rPr>
      <w:rFonts w:eastAsia="黑体"/>
      <w:sz w:val="28"/>
    </w:rPr>
  </w:style>
  <w:style w:type="character" w:customStyle="1" w:styleId="97">
    <w:name w:val="正文四号 Char"/>
    <w:link w:val="98"/>
    <w:qFormat/>
    <w:uiPriority w:val="0"/>
    <w:rPr>
      <w:sz w:val="28"/>
    </w:rPr>
  </w:style>
  <w:style w:type="paragraph" w:customStyle="1" w:styleId="98">
    <w:name w:val="正文四号"/>
    <w:basedOn w:val="1"/>
    <w:link w:val="97"/>
    <w:qFormat/>
    <w:uiPriority w:val="0"/>
    <w:pPr>
      <w:spacing w:line="360" w:lineRule="auto"/>
      <w:ind w:firstLine="200" w:firstLineChars="200"/>
    </w:pPr>
    <w:rPr>
      <w:kern w:val="0"/>
      <w:sz w:val="28"/>
      <w:szCs w:val="20"/>
    </w:rPr>
  </w:style>
  <w:style w:type="paragraph" w:customStyle="1" w:styleId="99">
    <w:name w:val="报告书正文"/>
    <w:basedOn w:val="1"/>
    <w:link w:val="100"/>
    <w:qFormat/>
    <w:uiPriority w:val="0"/>
    <w:pPr>
      <w:autoSpaceDE w:val="0"/>
      <w:autoSpaceDN w:val="0"/>
      <w:spacing w:line="520" w:lineRule="exact"/>
      <w:ind w:firstLine="200" w:firstLineChars="200"/>
    </w:pPr>
    <w:rPr>
      <w:sz w:val="28"/>
      <w:szCs w:val="28"/>
    </w:rPr>
  </w:style>
  <w:style w:type="character" w:customStyle="1" w:styleId="100">
    <w:name w:val="报告书正文 Char Char"/>
    <w:link w:val="99"/>
    <w:qFormat/>
    <w:uiPriority w:val="0"/>
    <w:rPr>
      <w:kern w:val="2"/>
      <w:sz w:val="28"/>
      <w:szCs w:val="28"/>
    </w:rPr>
  </w:style>
  <w:style w:type="paragraph" w:customStyle="1" w:styleId="101">
    <w:name w:val="7表格内容"/>
    <w:basedOn w:val="1"/>
    <w:next w:val="1"/>
    <w:qFormat/>
    <w:uiPriority w:val="0"/>
    <w:pPr>
      <w:adjustRightInd w:val="0"/>
      <w:snapToGrid w:val="0"/>
      <w:spacing w:line="360" w:lineRule="atLeast"/>
      <w:jc w:val="center"/>
      <w:textAlignment w:val="baseline"/>
    </w:pPr>
    <w:rPr>
      <w:kern w:val="0"/>
      <w:szCs w:val="20"/>
    </w:rPr>
  </w:style>
  <w:style w:type="paragraph" w:customStyle="1" w:styleId="102">
    <w:name w:val="Char2"/>
    <w:basedOn w:val="1"/>
    <w:qFormat/>
    <w:uiPriority w:val="0"/>
    <w:rPr>
      <w:sz w:val="24"/>
    </w:rPr>
  </w:style>
  <w:style w:type="paragraph" w:customStyle="1" w:styleId="103">
    <w:name w:val="Char1"/>
    <w:basedOn w:val="1"/>
    <w:qFormat/>
    <w:uiPriority w:val="0"/>
    <w:rPr>
      <w:sz w:val="24"/>
    </w:rPr>
  </w:style>
  <w:style w:type="paragraph" w:customStyle="1" w:styleId="104">
    <w:name w:val="赵正文"/>
    <w:basedOn w:val="1"/>
    <w:qFormat/>
    <w:uiPriority w:val="0"/>
    <w:pPr>
      <w:spacing w:line="520" w:lineRule="exact"/>
      <w:ind w:firstLine="720" w:firstLineChars="200"/>
    </w:pPr>
    <w:rPr>
      <w:rFonts w:ascii="Calibri" w:hAnsi="Calibri"/>
      <w:kern w:val="0"/>
      <w:sz w:val="28"/>
      <w:szCs w:val="20"/>
    </w:rPr>
  </w:style>
  <w:style w:type="paragraph" w:customStyle="1" w:styleId="105">
    <w:name w:val="表格外标题"/>
    <w:basedOn w:val="1"/>
    <w:link w:val="106"/>
    <w:qFormat/>
    <w:uiPriority w:val="0"/>
    <w:rPr>
      <w:rFonts w:eastAsia="黑体"/>
      <w:b/>
      <w:sz w:val="28"/>
    </w:rPr>
  </w:style>
  <w:style w:type="character" w:customStyle="1" w:styleId="106">
    <w:name w:val="表格外标题 字符"/>
    <w:link w:val="105"/>
    <w:qFormat/>
    <w:uiPriority w:val="0"/>
    <w:rPr>
      <w:rFonts w:eastAsia="黑体"/>
      <w:b/>
      <w:kern w:val="2"/>
      <w:sz w:val="28"/>
      <w:szCs w:val="24"/>
    </w:rPr>
  </w:style>
  <w:style w:type="paragraph" w:customStyle="1" w:styleId="107">
    <w:name w:val="6表头"/>
    <w:next w:val="1"/>
    <w:qFormat/>
    <w:uiPriority w:val="0"/>
    <w:pPr>
      <w:pageBreakBefore/>
      <w:spacing w:line="520" w:lineRule="exact"/>
      <w:ind w:firstLine="200" w:firstLineChars="200"/>
    </w:pPr>
    <w:rPr>
      <w:rFonts w:ascii="Times New Roman" w:hAnsi="Times New Roman" w:eastAsia="黑体" w:cs="Times New Roman"/>
      <w:kern w:val="2"/>
      <w:sz w:val="24"/>
      <w:szCs w:val="24"/>
      <w:lang w:val="en-US" w:eastAsia="zh-CN" w:bidi="ar-SA"/>
    </w:rPr>
  </w:style>
  <w:style w:type="paragraph" w:customStyle="1" w:styleId="108">
    <w:name w:val="Table Paragraph"/>
    <w:basedOn w:val="1"/>
    <w:qFormat/>
    <w:uiPriority w:val="0"/>
    <w:pPr>
      <w:spacing w:line="360" w:lineRule="auto"/>
      <w:jc w:val="left"/>
    </w:pPr>
    <w:rPr>
      <w:rFonts w:ascii="宋体" w:hAnsi="宋体" w:cs="宋体"/>
      <w:sz w:val="24"/>
      <w:lang w:val="zh-CN" w:bidi="zh-CN"/>
    </w:rPr>
  </w:style>
  <w:style w:type="paragraph" w:customStyle="1" w:styleId="109">
    <w:name w:val="表头"/>
    <w:basedOn w:val="1"/>
    <w:qFormat/>
    <w:uiPriority w:val="0"/>
    <w:pPr>
      <w:spacing w:line="520" w:lineRule="exact"/>
      <w:ind w:firstLine="200" w:firstLineChars="200"/>
    </w:pPr>
    <w:rPr>
      <w:rFonts w:eastAsia="黑体"/>
      <w:bCs/>
      <w:snapToGrid w:val="0"/>
      <w:sz w:val="24"/>
    </w:rPr>
  </w:style>
  <w:style w:type="paragraph" w:customStyle="1" w:styleId="110">
    <w:name w:val="其他"/>
    <w:basedOn w:val="1"/>
    <w:qFormat/>
    <w:uiPriority w:val="0"/>
    <w:pPr>
      <w:spacing w:line="360" w:lineRule="exact"/>
    </w:pPr>
    <w:rPr>
      <w:szCs w:val="21"/>
    </w:rPr>
  </w:style>
  <w:style w:type="paragraph" w:customStyle="1" w:styleId="111">
    <w:name w:val="表文字"/>
    <w:basedOn w:val="1"/>
    <w:qFormat/>
    <w:uiPriority w:val="0"/>
    <w:pPr>
      <w:topLinePunct/>
      <w:adjustRightInd w:val="0"/>
      <w:spacing w:line="360" w:lineRule="exact"/>
      <w:jc w:val="center"/>
      <w:textAlignment w:val="baseline"/>
    </w:pPr>
    <w:rPr>
      <w:szCs w:val="21"/>
    </w:rPr>
  </w:style>
  <w:style w:type="paragraph" w:customStyle="1" w:styleId="112">
    <w:name w:val="xl42"/>
    <w:basedOn w:val="1"/>
    <w:qFormat/>
    <w:uiPriority w:val="0"/>
    <w:pPr>
      <w:widowControl/>
      <w:pBdr>
        <w:bottom w:val="dotted" w:color="auto" w:sz="4" w:space="0"/>
        <w:right w:val="dotted" w:color="auto" w:sz="4" w:space="0"/>
      </w:pBdr>
      <w:spacing w:beforeAutospacing="1" w:afterAutospacing="1"/>
      <w:jc w:val="center"/>
    </w:pPr>
    <w:rPr>
      <w:kern w:val="0"/>
      <w:szCs w:val="21"/>
    </w:rPr>
  </w:style>
  <w:style w:type="character" w:customStyle="1" w:styleId="113">
    <w:name w:val="表格 Char Char"/>
    <w:qFormat/>
    <w:uiPriority w:val="0"/>
    <w:rPr>
      <w:rFonts w:ascii="仿宋_GB2312" w:eastAsia="仿宋_GB2312"/>
      <w:sz w:val="24"/>
    </w:rPr>
  </w:style>
  <w:style w:type="paragraph" w:customStyle="1" w:styleId="114">
    <w:name w:val="样式 表标题 + (符号) 宋体 四号 非加粗 两端对齐 段前: 6 磅 段后: 0 磅1"/>
    <w:basedOn w:val="1"/>
    <w:qFormat/>
    <w:uiPriority w:val="0"/>
    <w:pPr>
      <w:spacing w:line="320" w:lineRule="exact"/>
      <w:jc w:val="center"/>
    </w:pPr>
    <w:rPr>
      <w:kern w:val="0"/>
      <w:sz w:val="24"/>
      <w:szCs w:val="21"/>
    </w:rPr>
  </w:style>
  <w:style w:type="paragraph" w:customStyle="1" w:styleId="115">
    <w:name w:val="表格统一样式 + 仿宋_GB2312"/>
    <w:basedOn w:val="1"/>
    <w:link w:val="116"/>
    <w:qFormat/>
    <w:uiPriority w:val="0"/>
    <w:pPr>
      <w:widowControl/>
      <w:autoSpaceDE w:val="0"/>
      <w:autoSpaceDN w:val="0"/>
      <w:jc w:val="center"/>
    </w:pPr>
    <w:rPr>
      <w:rFonts w:eastAsia="仿宋_GB2312"/>
      <w:color w:val="000000"/>
      <w:kern w:val="0"/>
      <w:szCs w:val="21"/>
    </w:rPr>
  </w:style>
  <w:style w:type="character" w:customStyle="1" w:styleId="116">
    <w:name w:val="表格统一样式 + 仿宋_GB2312 Char Char"/>
    <w:link w:val="115"/>
    <w:qFormat/>
    <w:uiPriority w:val="0"/>
    <w:rPr>
      <w:rFonts w:eastAsia="仿宋_GB2312"/>
      <w:color w:val="000000"/>
      <w:sz w:val="21"/>
      <w:szCs w:val="21"/>
    </w:rPr>
  </w:style>
  <w:style w:type="paragraph" w:customStyle="1" w:styleId="117">
    <w:name w:val="小四表文左齐"/>
    <w:basedOn w:val="1"/>
    <w:qFormat/>
    <w:uiPriority w:val="0"/>
    <w:pPr>
      <w:ind w:right="-105" w:rightChars="-50"/>
      <w:jc w:val="center"/>
    </w:pPr>
    <w:rPr>
      <w:rFonts w:ascii="宋体" w:hAnsi="宋体"/>
      <w:szCs w:val="21"/>
    </w:rPr>
  </w:style>
  <w:style w:type="paragraph" w:customStyle="1" w:styleId="118">
    <w:name w:val="图表正文"/>
    <w:basedOn w:val="1"/>
    <w:qFormat/>
    <w:uiPriority w:val="0"/>
    <w:pPr>
      <w:widowControl/>
      <w:jc w:val="center"/>
    </w:pPr>
    <w:rPr>
      <w:szCs w:val="22"/>
    </w:rPr>
  </w:style>
  <w:style w:type="paragraph" w:customStyle="1" w:styleId="119">
    <w:name w:val="表内 定"/>
    <w:basedOn w:val="1"/>
    <w:qFormat/>
    <w:uiPriority w:val="0"/>
    <w:rPr>
      <w:rFonts w:cs="Times New Roman"/>
      <w:color w:val="000000"/>
    </w:rPr>
  </w:style>
  <w:style w:type="paragraph" w:customStyle="1" w:styleId="120">
    <w:name w:val="5正文"/>
    <w:qFormat/>
    <w:uiPriority w:val="0"/>
    <w:pPr>
      <w:widowControl w:val="0"/>
      <w:spacing w:line="520" w:lineRule="exact"/>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21">
    <w:name w:val="04表格内2级标题"/>
    <w:basedOn w:val="24"/>
    <w:next w:val="122"/>
    <w:qFormat/>
    <w:uiPriority w:val="0"/>
    <w:pPr>
      <w:spacing w:line="520" w:lineRule="exact"/>
    </w:pPr>
    <w:rPr>
      <w:rFonts w:ascii="Times New Roman" w:hAnsi="Times New Roman"/>
      <w:sz w:val="24"/>
    </w:rPr>
  </w:style>
  <w:style w:type="paragraph" w:customStyle="1" w:styleId="122">
    <w:name w:val="05正文"/>
    <w:basedOn w:val="1"/>
    <w:qFormat/>
    <w:uiPriority w:val="0"/>
    <w:pPr>
      <w:spacing w:line="500" w:lineRule="exact"/>
      <w:ind w:firstLine="480" w:firstLineChars="200"/>
    </w:pPr>
    <w:rPr>
      <w:sz w:val="24"/>
    </w:rPr>
  </w:style>
  <w:style w:type="paragraph" w:customStyle="1" w:styleId="123">
    <w:name w:val="正文新"/>
    <w:basedOn w:val="1"/>
    <w:qFormat/>
    <w:uiPriority w:val="0"/>
    <w:pPr>
      <w:autoSpaceDE w:val="0"/>
      <w:autoSpaceDN w:val="0"/>
      <w:adjustRightInd w:val="0"/>
      <w:snapToGrid w:val="0"/>
      <w:spacing w:line="440" w:lineRule="exact"/>
      <w:ind w:firstLine="600" w:firstLineChars="200"/>
    </w:pPr>
    <w:rPr>
      <w:rFonts w:ascii="Times New Roman" w:hAnsi="Times New Roman" w:eastAsia="宋体" w:cs="Times New Roman"/>
      <w:kern w:val="0"/>
      <w:szCs w:val="21"/>
    </w:rPr>
  </w:style>
  <w:style w:type="paragraph" w:customStyle="1" w:styleId="124">
    <w:name w:val="Date1"/>
    <w:basedOn w:val="1"/>
    <w:next w:val="1"/>
    <w:qFormat/>
    <w:uiPriority w:val="0"/>
    <w:rPr>
      <w:sz w:val="21"/>
      <w:szCs w:val="20"/>
    </w:rPr>
  </w:style>
  <w:style w:type="character" w:customStyle="1" w:styleId="125">
    <w:name w:val="fontstyle01"/>
    <w:basedOn w:val="39"/>
    <w:qFormat/>
    <w:uiPriority w:val="0"/>
    <w:rPr>
      <w:rFonts w:ascii="宋体" w:hAnsi="宋体" w:eastAsia="宋体" w:cs="宋体"/>
      <w:color w:val="000000"/>
      <w:sz w:val="24"/>
      <w:szCs w:val="24"/>
    </w:rPr>
  </w:style>
  <w:style w:type="paragraph" w:customStyle="1" w:styleId="126">
    <w:name w:val="07表格内容"/>
    <w:qFormat/>
    <w:uiPriority w:val="0"/>
    <w:pPr>
      <w:widowControl w:val="0"/>
      <w:spacing w:line="360" w:lineRule="exact"/>
      <w:jc w:val="center"/>
    </w:pPr>
    <w:rPr>
      <w:rFonts w:ascii="Times New Roman" w:hAnsi="Times New Roman" w:eastAsia="宋体" w:cs="Times New Roman"/>
      <w:kern w:val="2"/>
      <w:sz w:val="21"/>
      <w:szCs w:val="24"/>
      <w:lang w:val="en-US" w:eastAsia="zh-CN" w:bidi="ar-SA"/>
    </w:rPr>
  </w:style>
  <w:style w:type="paragraph" w:customStyle="1" w:styleId="127">
    <w:name w:val="纯文本1"/>
    <w:basedOn w:val="1"/>
    <w:qFormat/>
    <w:uiPriority w:val="0"/>
    <w:pPr>
      <w:spacing w:line="360" w:lineRule="auto"/>
    </w:pPr>
    <w:rPr>
      <w:rFonts w:ascii="宋体" w:hAnsi="Courier New" w:eastAsia="宋体" w:cs="Courier New"/>
      <w:szCs w:val="21"/>
    </w:rPr>
  </w:style>
  <w:style w:type="paragraph" w:customStyle="1" w:styleId="128">
    <w:name w:val="样式35"/>
    <w:basedOn w:val="1"/>
    <w:next w:val="129"/>
    <w:qFormat/>
    <w:uiPriority w:val="0"/>
    <w:pPr>
      <w:spacing w:line="312" w:lineRule="auto"/>
      <w:ind w:firstLine="567"/>
    </w:pPr>
    <w:rPr>
      <w:rFonts w:ascii="宋体" w:hAnsi="Times New Roman" w:eastAsia="宋体" w:cs="Times New Roman"/>
    </w:rPr>
  </w:style>
  <w:style w:type="paragraph" w:customStyle="1" w:styleId="129">
    <w:name w:val="font6"/>
    <w:basedOn w:val="1"/>
    <w:next w:val="30"/>
    <w:qFormat/>
    <w:uiPriority w:val="0"/>
    <w:pPr>
      <w:widowControl/>
      <w:spacing w:before="100" w:beforeAutospacing="1" w:after="100" w:afterAutospacing="1"/>
      <w:jc w:val="left"/>
    </w:pPr>
    <w:rPr>
      <w:rFonts w:ascii="宋体" w:hAnsi="宋体" w:eastAsia="宋体" w:cs="宋体"/>
      <w:kern w:val="0"/>
      <w:sz w:val="20"/>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2" Type="http://schemas.openxmlformats.org/officeDocument/2006/relationships/fontTable" Target="fontTable.xml"/><Relationship Id="rId81" Type="http://schemas.openxmlformats.org/officeDocument/2006/relationships/numbering" Target="numbering.xml"/><Relationship Id="rId80" Type="http://schemas.openxmlformats.org/officeDocument/2006/relationships/customXml" Target="../customXml/item1.xml"/><Relationship Id="rId8" Type="http://schemas.openxmlformats.org/officeDocument/2006/relationships/footer" Target="footer4.xml"/><Relationship Id="rId79" Type="http://schemas.openxmlformats.org/officeDocument/2006/relationships/image" Target="media/image63.jpeg"/><Relationship Id="rId78" Type="http://schemas.openxmlformats.org/officeDocument/2006/relationships/image" Target="media/image62.jpeg"/><Relationship Id="rId77" Type="http://schemas.openxmlformats.org/officeDocument/2006/relationships/image" Target="media/image61.jpeg"/><Relationship Id="rId76" Type="http://schemas.openxmlformats.org/officeDocument/2006/relationships/image" Target="media/image60.jpeg"/><Relationship Id="rId75" Type="http://schemas.openxmlformats.org/officeDocument/2006/relationships/image" Target="media/image59.jpeg"/><Relationship Id="rId74" Type="http://schemas.openxmlformats.org/officeDocument/2006/relationships/image" Target="media/image58.jpeg"/><Relationship Id="rId73" Type="http://schemas.openxmlformats.org/officeDocument/2006/relationships/image" Target="media/image57.jpeg"/><Relationship Id="rId72" Type="http://schemas.openxmlformats.org/officeDocument/2006/relationships/image" Target="media/image56.jpeg"/><Relationship Id="rId71" Type="http://schemas.openxmlformats.org/officeDocument/2006/relationships/image" Target="media/image55.jpeg"/><Relationship Id="rId70" Type="http://schemas.openxmlformats.org/officeDocument/2006/relationships/image" Target="media/image54.jpeg"/><Relationship Id="rId7" Type="http://schemas.openxmlformats.org/officeDocument/2006/relationships/footer" Target="footer3.xml"/><Relationship Id="rId69" Type="http://schemas.openxmlformats.org/officeDocument/2006/relationships/image" Target="media/image53.jpeg"/><Relationship Id="rId68" Type="http://schemas.openxmlformats.org/officeDocument/2006/relationships/image" Target="media/image52.jpeg"/><Relationship Id="rId67" Type="http://schemas.openxmlformats.org/officeDocument/2006/relationships/image" Target="media/image51.jpeg"/><Relationship Id="rId66" Type="http://schemas.openxmlformats.org/officeDocument/2006/relationships/image" Target="media/image50.jpeg"/><Relationship Id="rId65" Type="http://schemas.openxmlformats.org/officeDocument/2006/relationships/image" Target="media/image49.jpeg"/><Relationship Id="rId64" Type="http://schemas.openxmlformats.org/officeDocument/2006/relationships/image" Target="media/image48.jpeg"/><Relationship Id="rId63" Type="http://schemas.openxmlformats.org/officeDocument/2006/relationships/image" Target="media/image47.jpeg"/><Relationship Id="rId62" Type="http://schemas.openxmlformats.org/officeDocument/2006/relationships/image" Target="media/image46.jpeg"/><Relationship Id="rId61" Type="http://schemas.openxmlformats.org/officeDocument/2006/relationships/image" Target="media/image45.png"/><Relationship Id="rId60" Type="http://schemas.openxmlformats.org/officeDocument/2006/relationships/image" Target="media/image44.png"/><Relationship Id="rId6" Type="http://schemas.openxmlformats.org/officeDocument/2006/relationships/header" Target="header2.xml"/><Relationship Id="rId59" Type="http://schemas.openxmlformats.org/officeDocument/2006/relationships/image" Target="media/image43.png"/><Relationship Id="rId58" Type="http://schemas.openxmlformats.org/officeDocument/2006/relationships/image" Target="media/image42.png"/><Relationship Id="rId57" Type="http://schemas.openxmlformats.org/officeDocument/2006/relationships/image" Target="media/image41.png"/><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footer" Target="footer2.xml"/><Relationship Id="rId49" Type="http://schemas.openxmlformats.org/officeDocument/2006/relationships/image" Target="media/image33.pn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jpeg"/><Relationship Id="rId45" Type="http://schemas.openxmlformats.org/officeDocument/2006/relationships/image" Target="media/image29.jpeg"/><Relationship Id="rId44" Type="http://schemas.openxmlformats.org/officeDocument/2006/relationships/image" Target="media/image28.jpeg"/><Relationship Id="rId43" Type="http://schemas.openxmlformats.org/officeDocument/2006/relationships/image" Target="media/image27.jpeg"/><Relationship Id="rId42" Type="http://schemas.openxmlformats.org/officeDocument/2006/relationships/image" Target="media/image26.jpeg"/><Relationship Id="rId41" Type="http://schemas.openxmlformats.org/officeDocument/2006/relationships/image" Target="media/image25.jpeg"/><Relationship Id="rId40" Type="http://schemas.openxmlformats.org/officeDocument/2006/relationships/image" Target="media/image24.png"/><Relationship Id="rId4" Type="http://schemas.openxmlformats.org/officeDocument/2006/relationships/footer" Target="footer1.xml"/><Relationship Id="rId39" Type="http://schemas.openxmlformats.org/officeDocument/2006/relationships/image" Target="media/image23.jpe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png"/><Relationship Id="rId35" Type="http://schemas.openxmlformats.org/officeDocument/2006/relationships/image" Target="media/image19.jpeg"/><Relationship Id="rId34" Type="http://schemas.openxmlformats.org/officeDocument/2006/relationships/image" Target="media/image18.png"/><Relationship Id="rId33" Type="http://schemas.openxmlformats.org/officeDocument/2006/relationships/image" Target="media/image17.wmf"/><Relationship Id="rId32" Type="http://schemas.openxmlformats.org/officeDocument/2006/relationships/oleObject" Target="embeddings/oleObject7.bin"/><Relationship Id="rId31" Type="http://schemas.openxmlformats.org/officeDocument/2006/relationships/image" Target="media/image16.png"/><Relationship Id="rId30" Type="http://schemas.openxmlformats.org/officeDocument/2006/relationships/image" Target="media/image15.emf"/><Relationship Id="rId3" Type="http://schemas.openxmlformats.org/officeDocument/2006/relationships/header" Target="header1.xml"/><Relationship Id="rId29" Type="http://schemas.openxmlformats.org/officeDocument/2006/relationships/oleObject" Target="embeddings/oleObject6.bin"/><Relationship Id="rId28" Type="http://schemas.openxmlformats.org/officeDocument/2006/relationships/image" Target="media/image14.emf"/><Relationship Id="rId27" Type="http://schemas.openxmlformats.org/officeDocument/2006/relationships/oleObject" Target="embeddings/oleObject5.bin"/><Relationship Id="rId26" Type="http://schemas.openxmlformats.org/officeDocument/2006/relationships/image" Target="media/image13.emf"/><Relationship Id="rId25" Type="http://schemas.openxmlformats.org/officeDocument/2006/relationships/oleObject" Target="embeddings/oleObject4.bin"/><Relationship Id="rId24" Type="http://schemas.openxmlformats.org/officeDocument/2006/relationships/image" Target="media/image12.emf"/><Relationship Id="rId23" Type="http://schemas.openxmlformats.org/officeDocument/2006/relationships/oleObject" Target="embeddings/oleObject3.bin"/><Relationship Id="rId22" Type="http://schemas.openxmlformats.org/officeDocument/2006/relationships/image" Target="media/image11.emf"/><Relationship Id="rId21" Type="http://schemas.openxmlformats.org/officeDocument/2006/relationships/oleObject" Target="embeddings/oleObject2.bin"/><Relationship Id="rId20" Type="http://schemas.openxmlformats.org/officeDocument/2006/relationships/image" Target="media/image10.e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109</Pages>
  <Words>40716</Words>
  <Characters>45802</Characters>
  <Lines>284</Lines>
  <Paragraphs>79</Paragraphs>
  <TotalTime>17</TotalTime>
  <ScaleCrop>false</ScaleCrop>
  <LinksUpToDate>false</LinksUpToDate>
  <CharactersWithSpaces>47056</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2022-08-17T14:19:00Z</dcterms:created>
  <dc:creator>lhj</dc:creator>
  <cp:lastModifiedBy>尚艳岩</cp:lastModifiedBy>
  <cp:lastPrinted>2021-08-17T00:44:00Z</cp:lastPrinted>
  <dcterms:modified xsi:type="dcterms:W3CDTF">2023-11-01T01:53:21Z</dcterms:modified>
  <dc:title>附件2</dc:title>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17F0978582EE4E579348F2796448DBD5</vt:lpwstr>
  </property>
</Properties>
</file>