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漯河市住房和城乡建设局</w:t>
      </w:r>
    </w:p>
    <w:p>
      <w:pPr>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关于印发房屋征收领域基层政务公开标准目录的</w:t>
      </w:r>
    </w:p>
    <w:p>
      <w:pPr>
        <w:ind w:left="0" w:leftChars="0" w:right="0" w:rightChars="0" w:firstLine="0" w:firstLineChars="0"/>
        <w:jc w:val="center"/>
        <w:rPr>
          <w:rFonts w:hint="eastAsia" w:ascii="黑体" w:hAnsi="黑体" w:eastAsia="黑体" w:cs="黑体"/>
          <w:b/>
          <w:bCs/>
          <w:sz w:val="36"/>
          <w:szCs w:val="36"/>
        </w:rPr>
      </w:pPr>
      <w:r>
        <w:rPr>
          <w:rFonts w:hint="eastAsia" w:ascii="黑体" w:hAnsi="黑体" w:eastAsia="黑体" w:cs="黑体"/>
          <w:b/>
          <w:bCs/>
          <w:sz w:val="36"/>
          <w:szCs w:val="36"/>
        </w:rPr>
        <w:t>通知</w:t>
      </w:r>
    </w:p>
    <w:p>
      <w:pPr>
        <w:rPr>
          <w:rFonts w:hint="eastAsia"/>
        </w:rPr>
      </w:pPr>
    </w:p>
    <w:p>
      <w:pPr>
        <w:rPr>
          <w:rFonts w:hint="eastAsia"/>
        </w:rPr>
      </w:pPr>
    </w:p>
    <w:p>
      <w:pPr>
        <w:rPr>
          <w:rFonts w:hint="eastAsia"/>
        </w:rPr>
      </w:pP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各区建设局、服务中心：</w:t>
      </w:r>
    </w:p>
    <w:p>
      <w:pPr>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按照《河南省住房和城乡建设厅关于落实保障性住房等领域基层政务公开标准目录和编制本地标准目录的意见》（豫建办〔2020〕189号）精神，为全面推进我市房屋征收领域基层政务公开标准化规范化工作，不断提高基层政务公开透明度和公开水平，现将《漯河市房屋征收领域基层政务公开标准目录》印发给你们。请结合工作实际，按照相关要求认真贯彻落实。</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sz w:val="32"/>
          <w:szCs w:val="32"/>
        </w:rPr>
      </w:pPr>
      <w:bookmarkStart w:id="0" w:name="_GoBack"/>
      <w:bookmarkEnd w:id="0"/>
    </w:p>
    <w:p>
      <w:pPr>
        <w:jc w:val="right"/>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0</w:t>
      </w:r>
      <w:r>
        <w:rPr>
          <w:rFonts w:hint="eastAsia" w:asciiTheme="minorEastAsia" w:hAnsiTheme="minorEastAsia" w:eastAsiaTheme="minorEastAsia" w:cstheme="minorEastAsia"/>
          <w:sz w:val="32"/>
          <w:szCs w:val="32"/>
        </w:rPr>
        <w:t>年</w:t>
      </w:r>
      <w:r>
        <w:rPr>
          <w:rFonts w:hint="eastAsia" w:asciiTheme="minorEastAsia" w:hAnsiTheme="minorEastAsia" w:cstheme="minorEastAsia"/>
          <w:sz w:val="32"/>
          <w:szCs w:val="32"/>
          <w:lang w:val="en-US" w:eastAsia="zh-CN"/>
        </w:rPr>
        <w:t>7</w:t>
      </w:r>
      <w:r>
        <w:rPr>
          <w:rFonts w:hint="eastAsia" w:asciiTheme="minorEastAsia" w:hAnsiTheme="minorEastAsia" w:eastAsiaTheme="minorEastAsia" w:cstheme="minorEastAsia"/>
          <w:sz w:val="32"/>
          <w:szCs w:val="32"/>
        </w:rPr>
        <w:t>月19日</w:t>
      </w:r>
    </w:p>
    <w:p>
      <w:pPr>
        <w:jc w:val="right"/>
        <w:rPr>
          <w:rFonts w:hint="eastAsia" w:asciiTheme="minorEastAsia" w:hAnsiTheme="minorEastAsia" w:eastAsiaTheme="minorEastAsia" w:cstheme="minorEastAsia"/>
          <w:sz w:val="32"/>
          <w:szCs w:val="32"/>
        </w:rPr>
      </w:pPr>
    </w:p>
    <w:p>
      <w:pPr>
        <w:jc w:val="left"/>
        <w:rPr>
          <w:rFonts w:hint="eastAsia" w:asciiTheme="minorEastAsia" w:hAnsiTheme="minorEastAsia" w:eastAsiaTheme="minorEastAsia" w:cstheme="minor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B0E05"/>
    <w:rsid w:val="1DCD2B9F"/>
    <w:rsid w:val="22B21144"/>
    <w:rsid w:val="58BB0E05"/>
    <w:rsid w:val="7F927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2021-01-19T02:55:00Z</dcterms:created>
  <dc:creator>潘小姐的郭先森</dc:creator>
  <cp:lastModifiedBy>YiYi</cp:lastModifiedBy>
  <dcterms:modified xsi:type="dcterms:W3CDTF">2021-01-19T09:14:37Z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