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ind w:leftChars="0" w:rightChars="0"/>
        <w:rPr>
          <w:rFonts w:hint="default" w:ascii="Times New Roman" w:hAnsi="Times New Roman" w:eastAsia="黑体"/>
          <w:color w:val="000000" w:themeColor="text1"/>
          <w:sz w:val="32"/>
          <w:szCs w:val="32"/>
        </w:rPr>
      </w:pPr>
    </w:p>
    <w:p>
      <w:pPr>
        <w:spacing w:line="240" w:lineRule="auto"/>
        <w:ind w:left="0" w:leftChars="0" w:right="0" w:rightChars="0"/>
        <w:jc w:val="center"/>
        <w:rPr>
          <w:rFonts w:ascii="Times New Roman" w:hAnsi="Times New Roman" w:eastAsia="仿宋" w:cs="Times New Roman"/>
          <w:b/>
          <w:bCs/>
          <w:color w:val="000000" w:themeColor="text1"/>
          <w:sz w:val="56"/>
          <w:szCs w:val="44"/>
        </w:rPr>
      </w:pPr>
    </w:p>
    <w:p>
      <w:pPr>
        <w:ind w:left="0" w:leftChars="0" w:right="0" w:rightChars="0"/>
        <w:jc w:val="center"/>
        <w:rPr>
          <w:rFonts w:hint="eastAsia" w:ascii="仿宋" w:hAnsi="仿宋" w:eastAsia="仿宋" w:cs="仿宋"/>
          <w:b/>
          <w:bCs/>
          <w:color w:val="000000" w:themeColor="text1"/>
          <w:sz w:val="44"/>
          <w:szCs w:val="44"/>
        </w:rPr>
      </w:pPr>
      <w:bookmarkStart w:id="0" w:name="_Hlk67409639"/>
      <w:r>
        <w:rPr>
          <w:rFonts w:hint="eastAsia" w:ascii="仿宋" w:hAnsi="仿宋" w:eastAsia="仿宋" w:cs="仿宋"/>
          <w:b/>
          <w:bCs/>
          <w:color w:val="000000" w:themeColor="text1"/>
          <w:sz w:val="44"/>
          <w:szCs w:val="44"/>
          <w:lang w:val="en-US" w:eastAsia="zh-CN"/>
        </w:rPr>
        <w:t xml:space="preserve">  </w:t>
      </w:r>
      <w:r>
        <w:rPr>
          <w:rFonts w:hint="eastAsia" w:ascii="仿宋" w:hAnsi="仿宋" w:eastAsia="仿宋" w:cs="仿宋"/>
          <w:b/>
          <w:bCs/>
          <w:color w:val="000000" w:themeColor="text1"/>
          <w:sz w:val="44"/>
          <w:szCs w:val="44"/>
        </w:rPr>
        <w:t>门头改造工程</w:t>
      </w:r>
    </w:p>
    <w:p>
      <w:pPr>
        <w:spacing w:line="240" w:lineRule="auto"/>
        <w:ind w:left="0" w:leftChars="0" w:right="0" w:rightChars="0"/>
        <w:jc w:val="center"/>
        <w:rPr>
          <w:rFonts w:ascii="Times New Roman" w:hAnsi="Times New Roman" w:eastAsia="仿宋" w:cs="Times New Roman"/>
          <w:b/>
          <w:bCs/>
          <w:color w:val="000000" w:themeColor="text1"/>
          <w:sz w:val="56"/>
          <w:szCs w:val="44"/>
        </w:rPr>
      </w:pPr>
      <w:r>
        <w:rPr>
          <w:rFonts w:hint="eastAsia" w:ascii="仿宋" w:hAnsi="仿宋" w:eastAsia="仿宋" w:cs="仿宋"/>
          <w:b/>
          <w:bCs/>
          <w:color w:val="000000" w:themeColor="text1"/>
          <w:sz w:val="44"/>
          <w:szCs w:val="44"/>
          <w:lang w:val="en-US" w:eastAsia="zh-CN"/>
        </w:rPr>
        <w:t xml:space="preserve">  </w:t>
      </w:r>
      <w:r>
        <w:rPr>
          <w:rFonts w:hint="eastAsia" w:ascii="仿宋" w:hAnsi="仿宋" w:eastAsia="仿宋" w:cs="仿宋"/>
          <w:b/>
          <w:bCs/>
          <w:color w:val="000000" w:themeColor="text1"/>
          <w:sz w:val="44"/>
          <w:szCs w:val="44"/>
        </w:rPr>
        <w:t>项目支出绩效评价报告</w:t>
      </w:r>
    </w:p>
    <w:p>
      <w:pPr>
        <w:pStyle w:val="2"/>
        <w:ind w:firstLine="0" w:firstLineChars="0"/>
        <w:jc w:val="center"/>
      </w:pPr>
    </w:p>
    <w:p>
      <w:pPr>
        <w:pStyle w:val="2"/>
        <w:ind w:firstLine="560"/>
        <w:rPr>
          <w:rFonts w:cs="Times New Roman"/>
        </w:rPr>
      </w:pPr>
    </w:p>
    <w:p>
      <w:pPr>
        <w:pStyle w:val="2"/>
        <w:ind w:firstLine="560"/>
        <w:rPr>
          <w:rFonts w:cs="Times New Roman"/>
        </w:rPr>
      </w:pPr>
    </w:p>
    <w:bookmarkEnd w:id="0"/>
    <w:p>
      <w:pPr>
        <w:pStyle w:val="2"/>
        <w:spacing w:line="480" w:lineRule="auto"/>
        <w:ind w:left="-480" w:leftChars="-150" w:firstLine="643"/>
        <w:rPr>
          <w:rFonts w:cs="Times New Roman"/>
          <w:b/>
          <w:bCs/>
          <w:sz w:val="32"/>
          <w:szCs w:val="32"/>
        </w:rPr>
      </w:pPr>
    </w:p>
    <w:p>
      <w:pPr>
        <w:pStyle w:val="2"/>
        <w:spacing w:line="480" w:lineRule="auto"/>
        <w:ind w:left="-480" w:leftChars="-150" w:firstLine="643"/>
        <w:rPr>
          <w:rFonts w:cs="Times New Roman"/>
          <w:b/>
          <w:bCs/>
          <w:sz w:val="32"/>
          <w:szCs w:val="32"/>
        </w:rPr>
      </w:pPr>
    </w:p>
    <w:p>
      <w:pPr>
        <w:pStyle w:val="2"/>
        <w:spacing w:line="480" w:lineRule="auto"/>
        <w:ind w:left="-480" w:leftChars="-150" w:firstLine="643"/>
        <w:rPr>
          <w:rFonts w:cs="Times New Roman"/>
          <w:sz w:val="32"/>
          <w:szCs w:val="32"/>
        </w:rPr>
      </w:pPr>
      <w:r>
        <w:rPr>
          <w:rFonts w:cs="Times New Roman"/>
          <w:b/>
          <w:bCs/>
          <w:sz w:val="32"/>
          <w:szCs w:val="32"/>
        </w:rPr>
        <w:t>评 价 类 型</w:t>
      </w:r>
      <w:r>
        <w:rPr>
          <w:rFonts w:cs="Times New Roman"/>
          <w:sz w:val="32"/>
          <w:szCs w:val="32"/>
        </w:rPr>
        <w:t xml:space="preserve"> ：□阶段评价        </w:t>
      </w:r>
      <w:r>
        <w:rPr>
          <w:rFonts w:ascii="Segoe UI Symbol" w:hAnsi="Segoe UI Symbol" w:cs="Segoe UI Symbol"/>
          <w:sz w:val="32"/>
          <w:szCs w:val="32"/>
        </w:rPr>
        <w:t>☑</w:t>
      </w:r>
      <w:r>
        <w:rPr>
          <w:rFonts w:cs="Times New Roman"/>
          <w:sz w:val="32"/>
          <w:szCs w:val="32"/>
        </w:rPr>
        <w:t>结束评价</w:t>
      </w:r>
    </w:p>
    <w:p>
      <w:pPr>
        <w:pStyle w:val="2"/>
        <w:spacing w:line="480" w:lineRule="auto"/>
        <w:ind w:left="-480" w:leftChars="-150" w:firstLine="643"/>
        <w:rPr>
          <w:rFonts w:cs="Times New Roman"/>
          <w:sz w:val="32"/>
          <w:szCs w:val="32"/>
        </w:rPr>
      </w:pPr>
      <w:r>
        <w:rPr>
          <w:rFonts w:cs="Times New Roman"/>
          <w:b/>
          <w:bCs/>
          <w:sz w:val="32"/>
          <w:szCs w:val="32"/>
        </w:rPr>
        <w:t>评 价 方 式</w:t>
      </w:r>
      <w:r>
        <w:rPr>
          <w:rFonts w:cs="Times New Roman"/>
          <w:sz w:val="32"/>
          <w:szCs w:val="32"/>
        </w:rPr>
        <w:t xml:space="preserve"> ：□直接组织评价    </w:t>
      </w:r>
      <w:r>
        <w:rPr>
          <w:rFonts w:ascii="Segoe UI Symbol" w:hAnsi="Segoe UI Symbol" w:cs="Segoe UI Symbol"/>
          <w:sz w:val="32"/>
          <w:szCs w:val="32"/>
        </w:rPr>
        <w:t>☑</w:t>
      </w:r>
      <w:r>
        <w:rPr>
          <w:rFonts w:cs="Times New Roman"/>
          <w:sz w:val="32"/>
          <w:szCs w:val="32"/>
        </w:rPr>
        <w:t>委托协助评价</w:t>
      </w:r>
    </w:p>
    <w:p>
      <w:pPr>
        <w:pStyle w:val="2"/>
        <w:spacing w:line="480" w:lineRule="auto"/>
        <w:ind w:left="-480" w:leftChars="-150" w:firstLine="643"/>
        <w:rPr>
          <w:rFonts w:cs="Times New Roman"/>
          <w:sz w:val="32"/>
          <w:szCs w:val="32"/>
          <w:u w:val="single"/>
        </w:rPr>
      </w:pPr>
      <w:r>
        <w:rPr>
          <w:rFonts w:cs="Times New Roman"/>
          <w:b/>
          <w:bCs/>
          <w:sz w:val="32"/>
          <w:szCs w:val="32"/>
        </w:rPr>
        <w:t>项 目 名 称</w:t>
      </w:r>
      <w:r>
        <w:rPr>
          <w:rFonts w:cs="Times New Roman"/>
          <w:sz w:val="32"/>
          <w:szCs w:val="32"/>
        </w:rPr>
        <w:t xml:space="preserve"> ：</w:t>
      </w:r>
      <w:r>
        <w:rPr>
          <w:rFonts w:hint="eastAsia" w:cs="Times New Roman"/>
          <w:sz w:val="32"/>
          <w:szCs w:val="32"/>
          <w:u w:val="single"/>
        </w:rPr>
        <w:t>门头改造工程</w:t>
      </w:r>
    </w:p>
    <w:p>
      <w:pPr>
        <w:pStyle w:val="2"/>
        <w:spacing w:line="480" w:lineRule="auto"/>
        <w:ind w:left="-480" w:leftChars="-150" w:firstLine="643"/>
        <w:rPr>
          <w:rFonts w:cs="Times New Roman"/>
          <w:sz w:val="32"/>
          <w:szCs w:val="32"/>
          <w:u w:val="single"/>
        </w:rPr>
      </w:pPr>
      <w:r>
        <w:rPr>
          <w:rFonts w:cs="Times New Roman"/>
          <w:b/>
          <w:bCs/>
          <w:sz w:val="32"/>
          <w:szCs w:val="32"/>
        </w:rPr>
        <w:t>项目承担单位</w:t>
      </w:r>
      <w:r>
        <w:rPr>
          <w:rFonts w:cs="Times New Roman"/>
          <w:sz w:val="32"/>
          <w:szCs w:val="32"/>
        </w:rPr>
        <w:t>：</w:t>
      </w:r>
      <w:r>
        <w:rPr>
          <w:rFonts w:hint="eastAsia" w:cs="Times New Roman"/>
          <w:sz w:val="32"/>
          <w:szCs w:val="32"/>
          <w:u w:val="single"/>
        </w:rPr>
        <w:t>漯河经济技术开发区城市管理执法大队</w:t>
      </w:r>
    </w:p>
    <w:p>
      <w:pPr>
        <w:pStyle w:val="2"/>
        <w:spacing w:line="480" w:lineRule="auto"/>
        <w:ind w:left="-480" w:leftChars="-150" w:firstLine="643"/>
        <w:rPr>
          <w:rFonts w:cs="Times New Roman"/>
          <w:sz w:val="32"/>
          <w:szCs w:val="32"/>
          <w:u w:val="single"/>
        </w:rPr>
      </w:pPr>
      <w:r>
        <w:rPr>
          <w:rFonts w:cs="Times New Roman"/>
          <w:b/>
          <w:bCs/>
          <w:sz w:val="32"/>
          <w:szCs w:val="32"/>
        </w:rPr>
        <w:t>项目主管部门</w:t>
      </w:r>
      <w:r>
        <w:rPr>
          <w:rFonts w:cs="Times New Roman"/>
          <w:sz w:val="32"/>
          <w:szCs w:val="32"/>
        </w:rPr>
        <w:t>：</w:t>
      </w:r>
      <w:r>
        <w:rPr>
          <w:rFonts w:hint="eastAsia" w:cs="Times New Roman"/>
          <w:sz w:val="32"/>
          <w:szCs w:val="32"/>
          <w:u w:val="single"/>
        </w:rPr>
        <w:t>漯河经济技术开发区城市管理执法大队</w:t>
      </w:r>
    </w:p>
    <w:p>
      <w:pPr>
        <w:pStyle w:val="2"/>
        <w:ind w:firstLine="643"/>
        <w:jc w:val="center"/>
        <w:rPr>
          <w:rFonts w:cs="Times New Roman"/>
          <w:b/>
          <w:bCs/>
          <w:sz w:val="32"/>
          <w:szCs w:val="32"/>
        </w:rPr>
      </w:pPr>
    </w:p>
    <w:p>
      <w:pPr>
        <w:pStyle w:val="2"/>
        <w:ind w:right="320" w:firstLine="643"/>
        <w:jc w:val="center"/>
        <w:rPr>
          <w:rFonts w:cs="Times New Roman"/>
          <w:b/>
          <w:bCs/>
          <w:sz w:val="32"/>
          <w:szCs w:val="32"/>
        </w:rPr>
      </w:pPr>
    </w:p>
    <w:p>
      <w:pPr>
        <w:pStyle w:val="2"/>
        <w:ind w:right="320" w:firstLine="643"/>
        <w:jc w:val="center"/>
        <w:rPr>
          <w:rFonts w:cs="Times New Roman"/>
          <w:b/>
          <w:bCs/>
          <w:sz w:val="32"/>
          <w:szCs w:val="36"/>
        </w:rPr>
      </w:pPr>
      <w:r>
        <w:rPr>
          <w:rFonts w:hint="eastAsia" w:cs="Times New Roman"/>
          <w:b/>
          <w:bCs/>
          <w:sz w:val="32"/>
          <w:szCs w:val="36"/>
        </w:rPr>
        <w:t>河南新卓房地产评估有限公司</w:t>
      </w:r>
    </w:p>
    <w:p>
      <w:pPr>
        <w:pStyle w:val="2"/>
        <w:ind w:right="320" w:firstLine="643"/>
        <w:jc w:val="center"/>
        <w:rPr>
          <w:rFonts w:cs="Times New Roman"/>
        </w:rPr>
      </w:pPr>
      <w:r>
        <w:rPr>
          <w:rFonts w:cs="Times New Roman"/>
          <w:b/>
          <w:bCs/>
          <w:sz w:val="32"/>
          <w:szCs w:val="36"/>
        </w:rPr>
        <w:t>二〇二</w:t>
      </w:r>
      <w:r>
        <w:rPr>
          <w:rFonts w:hint="eastAsia" w:cs="Times New Roman"/>
          <w:b/>
          <w:bCs/>
          <w:sz w:val="32"/>
          <w:szCs w:val="36"/>
        </w:rPr>
        <w:t>二</w:t>
      </w:r>
      <w:r>
        <w:rPr>
          <w:rFonts w:cs="Times New Roman"/>
          <w:b/>
          <w:bCs/>
          <w:sz w:val="32"/>
          <w:szCs w:val="36"/>
        </w:rPr>
        <w:t>年</w:t>
      </w:r>
      <w:r>
        <w:rPr>
          <w:rFonts w:hint="eastAsia" w:cs="Times New Roman"/>
          <w:b/>
          <w:bCs/>
          <w:sz w:val="32"/>
          <w:szCs w:val="36"/>
          <w:lang w:eastAsia="zh-CN"/>
        </w:rPr>
        <w:t>五</w:t>
      </w:r>
      <w:bookmarkStart w:id="158" w:name="_GoBack"/>
      <w:bookmarkEnd w:id="158"/>
      <w:r>
        <w:rPr>
          <w:rFonts w:cs="Times New Roman"/>
          <w:b/>
          <w:bCs/>
          <w:sz w:val="32"/>
          <w:szCs w:val="36"/>
        </w:rPr>
        <w:t>月</w:t>
      </w:r>
    </w:p>
    <w:p>
      <w:pPr>
        <w:pStyle w:val="2"/>
        <w:ind w:right="320" w:firstLine="640"/>
        <w:jc w:val="center"/>
        <w:rPr>
          <w:rFonts w:cs="Times New Roman"/>
          <w:sz w:val="32"/>
          <w:szCs w:val="2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start="1"/>
          <w:cols w:space="425" w:num="1"/>
          <w:titlePg/>
          <w:docGrid w:type="lines" w:linePitch="435" w:charSpace="0"/>
        </w:sectPr>
      </w:pPr>
    </w:p>
    <w:sdt>
      <w:sdtPr>
        <w:rPr>
          <w:rFonts w:eastAsia="仿宋_GB2312" w:cs="Times New Roman" w:asciiTheme="minorHAnsi" w:hAnsiTheme="minorHAnsi"/>
          <w:b/>
          <w:bCs/>
          <w:caps/>
          <w:sz w:val="32"/>
          <w:szCs w:val="24"/>
          <w:lang w:val="zh-CN"/>
        </w:rPr>
        <w:id w:val="-1861501395"/>
        <w:docPartObj>
          <w:docPartGallery w:val="Table of Contents"/>
          <w:docPartUnique/>
        </w:docPartObj>
      </w:sdtPr>
      <w:sdtEndPr>
        <w:rPr>
          <w:rFonts w:eastAsia="仿宋_GB2312" w:cs="Times New Roman" w:asciiTheme="minorHAnsi" w:hAnsiTheme="minorHAnsi"/>
          <w:b/>
          <w:bCs/>
          <w:caps/>
          <w:sz w:val="28"/>
          <w:szCs w:val="28"/>
          <w:lang w:val="zh-CN"/>
        </w:rPr>
      </w:sdtEndPr>
      <w:sdtContent>
        <w:p>
          <w:pPr>
            <w:pStyle w:val="2"/>
            <w:ind w:right="320" w:firstLine="643"/>
            <w:jc w:val="center"/>
            <w:rPr>
              <w:rFonts w:cs="Times New Roman"/>
              <w:b/>
              <w:bCs/>
              <w:sz w:val="24"/>
              <w:szCs w:val="24"/>
            </w:rPr>
          </w:pPr>
          <w:r>
            <w:rPr>
              <w:rFonts w:cs="Times New Roman"/>
              <w:b/>
              <w:bCs/>
              <w:sz w:val="24"/>
              <w:szCs w:val="24"/>
              <w:lang w:val="zh-CN"/>
            </w:rPr>
            <w:t>目录</w:t>
          </w:r>
        </w:p>
        <w:p>
          <w:pPr>
            <w:pStyle w:val="18"/>
            <w:tabs>
              <w:tab w:val="right" w:leader="dot" w:pos="8306"/>
            </w:tabs>
            <w:ind w:left="320" w:right="320"/>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rPr>
              <w:rFonts w:hint="eastAsia" w:ascii="仿宋" w:hAnsi="仿宋" w:eastAsia="仿宋" w:cs="仿宋"/>
              <w:b/>
              <w:bCs/>
              <w:caps/>
              <w:sz w:val="24"/>
              <w:szCs w:val="24"/>
              <w:lang w:val="zh-CN"/>
            </w:rPr>
            <w:fldChar w:fldCharType="begin"/>
          </w:r>
          <w:r>
            <w:rPr>
              <w:rFonts w:ascii="仿宋" w:hAnsi="仿宋" w:eastAsia="仿宋" w:cs="仿宋"/>
              <w:b/>
              <w:bCs/>
              <w:caps/>
              <w:sz w:val="24"/>
              <w:szCs w:val="24"/>
              <w:lang w:val="zh-CN"/>
            </w:rPr>
            <w:instrText xml:space="preserve"> HYPERLINK \l _Toc13440 </w:instrText>
          </w:r>
          <w:r>
            <w:rPr>
              <w:rFonts w:hint="eastAsia" w:ascii="仿宋" w:hAnsi="仿宋" w:eastAsia="仿宋" w:cs="仿宋"/>
              <w:b/>
              <w:bCs/>
              <w:caps/>
              <w:sz w:val="24"/>
              <w:szCs w:val="24"/>
              <w:lang w:val="zh-CN"/>
            </w:rPr>
            <w:fldChar w:fldCharType="separate"/>
          </w:r>
          <w:r>
            <w:rPr>
              <w:rFonts w:hint="eastAsia" w:ascii="仿宋" w:hAnsi="仿宋" w:eastAsia="仿宋" w:cs="仿宋"/>
              <w:b/>
              <w:bCs/>
              <w:caps/>
              <w:sz w:val="24"/>
              <w:szCs w:val="24"/>
            </w:rPr>
            <w:t>一、基本情况</w:t>
          </w:r>
          <w:r>
            <w:rPr>
              <w:rFonts w:ascii="仿宋" w:hAnsi="仿宋" w:eastAsia="仿宋" w:cs="仿宋"/>
              <w:b/>
              <w:bCs/>
              <w:caps/>
              <w:sz w:val="24"/>
              <w:szCs w:val="24"/>
            </w:rPr>
            <w:tab/>
          </w:r>
          <w:r>
            <w:rPr>
              <w:rFonts w:ascii="仿宋" w:hAnsi="仿宋" w:eastAsia="仿宋" w:cs="仿宋"/>
              <w:b/>
              <w:bCs/>
              <w:caps/>
              <w:sz w:val="24"/>
              <w:szCs w:val="24"/>
            </w:rPr>
            <w:fldChar w:fldCharType="begin"/>
          </w:r>
          <w:r>
            <w:rPr>
              <w:rFonts w:ascii="仿宋" w:hAnsi="仿宋" w:eastAsia="仿宋" w:cs="仿宋"/>
              <w:b/>
              <w:bCs/>
              <w:caps/>
              <w:sz w:val="24"/>
              <w:szCs w:val="24"/>
            </w:rPr>
            <w:instrText xml:space="preserve"> PAGEREF _Toc13440 \h </w:instrText>
          </w:r>
          <w:r>
            <w:rPr>
              <w:rFonts w:ascii="仿宋" w:hAnsi="仿宋" w:eastAsia="仿宋" w:cs="仿宋"/>
              <w:b/>
              <w:bCs/>
              <w:caps/>
              <w:sz w:val="24"/>
              <w:szCs w:val="24"/>
            </w:rPr>
            <w:fldChar w:fldCharType="separate"/>
          </w:r>
          <w:r>
            <w:rPr>
              <w:rFonts w:ascii="仿宋" w:hAnsi="仿宋" w:eastAsia="仿宋" w:cs="仿宋"/>
              <w:b/>
              <w:bCs/>
              <w:caps/>
              <w:sz w:val="24"/>
              <w:szCs w:val="24"/>
            </w:rPr>
            <w:t>4</w:t>
          </w:r>
          <w:r>
            <w:rPr>
              <w:rFonts w:ascii="仿宋" w:hAnsi="仿宋" w:eastAsia="仿宋" w:cs="仿宋"/>
              <w:b/>
              <w:bCs/>
              <w:caps/>
              <w:sz w:val="24"/>
              <w:szCs w:val="24"/>
            </w:rPr>
            <w:fldChar w:fldCharType="end"/>
          </w:r>
          <w:r>
            <w:rPr>
              <w:rFonts w:hint="eastAsia" w:ascii="仿宋" w:hAnsi="仿宋" w:eastAsia="仿宋" w:cs="仿宋"/>
              <w:b/>
              <w:bCs/>
              <w:caps/>
              <w:sz w:val="24"/>
              <w:szCs w:val="24"/>
              <w:lang w:val="zh-CN"/>
            </w:rPr>
            <w:fldChar w:fldCharType="end"/>
          </w:r>
        </w:p>
        <w:p>
          <w:pPr>
            <w:pStyle w:val="21"/>
            <w:tabs>
              <w:tab w:val="right" w:leader="dot" w:pos="8306"/>
            </w:tabs>
            <w:ind w:right="320"/>
            <w:rPr>
              <w:rFonts w:ascii="仿宋" w:hAnsi="仿宋" w:eastAsia="仿宋" w:cs="仿宋"/>
              <w:sz w:val="24"/>
              <w:szCs w:val="24"/>
            </w:rPr>
          </w:pPr>
          <w:r>
            <w:rPr>
              <w:rFonts w:hint="eastAsia" w:ascii="仿宋" w:hAnsi="仿宋" w:eastAsia="仿宋" w:cs="仿宋"/>
              <w:smallCaps/>
              <w:sz w:val="24"/>
              <w:szCs w:val="24"/>
              <w:lang w:val="zh-CN"/>
            </w:rPr>
            <w:fldChar w:fldCharType="begin"/>
          </w:r>
          <w:r>
            <w:rPr>
              <w:rFonts w:ascii="仿宋" w:hAnsi="仿宋" w:eastAsia="仿宋" w:cs="仿宋"/>
              <w:smallCaps/>
              <w:sz w:val="24"/>
              <w:szCs w:val="24"/>
              <w:lang w:val="zh-CN"/>
            </w:rPr>
            <w:instrText xml:space="preserve"> HYPERLINK \l _Toc10860 </w:instrText>
          </w:r>
          <w:r>
            <w:rPr>
              <w:rFonts w:hint="eastAsia" w:ascii="仿宋" w:hAnsi="仿宋" w:eastAsia="仿宋" w:cs="仿宋"/>
              <w:smallCaps/>
              <w:sz w:val="24"/>
              <w:szCs w:val="24"/>
              <w:lang w:val="zh-CN"/>
            </w:rPr>
            <w:fldChar w:fldCharType="separate"/>
          </w:r>
          <w:r>
            <w:rPr>
              <w:rFonts w:hint="eastAsia" w:ascii="仿宋" w:hAnsi="仿宋" w:eastAsia="仿宋" w:cs="仿宋"/>
              <w:smallCaps/>
              <w:sz w:val="24"/>
              <w:szCs w:val="24"/>
            </w:rPr>
            <w:t>（一）项目概况</w:t>
          </w:r>
          <w:r>
            <w:rPr>
              <w:rFonts w:ascii="仿宋" w:hAnsi="仿宋" w:eastAsia="仿宋" w:cs="仿宋"/>
              <w:smallCaps/>
              <w:sz w:val="24"/>
              <w:szCs w:val="24"/>
            </w:rPr>
            <w:tab/>
          </w:r>
          <w:r>
            <w:rPr>
              <w:rFonts w:ascii="仿宋" w:hAnsi="仿宋" w:eastAsia="仿宋" w:cs="仿宋"/>
              <w:smallCaps/>
              <w:sz w:val="24"/>
              <w:szCs w:val="24"/>
            </w:rPr>
            <w:fldChar w:fldCharType="begin"/>
          </w:r>
          <w:r>
            <w:rPr>
              <w:rFonts w:ascii="仿宋" w:hAnsi="仿宋" w:eastAsia="仿宋" w:cs="仿宋"/>
              <w:smallCaps/>
              <w:sz w:val="24"/>
              <w:szCs w:val="24"/>
            </w:rPr>
            <w:instrText xml:space="preserve"> PAGEREF _Toc10860 \h </w:instrText>
          </w:r>
          <w:r>
            <w:rPr>
              <w:rFonts w:ascii="仿宋" w:hAnsi="仿宋" w:eastAsia="仿宋" w:cs="仿宋"/>
              <w:smallCaps/>
              <w:sz w:val="24"/>
              <w:szCs w:val="24"/>
            </w:rPr>
            <w:fldChar w:fldCharType="separate"/>
          </w:r>
          <w:r>
            <w:rPr>
              <w:rFonts w:ascii="仿宋" w:hAnsi="仿宋" w:eastAsia="仿宋" w:cs="仿宋"/>
              <w:smallCaps/>
              <w:sz w:val="24"/>
              <w:szCs w:val="24"/>
            </w:rPr>
            <w:t>4</w:t>
          </w:r>
          <w:r>
            <w:rPr>
              <w:rFonts w:ascii="仿宋" w:hAnsi="仿宋" w:eastAsia="仿宋" w:cs="仿宋"/>
              <w:smallCaps/>
              <w:sz w:val="24"/>
              <w:szCs w:val="24"/>
            </w:rPr>
            <w:fldChar w:fldCharType="end"/>
          </w:r>
          <w:r>
            <w:rPr>
              <w:rFonts w:hint="eastAsia" w:ascii="仿宋" w:hAnsi="仿宋" w:eastAsia="仿宋" w:cs="仿宋"/>
              <w:smallCaps/>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_Toc31951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1.项目单位基本情况</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_Toc31951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4</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_Toc16411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2.项目背景</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_Toc16411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5</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_Toc521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3.主要内容</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_Toc521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6</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_Toc10045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4.实施情况</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_Toc10045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6</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_Toc2905 </w:instrText>
          </w:r>
          <w:r>
            <w:rPr>
              <w:rFonts w:hint="eastAsia" w:ascii="仿宋" w:hAnsi="仿宋" w:eastAsia="仿宋" w:cs="仿宋"/>
              <w:i w:val="0"/>
              <w:iCs w:val="0"/>
              <w:sz w:val="24"/>
              <w:szCs w:val="24"/>
              <w:lang w:val="zh-CN"/>
            </w:rPr>
            <w:fldChar w:fldCharType="separate"/>
          </w:r>
          <w:r>
            <w:rPr>
              <w:rFonts w:ascii="仿宋" w:hAnsi="仿宋" w:eastAsia="仿宋" w:cs="仿宋"/>
              <w:i w:val="0"/>
              <w:iCs w:val="0"/>
              <w:sz w:val="24"/>
              <w:szCs w:val="24"/>
            </w:rPr>
            <w:t>5.</w:t>
          </w:r>
          <w:r>
            <w:rPr>
              <w:rFonts w:hint="eastAsia" w:ascii="仿宋" w:hAnsi="仿宋" w:eastAsia="仿宋" w:cs="仿宋"/>
              <w:i w:val="0"/>
              <w:iCs w:val="0"/>
              <w:sz w:val="24"/>
              <w:szCs w:val="24"/>
            </w:rPr>
            <w:t>项目预算及执行情况</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_Toc2905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6</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21"/>
            <w:tabs>
              <w:tab w:val="right" w:leader="dot" w:pos="8306"/>
            </w:tabs>
            <w:ind w:right="320"/>
            <w:rPr>
              <w:rFonts w:ascii="仿宋" w:hAnsi="仿宋" w:eastAsia="仿宋" w:cs="仿宋"/>
              <w:sz w:val="24"/>
              <w:szCs w:val="24"/>
            </w:rPr>
          </w:pPr>
          <w:r>
            <w:rPr>
              <w:rFonts w:hint="eastAsia" w:ascii="仿宋" w:hAnsi="仿宋" w:eastAsia="仿宋" w:cs="仿宋"/>
              <w:smallCaps/>
              <w:sz w:val="24"/>
              <w:szCs w:val="24"/>
              <w:lang w:val="zh-CN"/>
            </w:rPr>
            <w:fldChar w:fldCharType="begin"/>
          </w:r>
          <w:r>
            <w:rPr>
              <w:rFonts w:ascii="仿宋" w:hAnsi="仿宋" w:eastAsia="仿宋" w:cs="仿宋"/>
              <w:smallCaps/>
              <w:sz w:val="24"/>
              <w:szCs w:val="24"/>
              <w:lang w:val="zh-CN"/>
            </w:rPr>
            <w:instrText xml:space="preserve"> HYPERLINK \l _Toc26060 </w:instrText>
          </w:r>
          <w:r>
            <w:rPr>
              <w:rFonts w:hint="eastAsia" w:ascii="仿宋" w:hAnsi="仿宋" w:eastAsia="仿宋" w:cs="仿宋"/>
              <w:smallCaps/>
              <w:sz w:val="24"/>
              <w:szCs w:val="24"/>
              <w:lang w:val="zh-CN"/>
            </w:rPr>
            <w:fldChar w:fldCharType="separate"/>
          </w:r>
          <w:r>
            <w:rPr>
              <w:rFonts w:hint="eastAsia" w:ascii="仿宋" w:hAnsi="仿宋" w:eastAsia="仿宋" w:cs="仿宋"/>
              <w:smallCaps/>
              <w:sz w:val="24"/>
              <w:szCs w:val="24"/>
            </w:rPr>
            <w:t>（二）项目绩效目标</w:t>
          </w:r>
          <w:r>
            <w:rPr>
              <w:rFonts w:ascii="仿宋" w:hAnsi="仿宋" w:eastAsia="仿宋" w:cs="仿宋"/>
              <w:smallCaps/>
              <w:sz w:val="24"/>
              <w:szCs w:val="24"/>
            </w:rPr>
            <w:tab/>
          </w:r>
          <w:r>
            <w:rPr>
              <w:rFonts w:ascii="仿宋" w:hAnsi="仿宋" w:eastAsia="仿宋" w:cs="仿宋"/>
              <w:smallCaps/>
              <w:sz w:val="24"/>
              <w:szCs w:val="24"/>
            </w:rPr>
            <w:fldChar w:fldCharType="begin"/>
          </w:r>
          <w:r>
            <w:rPr>
              <w:rFonts w:ascii="仿宋" w:hAnsi="仿宋" w:eastAsia="仿宋" w:cs="仿宋"/>
              <w:smallCaps/>
              <w:sz w:val="24"/>
              <w:szCs w:val="24"/>
            </w:rPr>
            <w:instrText xml:space="preserve"> PAGEREF _Toc26060 \h </w:instrText>
          </w:r>
          <w:r>
            <w:rPr>
              <w:rFonts w:ascii="仿宋" w:hAnsi="仿宋" w:eastAsia="仿宋" w:cs="仿宋"/>
              <w:smallCaps/>
              <w:sz w:val="24"/>
              <w:szCs w:val="24"/>
            </w:rPr>
            <w:fldChar w:fldCharType="separate"/>
          </w:r>
          <w:r>
            <w:rPr>
              <w:rFonts w:ascii="仿宋" w:hAnsi="仿宋" w:eastAsia="仿宋" w:cs="仿宋"/>
              <w:smallCaps/>
              <w:sz w:val="24"/>
              <w:szCs w:val="24"/>
            </w:rPr>
            <w:t>7</w:t>
          </w:r>
          <w:r>
            <w:rPr>
              <w:rFonts w:ascii="仿宋" w:hAnsi="仿宋" w:eastAsia="仿宋" w:cs="仿宋"/>
              <w:smallCaps/>
              <w:sz w:val="24"/>
              <w:szCs w:val="24"/>
            </w:rPr>
            <w:fldChar w:fldCharType="end"/>
          </w:r>
          <w:r>
            <w:rPr>
              <w:rFonts w:hint="eastAsia" w:ascii="仿宋" w:hAnsi="仿宋" w:eastAsia="仿宋" w:cs="仿宋"/>
              <w:smallCaps/>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_Toc31817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1.总体目标</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_Toc31817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7</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_Toc22721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2.阶段性目标</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_Toc22721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7</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8"/>
            <w:tabs>
              <w:tab w:val="right" w:leader="dot" w:pos="8306"/>
            </w:tabs>
            <w:ind w:left="320" w:right="320"/>
            <w:rPr>
              <w:rFonts w:ascii="仿宋" w:hAnsi="仿宋" w:eastAsia="仿宋" w:cs="仿宋"/>
              <w:sz w:val="24"/>
              <w:szCs w:val="24"/>
            </w:rPr>
          </w:pPr>
          <w:r>
            <w:rPr>
              <w:rFonts w:hint="eastAsia" w:ascii="仿宋" w:hAnsi="仿宋" w:eastAsia="仿宋" w:cs="仿宋"/>
              <w:b/>
              <w:bCs/>
              <w:caps/>
              <w:sz w:val="24"/>
              <w:szCs w:val="24"/>
              <w:lang w:val="zh-CN"/>
            </w:rPr>
            <w:fldChar w:fldCharType="begin"/>
          </w:r>
          <w:r>
            <w:rPr>
              <w:rFonts w:ascii="仿宋" w:hAnsi="仿宋" w:eastAsia="仿宋" w:cs="仿宋"/>
              <w:b/>
              <w:bCs/>
              <w:caps/>
              <w:sz w:val="24"/>
              <w:szCs w:val="24"/>
              <w:lang w:val="zh-CN"/>
            </w:rPr>
            <w:instrText xml:space="preserve"> HYPERLINK \l _Toc28475 </w:instrText>
          </w:r>
          <w:r>
            <w:rPr>
              <w:rFonts w:hint="eastAsia" w:ascii="仿宋" w:hAnsi="仿宋" w:eastAsia="仿宋" w:cs="仿宋"/>
              <w:b/>
              <w:bCs/>
              <w:caps/>
              <w:sz w:val="24"/>
              <w:szCs w:val="24"/>
              <w:lang w:val="zh-CN"/>
            </w:rPr>
            <w:fldChar w:fldCharType="separate"/>
          </w:r>
          <w:r>
            <w:rPr>
              <w:rFonts w:hint="eastAsia" w:ascii="仿宋" w:hAnsi="仿宋" w:eastAsia="仿宋" w:cs="仿宋"/>
              <w:b/>
              <w:bCs/>
              <w:caps/>
              <w:sz w:val="24"/>
              <w:szCs w:val="24"/>
            </w:rPr>
            <w:t>二、绩效评价工作开展情况</w:t>
          </w:r>
          <w:r>
            <w:rPr>
              <w:rFonts w:ascii="仿宋" w:hAnsi="仿宋" w:eastAsia="仿宋" w:cs="仿宋"/>
              <w:b/>
              <w:bCs/>
              <w:caps/>
              <w:sz w:val="24"/>
              <w:szCs w:val="24"/>
            </w:rPr>
            <w:tab/>
          </w:r>
          <w:r>
            <w:rPr>
              <w:rFonts w:ascii="仿宋" w:hAnsi="仿宋" w:eastAsia="仿宋" w:cs="仿宋"/>
              <w:b/>
              <w:bCs/>
              <w:caps/>
              <w:sz w:val="24"/>
              <w:szCs w:val="24"/>
            </w:rPr>
            <w:fldChar w:fldCharType="begin"/>
          </w:r>
          <w:r>
            <w:rPr>
              <w:rFonts w:ascii="仿宋" w:hAnsi="仿宋" w:eastAsia="仿宋" w:cs="仿宋"/>
              <w:b/>
              <w:bCs/>
              <w:caps/>
              <w:sz w:val="24"/>
              <w:szCs w:val="24"/>
            </w:rPr>
            <w:instrText xml:space="preserve"> PAGEREF _Toc28475 \h </w:instrText>
          </w:r>
          <w:r>
            <w:rPr>
              <w:rFonts w:ascii="仿宋" w:hAnsi="仿宋" w:eastAsia="仿宋" w:cs="仿宋"/>
              <w:b/>
              <w:bCs/>
              <w:caps/>
              <w:sz w:val="24"/>
              <w:szCs w:val="24"/>
            </w:rPr>
            <w:fldChar w:fldCharType="separate"/>
          </w:r>
          <w:r>
            <w:rPr>
              <w:rFonts w:ascii="仿宋" w:hAnsi="仿宋" w:eastAsia="仿宋" w:cs="仿宋"/>
              <w:b/>
              <w:bCs/>
              <w:caps/>
              <w:sz w:val="24"/>
              <w:szCs w:val="24"/>
            </w:rPr>
            <w:t>8</w:t>
          </w:r>
          <w:r>
            <w:rPr>
              <w:rFonts w:ascii="仿宋" w:hAnsi="仿宋" w:eastAsia="仿宋" w:cs="仿宋"/>
              <w:b/>
              <w:bCs/>
              <w:caps/>
              <w:sz w:val="24"/>
              <w:szCs w:val="24"/>
            </w:rPr>
            <w:fldChar w:fldCharType="end"/>
          </w:r>
          <w:r>
            <w:rPr>
              <w:rFonts w:hint="eastAsia" w:ascii="仿宋" w:hAnsi="仿宋" w:eastAsia="仿宋" w:cs="仿宋"/>
              <w:b/>
              <w:bCs/>
              <w:caps/>
              <w:sz w:val="24"/>
              <w:szCs w:val="24"/>
              <w:lang w:val="zh-CN"/>
            </w:rPr>
            <w:fldChar w:fldCharType="end"/>
          </w:r>
        </w:p>
        <w:p>
          <w:pPr>
            <w:pStyle w:val="21"/>
            <w:tabs>
              <w:tab w:val="right" w:leader="dot" w:pos="8306"/>
            </w:tabs>
            <w:ind w:right="320"/>
            <w:rPr>
              <w:rFonts w:ascii="仿宋" w:hAnsi="仿宋" w:eastAsia="仿宋" w:cs="仿宋"/>
              <w:sz w:val="24"/>
              <w:szCs w:val="24"/>
            </w:rPr>
          </w:pPr>
          <w:r>
            <w:rPr>
              <w:rFonts w:hint="eastAsia" w:ascii="仿宋" w:hAnsi="仿宋" w:eastAsia="仿宋" w:cs="仿宋"/>
              <w:smallCaps/>
              <w:sz w:val="24"/>
              <w:szCs w:val="24"/>
              <w:lang w:val="zh-CN"/>
            </w:rPr>
            <w:fldChar w:fldCharType="begin"/>
          </w:r>
          <w:r>
            <w:rPr>
              <w:rFonts w:ascii="仿宋" w:hAnsi="仿宋" w:eastAsia="仿宋" w:cs="仿宋"/>
              <w:smallCaps/>
              <w:sz w:val="24"/>
              <w:szCs w:val="24"/>
              <w:lang w:val="zh-CN"/>
            </w:rPr>
            <w:instrText xml:space="preserve"> HYPERLINK \l _Toc17687 </w:instrText>
          </w:r>
          <w:r>
            <w:rPr>
              <w:rFonts w:hint="eastAsia" w:ascii="仿宋" w:hAnsi="仿宋" w:eastAsia="仿宋" w:cs="仿宋"/>
              <w:smallCaps/>
              <w:sz w:val="24"/>
              <w:szCs w:val="24"/>
              <w:lang w:val="zh-CN"/>
            </w:rPr>
            <w:fldChar w:fldCharType="separate"/>
          </w:r>
          <w:r>
            <w:rPr>
              <w:rFonts w:hint="eastAsia" w:ascii="仿宋" w:hAnsi="仿宋" w:eastAsia="仿宋" w:cs="仿宋"/>
              <w:smallCaps/>
              <w:sz w:val="24"/>
              <w:szCs w:val="24"/>
            </w:rPr>
            <w:t>（一）绩效评价目的、对象和范围</w:t>
          </w:r>
          <w:r>
            <w:rPr>
              <w:rFonts w:ascii="仿宋" w:hAnsi="仿宋" w:eastAsia="仿宋" w:cs="仿宋"/>
              <w:smallCaps/>
              <w:sz w:val="24"/>
              <w:szCs w:val="24"/>
            </w:rPr>
            <w:tab/>
          </w:r>
          <w:r>
            <w:rPr>
              <w:rFonts w:ascii="仿宋" w:hAnsi="仿宋" w:eastAsia="仿宋" w:cs="仿宋"/>
              <w:smallCaps/>
              <w:sz w:val="24"/>
              <w:szCs w:val="24"/>
            </w:rPr>
            <w:fldChar w:fldCharType="begin"/>
          </w:r>
          <w:r>
            <w:rPr>
              <w:rFonts w:ascii="仿宋" w:hAnsi="仿宋" w:eastAsia="仿宋" w:cs="仿宋"/>
              <w:smallCaps/>
              <w:sz w:val="24"/>
              <w:szCs w:val="24"/>
            </w:rPr>
            <w:instrText xml:space="preserve"> PAGEREF _Toc17687 \h </w:instrText>
          </w:r>
          <w:r>
            <w:rPr>
              <w:rFonts w:ascii="仿宋" w:hAnsi="仿宋" w:eastAsia="仿宋" w:cs="仿宋"/>
              <w:smallCaps/>
              <w:sz w:val="24"/>
              <w:szCs w:val="24"/>
            </w:rPr>
            <w:fldChar w:fldCharType="separate"/>
          </w:r>
          <w:r>
            <w:rPr>
              <w:rFonts w:ascii="仿宋" w:hAnsi="仿宋" w:eastAsia="仿宋" w:cs="仿宋"/>
              <w:smallCaps/>
              <w:sz w:val="24"/>
              <w:szCs w:val="24"/>
            </w:rPr>
            <w:t>8</w:t>
          </w:r>
          <w:r>
            <w:rPr>
              <w:rFonts w:ascii="仿宋" w:hAnsi="仿宋" w:eastAsia="仿宋" w:cs="仿宋"/>
              <w:smallCaps/>
              <w:sz w:val="24"/>
              <w:szCs w:val="24"/>
            </w:rPr>
            <w:fldChar w:fldCharType="end"/>
          </w:r>
          <w:r>
            <w:rPr>
              <w:rFonts w:hint="eastAsia" w:ascii="仿宋" w:hAnsi="仿宋" w:eastAsia="仿宋" w:cs="仿宋"/>
              <w:smallCaps/>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_Toc24795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1.绩效评价目的</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_Toc24795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8</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_Toc14842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2.绩效评价对象</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_Toc14842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8</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_Toc23557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3.绩效评价范围</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_Toc23557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8</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21"/>
            <w:tabs>
              <w:tab w:val="right" w:leader="dot" w:pos="8306"/>
            </w:tabs>
            <w:ind w:right="320"/>
            <w:rPr>
              <w:rFonts w:ascii="仿宋" w:hAnsi="仿宋" w:eastAsia="仿宋" w:cs="仿宋"/>
              <w:sz w:val="24"/>
              <w:szCs w:val="24"/>
            </w:rPr>
          </w:pPr>
          <w:r>
            <w:rPr>
              <w:rFonts w:hint="eastAsia" w:ascii="仿宋" w:hAnsi="仿宋" w:eastAsia="仿宋" w:cs="仿宋"/>
              <w:smallCaps/>
              <w:sz w:val="24"/>
              <w:szCs w:val="24"/>
              <w:lang w:val="zh-CN"/>
            </w:rPr>
            <w:fldChar w:fldCharType="begin"/>
          </w:r>
          <w:r>
            <w:rPr>
              <w:rFonts w:ascii="仿宋" w:hAnsi="仿宋" w:eastAsia="仿宋" w:cs="仿宋"/>
              <w:smallCaps/>
              <w:sz w:val="24"/>
              <w:szCs w:val="24"/>
              <w:lang w:val="zh-CN"/>
            </w:rPr>
            <w:instrText xml:space="preserve"> HYPERLINK \l _Toc5529 </w:instrText>
          </w:r>
          <w:r>
            <w:rPr>
              <w:rFonts w:hint="eastAsia" w:ascii="仿宋" w:hAnsi="仿宋" w:eastAsia="仿宋" w:cs="仿宋"/>
              <w:smallCaps/>
              <w:sz w:val="24"/>
              <w:szCs w:val="24"/>
              <w:lang w:val="zh-CN"/>
            </w:rPr>
            <w:fldChar w:fldCharType="separate"/>
          </w:r>
          <w:r>
            <w:rPr>
              <w:rFonts w:hint="eastAsia" w:ascii="仿宋" w:hAnsi="仿宋" w:eastAsia="仿宋" w:cs="仿宋"/>
              <w:smallCaps/>
              <w:sz w:val="24"/>
              <w:szCs w:val="24"/>
            </w:rPr>
            <w:t>（二）绩效评价原则、评价指标体系、评价方法及评价依据</w:t>
          </w:r>
          <w:r>
            <w:rPr>
              <w:rFonts w:ascii="仿宋" w:hAnsi="仿宋" w:eastAsia="仿宋" w:cs="仿宋"/>
              <w:smallCaps/>
              <w:sz w:val="24"/>
              <w:szCs w:val="24"/>
            </w:rPr>
            <w:tab/>
          </w:r>
          <w:r>
            <w:rPr>
              <w:rFonts w:ascii="仿宋" w:hAnsi="仿宋" w:eastAsia="仿宋" w:cs="仿宋"/>
              <w:smallCaps/>
              <w:sz w:val="24"/>
              <w:szCs w:val="24"/>
            </w:rPr>
            <w:fldChar w:fldCharType="begin"/>
          </w:r>
          <w:r>
            <w:rPr>
              <w:rFonts w:ascii="仿宋" w:hAnsi="仿宋" w:eastAsia="仿宋" w:cs="仿宋"/>
              <w:smallCaps/>
              <w:sz w:val="24"/>
              <w:szCs w:val="24"/>
            </w:rPr>
            <w:instrText xml:space="preserve"> PAGEREF _Toc5529 \h </w:instrText>
          </w:r>
          <w:r>
            <w:rPr>
              <w:rFonts w:ascii="仿宋" w:hAnsi="仿宋" w:eastAsia="仿宋" w:cs="仿宋"/>
              <w:smallCaps/>
              <w:sz w:val="24"/>
              <w:szCs w:val="24"/>
            </w:rPr>
            <w:fldChar w:fldCharType="separate"/>
          </w:r>
          <w:r>
            <w:rPr>
              <w:rFonts w:ascii="仿宋" w:hAnsi="仿宋" w:eastAsia="仿宋" w:cs="仿宋"/>
              <w:smallCaps/>
              <w:sz w:val="24"/>
              <w:szCs w:val="24"/>
            </w:rPr>
            <w:t>8</w:t>
          </w:r>
          <w:r>
            <w:rPr>
              <w:rFonts w:ascii="仿宋" w:hAnsi="仿宋" w:eastAsia="仿宋" w:cs="仿宋"/>
              <w:smallCaps/>
              <w:sz w:val="24"/>
              <w:szCs w:val="24"/>
            </w:rPr>
            <w:fldChar w:fldCharType="end"/>
          </w:r>
          <w:r>
            <w:rPr>
              <w:rFonts w:hint="eastAsia" w:ascii="仿宋" w:hAnsi="仿宋" w:eastAsia="仿宋" w:cs="仿宋"/>
              <w:smallCaps/>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_Toc20977 </w:instrText>
          </w:r>
          <w:r>
            <w:rPr>
              <w:rFonts w:hint="eastAsia" w:ascii="仿宋" w:hAnsi="仿宋" w:eastAsia="仿宋" w:cs="仿宋"/>
              <w:i w:val="0"/>
              <w:iCs w:val="0"/>
              <w:sz w:val="24"/>
              <w:szCs w:val="24"/>
              <w:lang w:val="zh-CN"/>
            </w:rPr>
            <w:fldChar w:fldCharType="separate"/>
          </w:r>
          <w:r>
            <w:rPr>
              <w:rFonts w:ascii="仿宋" w:hAnsi="仿宋" w:eastAsia="仿宋" w:cs="仿宋"/>
              <w:i w:val="0"/>
              <w:iCs w:val="0"/>
              <w:sz w:val="24"/>
              <w:szCs w:val="24"/>
            </w:rPr>
            <w:t xml:space="preserve">1. </w:t>
          </w:r>
          <w:r>
            <w:rPr>
              <w:rFonts w:hint="eastAsia" w:ascii="仿宋" w:hAnsi="仿宋" w:eastAsia="仿宋" w:cs="仿宋"/>
              <w:i w:val="0"/>
              <w:iCs w:val="0"/>
              <w:sz w:val="24"/>
              <w:szCs w:val="24"/>
            </w:rPr>
            <w:t>绩效评价原则</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_Toc20977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8</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_Toc18719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2.评价指标体系</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_Toc18719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9</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_Toc26786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3.评价方法</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_Toc26786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10</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_Toc7652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4.评价依据</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_Toc7652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10</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21"/>
            <w:tabs>
              <w:tab w:val="right" w:leader="dot" w:pos="8306"/>
            </w:tabs>
            <w:ind w:right="320"/>
            <w:rPr>
              <w:rFonts w:ascii="仿宋" w:hAnsi="仿宋" w:eastAsia="仿宋" w:cs="仿宋"/>
              <w:sz w:val="24"/>
              <w:szCs w:val="24"/>
            </w:rPr>
          </w:pPr>
          <w:r>
            <w:rPr>
              <w:rFonts w:hint="eastAsia" w:ascii="仿宋" w:hAnsi="仿宋" w:eastAsia="仿宋" w:cs="仿宋"/>
              <w:smallCaps/>
              <w:sz w:val="24"/>
              <w:szCs w:val="24"/>
              <w:lang w:val="zh-CN"/>
            </w:rPr>
            <w:fldChar w:fldCharType="begin"/>
          </w:r>
          <w:r>
            <w:rPr>
              <w:rFonts w:ascii="仿宋" w:hAnsi="仿宋" w:eastAsia="仿宋" w:cs="仿宋"/>
              <w:smallCaps/>
              <w:sz w:val="24"/>
              <w:szCs w:val="24"/>
              <w:lang w:val="zh-CN"/>
            </w:rPr>
            <w:instrText xml:space="preserve"> HYPERLINK \l _Toc6635 </w:instrText>
          </w:r>
          <w:r>
            <w:rPr>
              <w:rFonts w:hint="eastAsia" w:ascii="仿宋" w:hAnsi="仿宋" w:eastAsia="仿宋" w:cs="仿宋"/>
              <w:smallCaps/>
              <w:sz w:val="24"/>
              <w:szCs w:val="24"/>
              <w:lang w:val="zh-CN"/>
            </w:rPr>
            <w:fldChar w:fldCharType="separate"/>
          </w:r>
          <w:r>
            <w:rPr>
              <w:rFonts w:hint="eastAsia" w:ascii="仿宋" w:hAnsi="仿宋" w:eastAsia="仿宋" w:cs="仿宋"/>
              <w:smallCaps/>
              <w:sz w:val="24"/>
              <w:szCs w:val="24"/>
            </w:rPr>
            <w:t>（三）绩效评价工作过程</w:t>
          </w:r>
          <w:r>
            <w:rPr>
              <w:rFonts w:ascii="仿宋" w:hAnsi="仿宋" w:eastAsia="仿宋" w:cs="仿宋"/>
              <w:smallCaps/>
              <w:sz w:val="24"/>
              <w:szCs w:val="24"/>
            </w:rPr>
            <w:tab/>
          </w:r>
          <w:r>
            <w:rPr>
              <w:rFonts w:ascii="仿宋" w:hAnsi="仿宋" w:eastAsia="仿宋" w:cs="仿宋"/>
              <w:smallCaps/>
              <w:sz w:val="24"/>
              <w:szCs w:val="24"/>
            </w:rPr>
            <w:fldChar w:fldCharType="begin"/>
          </w:r>
          <w:r>
            <w:rPr>
              <w:rFonts w:ascii="仿宋" w:hAnsi="仿宋" w:eastAsia="仿宋" w:cs="仿宋"/>
              <w:smallCaps/>
              <w:sz w:val="24"/>
              <w:szCs w:val="24"/>
            </w:rPr>
            <w:instrText xml:space="preserve"> PAGEREF _Toc6635 \h </w:instrText>
          </w:r>
          <w:r>
            <w:rPr>
              <w:rFonts w:ascii="仿宋" w:hAnsi="仿宋" w:eastAsia="仿宋" w:cs="仿宋"/>
              <w:smallCaps/>
              <w:sz w:val="24"/>
              <w:szCs w:val="24"/>
            </w:rPr>
            <w:fldChar w:fldCharType="separate"/>
          </w:r>
          <w:r>
            <w:rPr>
              <w:rFonts w:ascii="仿宋" w:hAnsi="仿宋" w:eastAsia="仿宋" w:cs="仿宋"/>
              <w:smallCaps/>
              <w:sz w:val="24"/>
              <w:szCs w:val="24"/>
            </w:rPr>
            <w:t>12</w:t>
          </w:r>
          <w:r>
            <w:rPr>
              <w:rFonts w:ascii="仿宋" w:hAnsi="仿宋" w:eastAsia="仿宋" w:cs="仿宋"/>
              <w:smallCaps/>
              <w:sz w:val="24"/>
              <w:szCs w:val="24"/>
            </w:rPr>
            <w:fldChar w:fldCharType="end"/>
          </w:r>
          <w:r>
            <w:rPr>
              <w:rFonts w:hint="eastAsia" w:ascii="仿宋" w:hAnsi="仿宋" w:eastAsia="仿宋" w:cs="仿宋"/>
              <w:smallCaps/>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_Toc3297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1、评价前期准备阶段</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_Toc3297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12</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_Toc3979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2、评价指标体系及方案设计阶段</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_Toc3979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12</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_Toc733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3、评价实施阶段</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_Toc733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13</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_Toc19753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4、评价报告阶段</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_Toc19753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14</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8"/>
            <w:tabs>
              <w:tab w:val="right" w:leader="dot" w:pos="8306"/>
            </w:tabs>
            <w:ind w:left="320" w:right="320"/>
            <w:rPr>
              <w:rFonts w:ascii="仿宋" w:hAnsi="仿宋" w:eastAsia="仿宋" w:cs="仿宋"/>
              <w:sz w:val="24"/>
              <w:szCs w:val="24"/>
            </w:rPr>
          </w:pPr>
          <w:r>
            <w:rPr>
              <w:rFonts w:hint="eastAsia" w:ascii="仿宋" w:hAnsi="仿宋" w:eastAsia="仿宋" w:cs="仿宋"/>
              <w:b/>
              <w:bCs/>
              <w:caps/>
              <w:sz w:val="24"/>
              <w:szCs w:val="24"/>
              <w:lang w:val="zh-CN"/>
            </w:rPr>
            <w:fldChar w:fldCharType="begin"/>
          </w:r>
          <w:r>
            <w:rPr>
              <w:rFonts w:ascii="仿宋" w:hAnsi="仿宋" w:eastAsia="仿宋" w:cs="仿宋"/>
              <w:b/>
              <w:bCs/>
              <w:caps/>
              <w:sz w:val="24"/>
              <w:szCs w:val="24"/>
              <w:lang w:val="zh-CN"/>
            </w:rPr>
            <w:instrText xml:space="preserve"> HYPERLINK \l _Toc32498 </w:instrText>
          </w:r>
          <w:r>
            <w:rPr>
              <w:rFonts w:hint="eastAsia" w:ascii="仿宋" w:hAnsi="仿宋" w:eastAsia="仿宋" w:cs="仿宋"/>
              <w:b/>
              <w:bCs/>
              <w:caps/>
              <w:sz w:val="24"/>
              <w:szCs w:val="24"/>
              <w:lang w:val="zh-CN"/>
            </w:rPr>
            <w:fldChar w:fldCharType="separate"/>
          </w:r>
          <w:r>
            <w:rPr>
              <w:rFonts w:hint="eastAsia" w:ascii="仿宋" w:hAnsi="仿宋" w:eastAsia="仿宋" w:cs="仿宋"/>
              <w:b/>
              <w:bCs/>
              <w:caps/>
              <w:sz w:val="24"/>
              <w:szCs w:val="24"/>
            </w:rPr>
            <w:t>三、综合评价情况及评价结论</w:t>
          </w:r>
          <w:r>
            <w:rPr>
              <w:rFonts w:ascii="仿宋" w:hAnsi="仿宋" w:eastAsia="仿宋" w:cs="仿宋"/>
              <w:b/>
              <w:bCs/>
              <w:caps/>
              <w:sz w:val="24"/>
              <w:szCs w:val="24"/>
            </w:rPr>
            <w:tab/>
          </w:r>
          <w:r>
            <w:rPr>
              <w:rFonts w:ascii="仿宋" w:hAnsi="仿宋" w:eastAsia="仿宋" w:cs="仿宋"/>
              <w:b/>
              <w:bCs/>
              <w:caps/>
              <w:sz w:val="24"/>
              <w:szCs w:val="24"/>
            </w:rPr>
            <w:fldChar w:fldCharType="begin"/>
          </w:r>
          <w:r>
            <w:rPr>
              <w:rFonts w:ascii="仿宋" w:hAnsi="仿宋" w:eastAsia="仿宋" w:cs="仿宋"/>
              <w:b/>
              <w:bCs/>
              <w:caps/>
              <w:sz w:val="24"/>
              <w:szCs w:val="24"/>
            </w:rPr>
            <w:instrText xml:space="preserve"> PAGEREF _Toc32498 \h </w:instrText>
          </w:r>
          <w:r>
            <w:rPr>
              <w:rFonts w:ascii="仿宋" w:hAnsi="仿宋" w:eastAsia="仿宋" w:cs="仿宋"/>
              <w:b/>
              <w:bCs/>
              <w:caps/>
              <w:sz w:val="24"/>
              <w:szCs w:val="24"/>
            </w:rPr>
            <w:fldChar w:fldCharType="separate"/>
          </w:r>
          <w:r>
            <w:rPr>
              <w:rFonts w:ascii="仿宋" w:hAnsi="仿宋" w:eastAsia="仿宋" w:cs="仿宋"/>
              <w:b/>
              <w:bCs/>
              <w:caps/>
              <w:sz w:val="24"/>
              <w:szCs w:val="24"/>
            </w:rPr>
            <w:t>14</w:t>
          </w:r>
          <w:r>
            <w:rPr>
              <w:rFonts w:ascii="仿宋" w:hAnsi="仿宋" w:eastAsia="仿宋" w:cs="仿宋"/>
              <w:b/>
              <w:bCs/>
              <w:caps/>
              <w:sz w:val="24"/>
              <w:szCs w:val="24"/>
            </w:rPr>
            <w:fldChar w:fldCharType="end"/>
          </w:r>
          <w:r>
            <w:rPr>
              <w:rFonts w:hint="eastAsia" w:ascii="仿宋" w:hAnsi="仿宋" w:eastAsia="仿宋" w:cs="仿宋"/>
              <w:b/>
              <w:bCs/>
              <w:caps/>
              <w:sz w:val="24"/>
              <w:szCs w:val="24"/>
              <w:lang w:val="zh-CN"/>
            </w:rPr>
            <w:fldChar w:fldCharType="end"/>
          </w:r>
        </w:p>
        <w:p>
          <w:pPr>
            <w:pStyle w:val="18"/>
            <w:tabs>
              <w:tab w:val="right" w:leader="dot" w:pos="8306"/>
            </w:tabs>
            <w:ind w:left="320" w:right="320"/>
            <w:rPr>
              <w:rFonts w:ascii="仿宋" w:hAnsi="仿宋" w:eastAsia="仿宋" w:cs="仿宋"/>
              <w:sz w:val="24"/>
              <w:szCs w:val="24"/>
            </w:rPr>
          </w:pPr>
          <w:r>
            <w:rPr>
              <w:rFonts w:hint="eastAsia" w:ascii="仿宋" w:hAnsi="仿宋" w:eastAsia="仿宋" w:cs="仿宋"/>
              <w:b/>
              <w:bCs/>
              <w:caps/>
              <w:sz w:val="24"/>
              <w:szCs w:val="24"/>
              <w:lang w:val="zh-CN"/>
            </w:rPr>
            <w:fldChar w:fldCharType="begin"/>
          </w:r>
          <w:r>
            <w:rPr>
              <w:rFonts w:ascii="仿宋" w:hAnsi="仿宋" w:eastAsia="仿宋" w:cs="仿宋"/>
              <w:b/>
              <w:bCs/>
              <w:caps/>
              <w:sz w:val="24"/>
              <w:szCs w:val="24"/>
              <w:lang w:val="zh-CN"/>
            </w:rPr>
            <w:instrText xml:space="preserve"> HYPERLINK \l _Toc32570 </w:instrText>
          </w:r>
          <w:r>
            <w:rPr>
              <w:rFonts w:hint="eastAsia" w:ascii="仿宋" w:hAnsi="仿宋" w:eastAsia="仿宋" w:cs="仿宋"/>
              <w:b/>
              <w:bCs/>
              <w:caps/>
              <w:sz w:val="24"/>
              <w:szCs w:val="24"/>
              <w:lang w:val="zh-CN"/>
            </w:rPr>
            <w:fldChar w:fldCharType="separate"/>
          </w:r>
          <w:r>
            <w:rPr>
              <w:rFonts w:hint="eastAsia" w:ascii="仿宋" w:hAnsi="仿宋" w:eastAsia="仿宋" w:cs="仿宋"/>
              <w:b/>
              <w:bCs/>
              <w:caps/>
              <w:sz w:val="24"/>
              <w:szCs w:val="24"/>
            </w:rPr>
            <w:t>四、绩效评价指标分析</w:t>
          </w:r>
          <w:r>
            <w:rPr>
              <w:rFonts w:ascii="仿宋" w:hAnsi="仿宋" w:eastAsia="仿宋" w:cs="仿宋"/>
              <w:b/>
              <w:bCs/>
              <w:caps/>
              <w:sz w:val="24"/>
              <w:szCs w:val="24"/>
            </w:rPr>
            <w:tab/>
          </w:r>
          <w:r>
            <w:rPr>
              <w:rFonts w:ascii="仿宋" w:hAnsi="仿宋" w:eastAsia="仿宋" w:cs="仿宋"/>
              <w:b/>
              <w:bCs/>
              <w:caps/>
              <w:sz w:val="24"/>
              <w:szCs w:val="24"/>
            </w:rPr>
            <w:fldChar w:fldCharType="begin"/>
          </w:r>
          <w:r>
            <w:rPr>
              <w:rFonts w:ascii="仿宋" w:hAnsi="仿宋" w:eastAsia="仿宋" w:cs="仿宋"/>
              <w:b/>
              <w:bCs/>
              <w:caps/>
              <w:sz w:val="24"/>
              <w:szCs w:val="24"/>
            </w:rPr>
            <w:instrText xml:space="preserve"> PAGEREF _Toc32570 \h </w:instrText>
          </w:r>
          <w:r>
            <w:rPr>
              <w:rFonts w:ascii="仿宋" w:hAnsi="仿宋" w:eastAsia="仿宋" w:cs="仿宋"/>
              <w:b/>
              <w:bCs/>
              <w:caps/>
              <w:sz w:val="24"/>
              <w:szCs w:val="24"/>
            </w:rPr>
            <w:fldChar w:fldCharType="separate"/>
          </w:r>
          <w:r>
            <w:rPr>
              <w:rFonts w:ascii="仿宋" w:hAnsi="仿宋" w:eastAsia="仿宋" w:cs="仿宋"/>
              <w:b/>
              <w:bCs/>
              <w:caps/>
              <w:sz w:val="24"/>
              <w:szCs w:val="24"/>
            </w:rPr>
            <w:t>17</w:t>
          </w:r>
          <w:r>
            <w:rPr>
              <w:rFonts w:ascii="仿宋" w:hAnsi="仿宋" w:eastAsia="仿宋" w:cs="仿宋"/>
              <w:b/>
              <w:bCs/>
              <w:caps/>
              <w:sz w:val="24"/>
              <w:szCs w:val="24"/>
            </w:rPr>
            <w:fldChar w:fldCharType="end"/>
          </w:r>
          <w:r>
            <w:rPr>
              <w:rFonts w:hint="eastAsia" w:ascii="仿宋" w:hAnsi="仿宋" w:eastAsia="仿宋" w:cs="仿宋"/>
              <w:b/>
              <w:bCs/>
              <w:caps/>
              <w:sz w:val="24"/>
              <w:szCs w:val="24"/>
              <w:lang w:val="zh-CN"/>
            </w:rPr>
            <w:fldChar w:fldCharType="end"/>
          </w:r>
        </w:p>
        <w:p>
          <w:pPr>
            <w:pStyle w:val="21"/>
            <w:tabs>
              <w:tab w:val="right" w:leader="dot" w:pos="8306"/>
            </w:tabs>
            <w:ind w:right="320"/>
            <w:rPr>
              <w:rFonts w:ascii="仿宋" w:hAnsi="仿宋" w:eastAsia="仿宋" w:cs="仿宋"/>
              <w:sz w:val="24"/>
              <w:szCs w:val="24"/>
            </w:rPr>
          </w:pPr>
          <w:r>
            <w:rPr>
              <w:rFonts w:hint="eastAsia" w:ascii="仿宋" w:hAnsi="仿宋" w:eastAsia="仿宋" w:cs="仿宋"/>
              <w:smallCaps/>
              <w:sz w:val="24"/>
              <w:szCs w:val="24"/>
              <w:lang w:val="zh-CN"/>
            </w:rPr>
            <w:fldChar w:fldCharType="begin"/>
          </w:r>
          <w:r>
            <w:rPr>
              <w:rFonts w:ascii="仿宋" w:hAnsi="仿宋" w:eastAsia="仿宋" w:cs="仿宋"/>
              <w:smallCaps/>
              <w:sz w:val="24"/>
              <w:szCs w:val="24"/>
              <w:lang w:val="zh-CN"/>
            </w:rPr>
            <w:instrText xml:space="preserve"> HYPERLINK \l _Toc9826 </w:instrText>
          </w:r>
          <w:r>
            <w:rPr>
              <w:rFonts w:hint="eastAsia" w:ascii="仿宋" w:hAnsi="仿宋" w:eastAsia="仿宋" w:cs="仿宋"/>
              <w:smallCaps/>
              <w:sz w:val="24"/>
              <w:szCs w:val="24"/>
              <w:lang w:val="zh-CN"/>
            </w:rPr>
            <w:fldChar w:fldCharType="separate"/>
          </w:r>
          <w:r>
            <w:rPr>
              <w:rFonts w:hint="eastAsia" w:ascii="仿宋" w:hAnsi="仿宋" w:eastAsia="仿宋" w:cs="仿宋"/>
              <w:smallCaps/>
              <w:sz w:val="24"/>
              <w:szCs w:val="24"/>
            </w:rPr>
            <w:t>（一）项目决策情况（权重15，得分</w:t>
          </w:r>
          <w:r>
            <w:rPr>
              <w:rFonts w:ascii="仿宋" w:hAnsi="仿宋" w:eastAsia="仿宋" w:cs="仿宋"/>
              <w:smallCaps/>
              <w:sz w:val="24"/>
              <w:szCs w:val="24"/>
            </w:rPr>
            <w:t>12.25</w:t>
          </w:r>
          <w:r>
            <w:rPr>
              <w:rFonts w:hint="eastAsia" w:ascii="仿宋" w:hAnsi="仿宋" w:eastAsia="仿宋" w:cs="仿宋"/>
              <w:smallCaps/>
              <w:sz w:val="24"/>
              <w:szCs w:val="24"/>
            </w:rPr>
            <w:t>）</w:t>
          </w:r>
          <w:r>
            <w:rPr>
              <w:rFonts w:ascii="仿宋" w:hAnsi="仿宋" w:eastAsia="仿宋" w:cs="仿宋"/>
              <w:smallCaps/>
              <w:sz w:val="24"/>
              <w:szCs w:val="24"/>
            </w:rPr>
            <w:tab/>
          </w:r>
          <w:r>
            <w:rPr>
              <w:rFonts w:ascii="仿宋" w:hAnsi="仿宋" w:eastAsia="仿宋" w:cs="仿宋"/>
              <w:smallCaps/>
              <w:sz w:val="24"/>
              <w:szCs w:val="24"/>
            </w:rPr>
            <w:fldChar w:fldCharType="begin"/>
          </w:r>
          <w:r>
            <w:rPr>
              <w:rFonts w:ascii="仿宋" w:hAnsi="仿宋" w:eastAsia="仿宋" w:cs="仿宋"/>
              <w:smallCaps/>
              <w:sz w:val="24"/>
              <w:szCs w:val="24"/>
            </w:rPr>
            <w:instrText xml:space="preserve"> PAGEREF _Toc9826 \h </w:instrText>
          </w:r>
          <w:r>
            <w:rPr>
              <w:rFonts w:ascii="仿宋" w:hAnsi="仿宋" w:eastAsia="仿宋" w:cs="仿宋"/>
              <w:smallCaps/>
              <w:sz w:val="24"/>
              <w:szCs w:val="24"/>
            </w:rPr>
            <w:fldChar w:fldCharType="separate"/>
          </w:r>
          <w:r>
            <w:rPr>
              <w:rFonts w:ascii="仿宋" w:hAnsi="仿宋" w:eastAsia="仿宋" w:cs="仿宋"/>
              <w:smallCaps/>
              <w:sz w:val="24"/>
              <w:szCs w:val="24"/>
            </w:rPr>
            <w:t>17</w:t>
          </w:r>
          <w:r>
            <w:rPr>
              <w:rFonts w:ascii="仿宋" w:hAnsi="仿宋" w:eastAsia="仿宋" w:cs="仿宋"/>
              <w:smallCaps/>
              <w:sz w:val="24"/>
              <w:szCs w:val="24"/>
            </w:rPr>
            <w:fldChar w:fldCharType="end"/>
          </w:r>
          <w:r>
            <w:rPr>
              <w:rFonts w:hint="eastAsia" w:ascii="仿宋" w:hAnsi="仿宋" w:eastAsia="仿宋" w:cs="仿宋"/>
              <w:smallCaps/>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_Toc15901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1.项目立项（权重5，得分4</w:t>
          </w:r>
          <w:r>
            <w:rPr>
              <w:rFonts w:ascii="仿宋" w:hAnsi="仿宋" w:eastAsia="仿宋" w:cs="仿宋"/>
              <w:i w:val="0"/>
              <w:iCs w:val="0"/>
              <w:sz w:val="24"/>
              <w:szCs w:val="24"/>
            </w:rPr>
            <w:t>.5</w:t>
          </w:r>
          <w:r>
            <w:rPr>
              <w:rFonts w:hint="eastAsia" w:ascii="仿宋" w:hAnsi="仿宋" w:eastAsia="仿宋" w:cs="仿宋"/>
              <w:i w:val="0"/>
              <w:iCs w:val="0"/>
              <w:sz w:val="24"/>
              <w:szCs w:val="24"/>
            </w:rPr>
            <w:t>）</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_Toc15901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17</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_Toc32712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2.绩效目标（权重5，得分</w:t>
          </w:r>
          <w:r>
            <w:rPr>
              <w:rFonts w:ascii="仿宋" w:hAnsi="仿宋" w:eastAsia="仿宋" w:cs="仿宋"/>
              <w:i w:val="0"/>
              <w:iCs w:val="0"/>
              <w:sz w:val="24"/>
              <w:szCs w:val="24"/>
            </w:rPr>
            <w:t>3.75</w:t>
          </w:r>
          <w:r>
            <w:rPr>
              <w:rFonts w:hint="eastAsia" w:ascii="仿宋" w:hAnsi="仿宋" w:eastAsia="仿宋" w:cs="仿宋"/>
              <w:i w:val="0"/>
              <w:iCs w:val="0"/>
              <w:sz w:val="24"/>
              <w:szCs w:val="24"/>
            </w:rPr>
            <w:t>）</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_Toc32712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19</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_Toc20194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3.资金安排（权重5，得分</w:t>
          </w:r>
          <w:r>
            <w:rPr>
              <w:rFonts w:ascii="仿宋" w:hAnsi="仿宋" w:eastAsia="仿宋" w:cs="仿宋"/>
              <w:i w:val="0"/>
              <w:iCs w:val="0"/>
              <w:sz w:val="24"/>
              <w:szCs w:val="24"/>
            </w:rPr>
            <w:t>4.5</w:t>
          </w:r>
          <w:r>
            <w:rPr>
              <w:rFonts w:hint="eastAsia" w:ascii="仿宋" w:hAnsi="仿宋" w:eastAsia="仿宋" w:cs="仿宋"/>
              <w:i w:val="0"/>
              <w:iCs w:val="0"/>
              <w:sz w:val="24"/>
              <w:szCs w:val="24"/>
            </w:rPr>
            <w:t>）</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_Toc20194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22</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21"/>
            <w:tabs>
              <w:tab w:val="right" w:leader="dot" w:pos="8306"/>
            </w:tabs>
            <w:ind w:right="320"/>
            <w:rPr>
              <w:rFonts w:ascii="仿宋" w:hAnsi="仿宋" w:eastAsia="仿宋" w:cs="仿宋"/>
              <w:sz w:val="24"/>
              <w:szCs w:val="24"/>
            </w:rPr>
          </w:pPr>
          <w:r>
            <w:rPr>
              <w:rFonts w:hint="eastAsia" w:ascii="仿宋" w:hAnsi="仿宋" w:eastAsia="仿宋" w:cs="仿宋"/>
              <w:smallCaps/>
              <w:sz w:val="24"/>
              <w:szCs w:val="24"/>
              <w:lang w:val="zh-CN"/>
            </w:rPr>
            <w:fldChar w:fldCharType="begin"/>
          </w:r>
          <w:r>
            <w:rPr>
              <w:rFonts w:ascii="仿宋" w:hAnsi="仿宋" w:eastAsia="仿宋" w:cs="仿宋"/>
              <w:smallCaps/>
              <w:sz w:val="24"/>
              <w:szCs w:val="24"/>
              <w:lang w:val="zh-CN"/>
            </w:rPr>
            <w:instrText xml:space="preserve"> HYPERLINK \l _Toc22832 </w:instrText>
          </w:r>
          <w:r>
            <w:rPr>
              <w:rFonts w:hint="eastAsia" w:ascii="仿宋" w:hAnsi="仿宋" w:eastAsia="仿宋" w:cs="仿宋"/>
              <w:smallCaps/>
              <w:sz w:val="24"/>
              <w:szCs w:val="24"/>
              <w:lang w:val="zh-CN"/>
            </w:rPr>
            <w:fldChar w:fldCharType="separate"/>
          </w:r>
          <w:r>
            <w:rPr>
              <w:rFonts w:hint="eastAsia" w:ascii="仿宋" w:hAnsi="仿宋" w:eastAsia="仿宋" w:cs="仿宋"/>
              <w:smallCaps/>
              <w:sz w:val="24"/>
              <w:szCs w:val="24"/>
            </w:rPr>
            <w:t>（二）项目过程情况（权重25，得分</w:t>
          </w:r>
          <w:r>
            <w:rPr>
              <w:rFonts w:ascii="仿宋" w:hAnsi="仿宋" w:eastAsia="仿宋" w:cs="仿宋"/>
              <w:smallCaps/>
              <w:sz w:val="24"/>
              <w:szCs w:val="24"/>
            </w:rPr>
            <w:t>15.75</w:t>
          </w:r>
          <w:r>
            <w:rPr>
              <w:rFonts w:hint="eastAsia" w:ascii="仿宋" w:hAnsi="仿宋" w:eastAsia="仿宋" w:cs="仿宋"/>
              <w:smallCaps/>
              <w:sz w:val="24"/>
              <w:szCs w:val="24"/>
            </w:rPr>
            <w:t>）</w:t>
          </w:r>
          <w:r>
            <w:rPr>
              <w:rFonts w:ascii="仿宋" w:hAnsi="仿宋" w:eastAsia="仿宋" w:cs="仿宋"/>
              <w:smallCaps/>
              <w:sz w:val="24"/>
              <w:szCs w:val="24"/>
            </w:rPr>
            <w:tab/>
          </w:r>
          <w:r>
            <w:rPr>
              <w:rFonts w:ascii="仿宋" w:hAnsi="仿宋" w:eastAsia="仿宋" w:cs="仿宋"/>
              <w:smallCaps/>
              <w:sz w:val="24"/>
              <w:szCs w:val="24"/>
            </w:rPr>
            <w:fldChar w:fldCharType="begin"/>
          </w:r>
          <w:r>
            <w:rPr>
              <w:rFonts w:ascii="仿宋" w:hAnsi="仿宋" w:eastAsia="仿宋" w:cs="仿宋"/>
              <w:smallCaps/>
              <w:sz w:val="24"/>
              <w:szCs w:val="24"/>
            </w:rPr>
            <w:instrText xml:space="preserve"> PAGEREF _Toc22832 \h </w:instrText>
          </w:r>
          <w:r>
            <w:rPr>
              <w:rFonts w:ascii="仿宋" w:hAnsi="仿宋" w:eastAsia="仿宋" w:cs="仿宋"/>
              <w:smallCaps/>
              <w:sz w:val="24"/>
              <w:szCs w:val="24"/>
            </w:rPr>
            <w:fldChar w:fldCharType="separate"/>
          </w:r>
          <w:r>
            <w:rPr>
              <w:rFonts w:ascii="仿宋" w:hAnsi="仿宋" w:eastAsia="仿宋" w:cs="仿宋"/>
              <w:smallCaps/>
              <w:sz w:val="24"/>
              <w:szCs w:val="24"/>
            </w:rPr>
            <w:t>23</w:t>
          </w:r>
          <w:r>
            <w:rPr>
              <w:rFonts w:ascii="仿宋" w:hAnsi="仿宋" w:eastAsia="仿宋" w:cs="仿宋"/>
              <w:smallCaps/>
              <w:sz w:val="24"/>
              <w:szCs w:val="24"/>
            </w:rPr>
            <w:fldChar w:fldCharType="end"/>
          </w:r>
          <w:r>
            <w:rPr>
              <w:rFonts w:hint="eastAsia" w:ascii="仿宋" w:hAnsi="仿宋" w:eastAsia="仿宋" w:cs="仿宋"/>
              <w:smallCaps/>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_Toc30628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1.业务管理（权重10，得分</w:t>
          </w:r>
          <w:r>
            <w:rPr>
              <w:rFonts w:ascii="仿宋" w:hAnsi="仿宋" w:eastAsia="仿宋" w:cs="仿宋"/>
              <w:i w:val="0"/>
              <w:iCs w:val="0"/>
              <w:sz w:val="24"/>
              <w:szCs w:val="24"/>
            </w:rPr>
            <w:t>5</w:t>
          </w:r>
          <w:r>
            <w:rPr>
              <w:rFonts w:hint="eastAsia" w:ascii="仿宋" w:hAnsi="仿宋" w:eastAsia="仿宋" w:cs="仿宋"/>
              <w:i w:val="0"/>
              <w:iCs w:val="0"/>
              <w:sz w:val="24"/>
              <w:szCs w:val="24"/>
            </w:rPr>
            <w:t>）</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_Toc30628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23</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_Toc14239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2.预算管理（权重15，得分</w:t>
          </w:r>
          <w:r>
            <w:rPr>
              <w:rFonts w:ascii="仿宋" w:hAnsi="仿宋" w:eastAsia="仿宋" w:cs="仿宋"/>
              <w:i w:val="0"/>
              <w:iCs w:val="0"/>
              <w:sz w:val="24"/>
              <w:szCs w:val="24"/>
            </w:rPr>
            <w:t>10.75</w:t>
          </w:r>
          <w:r>
            <w:rPr>
              <w:rFonts w:hint="eastAsia" w:ascii="仿宋" w:hAnsi="仿宋" w:eastAsia="仿宋" w:cs="仿宋"/>
              <w:i w:val="0"/>
              <w:iCs w:val="0"/>
              <w:sz w:val="24"/>
              <w:szCs w:val="24"/>
            </w:rPr>
            <w:t>）</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_Toc14239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27</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21"/>
            <w:tabs>
              <w:tab w:val="right" w:leader="dot" w:pos="8306"/>
            </w:tabs>
            <w:ind w:right="320"/>
            <w:rPr>
              <w:rFonts w:ascii="仿宋" w:hAnsi="仿宋" w:eastAsia="仿宋" w:cs="仿宋"/>
              <w:sz w:val="24"/>
              <w:szCs w:val="24"/>
            </w:rPr>
          </w:pPr>
          <w:r>
            <w:rPr>
              <w:rFonts w:hint="eastAsia" w:ascii="仿宋" w:hAnsi="仿宋" w:eastAsia="仿宋" w:cs="仿宋"/>
              <w:smallCaps/>
              <w:sz w:val="24"/>
              <w:szCs w:val="24"/>
              <w:lang w:val="zh-CN"/>
            </w:rPr>
            <w:fldChar w:fldCharType="begin"/>
          </w:r>
          <w:r>
            <w:rPr>
              <w:rFonts w:ascii="仿宋" w:hAnsi="仿宋" w:eastAsia="仿宋" w:cs="仿宋"/>
              <w:smallCaps/>
              <w:sz w:val="24"/>
              <w:szCs w:val="24"/>
              <w:lang w:val="zh-CN"/>
            </w:rPr>
            <w:instrText xml:space="preserve"> HYPERLINK \l _Toc27485 </w:instrText>
          </w:r>
          <w:r>
            <w:rPr>
              <w:rFonts w:hint="eastAsia" w:ascii="仿宋" w:hAnsi="仿宋" w:eastAsia="仿宋" w:cs="仿宋"/>
              <w:smallCaps/>
              <w:sz w:val="24"/>
              <w:szCs w:val="24"/>
              <w:lang w:val="zh-CN"/>
            </w:rPr>
            <w:fldChar w:fldCharType="separate"/>
          </w:r>
          <w:r>
            <w:rPr>
              <w:rFonts w:hint="eastAsia" w:ascii="仿宋" w:hAnsi="仿宋" w:eastAsia="仿宋" w:cs="仿宋"/>
              <w:smallCaps/>
              <w:sz w:val="24"/>
              <w:szCs w:val="24"/>
            </w:rPr>
            <w:t>（三）项目产出情况（权重30，得分</w:t>
          </w:r>
          <w:r>
            <w:rPr>
              <w:rFonts w:ascii="仿宋" w:hAnsi="仿宋" w:eastAsia="仿宋" w:cs="仿宋"/>
              <w:smallCaps/>
              <w:sz w:val="24"/>
              <w:szCs w:val="24"/>
            </w:rPr>
            <w:t>30</w:t>
          </w:r>
          <w:r>
            <w:rPr>
              <w:rFonts w:hint="eastAsia" w:ascii="仿宋" w:hAnsi="仿宋" w:eastAsia="仿宋" w:cs="仿宋"/>
              <w:smallCaps/>
              <w:sz w:val="24"/>
              <w:szCs w:val="24"/>
            </w:rPr>
            <w:t>）</w:t>
          </w:r>
          <w:r>
            <w:rPr>
              <w:rFonts w:ascii="仿宋" w:hAnsi="仿宋" w:eastAsia="仿宋" w:cs="仿宋"/>
              <w:smallCaps/>
              <w:sz w:val="24"/>
              <w:szCs w:val="24"/>
            </w:rPr>
            <w:tab/>
          </w:r>
          <w:r>
            <w:rPr>
              <w:rFonts w:ascii="仿宋" w:hAnsi="仿宋" w:eastAsia="仿宋" w:cs="仿宋"/>
              <w:smallCaps/>
              <w:sz w:val="24"/>
              <w:szCs w:val="24"/>
            </w:rPr>
            <w:fldChar w:fldCharType="begin"/>
          </w:r>
          <w:r>
            <w:rPr>
              <w:rFonts w:ascii="仿宋" w:hAnsi="仿宋" w:eastAsia="仿宋" w:cs="仿宋"/>
              <w:smallCaps/>
              <w:sz w:val="24"/>
              <w:szCs w:val="24"/>
            </w:rPr>
            <w:instrText xml:space="preserve"> PAGEREF _Toc27485 \h </w:instrText>
          </w:r>
          <w:r>
            <w:rPr>
              <w:rFonts w:ascii="仿宋" w:hAnsi="仿宋" w:eastAsia="仿宋" w:cs="仿宋"/>
              <w:smallCaps/>
              <w:sz w:val="24"/>
              <w:szCs w:val="24"/>
            </w:rPr>
            <w:fldChar w:fldCharType="separate"/>
          </w:r>
          <w:r>
            <w:rPr>
              <w:rFonts w:ascii="仿宋" w:hAnsi="仿宋" w:eastAsia="仿宋" w:cs="仿宋"/>
              <w:smallCaps/>
              <w:sz w:val="24"/>
              <w:szCs w:val="24"/>
            </w:rPr>
            <w:t>32</w:t>
          </w:r>
          <w:r>
            <w:rPr>
              <w:rFonts w:ascii="仿宋" w:hAnsi="仿宋" w:eastAsia="仿宋" w:cs="仿宋"/>
              <w:smallCaps/>
              <w:sz w:val="24"/>
              <w:szCs w:val="24"/>
            </w:rPr>
            <w:fldChar w:fldCharType="end"/>
          </w:r>
          <w:r>
            <w:rPr>
              <w:rFonts w:hint="eastAsia" w:ascii="仿宋" w:hAnsi="仿宋" w:eastAsia="仿宋" w:cs="仿宋"/>
              <w:smallCaps/>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_Toc25604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1.产出数量（权重7.5，得分</w:t>
          </w:r>
          <w:r>
            <w:rPr>
              <w:rFonts w:ascii="仿宋" w:hAnsi="仿宋" w:eastAsia="仿宋" w:cs="仿宋"/>
              <w:i w:val="0"/>
              <w:iCs w:val="0"/>
              <w:sz w:val="24"/>
              <w:szCs w:val="24"/>
            </w:rPr>
            <w:t>7</w:t>
          </w:r>
          <w:r>
            <w:rPr>
              <w:rFonts w:hint="eastAsia" w:ascii="仿宋" w:hAnsi="仿宋" w:eastAsia="仿宋" w:cs="仿宋"/>
              <w:i w:val="0"/>
              <w:iCs w:val="0"/>
              <w:sz w:val="24"/>
              <w:szCs w:val="24"/>
            </w:rPr>
            <w:t>.5）</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_Toc25604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32</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_Toc12694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2.产出时效（权重7.5，得分7.5）</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_Toc12694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33</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_Toc2237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3.产出质量（权重7.5，得分7.5）</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_Toc2237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33</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_Toc20582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4.产出成本（权重7.5，得分7.5）</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_Toc20582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35</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21"/>
            <w:tabs>
              <w:tab w:val="right" w:leader="dot" w:pos="8306"/>
            </w:tabs>
            <w:ind w:right="320"/>
            <w:rPr>
              <w:rFonts w:ascii="仿宋" w:hAnsi="仿宋" w:eastAsia="仿宋" w:cs="仿宋"/>
              <w:sz w:val="24"/>
              <w:szCs w:val="24"/>
            </w:rPr>
          </w:pPr>
          <w:r>
            <w:rPr>
              <w:rFonts w:hint="eastAsia" w:ascii="仿宋" w:hAnsi="仿宋" w:eastAsia="仿宋" w:cs="仿宋"/>
              <w:smallCaps/>
              <w:sz w:val="24"/>
              <w:szCs w:val="24"/>
              <w:lang w:val="zh-CN"/>
            </w:rPr>
            <w:fldChar w:fldCharType="begin"/>
          </w:r>
          <w:r>
            <w:rPr>
              <w:rFonts w:ascii="仿宋" w:hAnsi="仿宋" w:eastAsia="仿宋" w:cs="仿宋"/>
              <w:smallCaps/>
              <w:sz w:val="24"/>
              <w:szCs w:val="24"/>
              <w:lang w:val="zh-CN"/>
            </w:rPr>
            <w:instrText xml:space="preserve"> HYPERLINK \l _Toc11265 </w:instrText>
          </w:r>
          <w:r>
            <w:rPr>
              <w:rFonts w:hint="eastAsia" w:ascii="仿宋" w:hAnsi="仿宋" w:eastAsia="仿宋" w:cs="仿宋"/>
              <w:smallCaps/>
              <w:sz w:val="24"/>
              <w:szCs w:val="24"/>
              <w:lang w:val="zh-CN"/>
            </w:rPr>
            <w:fldChar w:fldCharType="separate"/>
          </w:r>
          <w:r>
            <w:rPr>
              <w:rFonts w:hint="eastAsia" w:ascii="仿宋" w:hAnsi="仿宋" w:eastAsia="仿宋" w:cs="仿宋"/>
              <w:smallCaps/>
              <w:sz w:val="24"/>
              <w:szCs w:val="24"/>
            </w:rPr>
            <w:t>（四）项目效益情况（权重30，得分</w:t>
          </w:r>
          <w:r>
            <w:rPr>
              <w:rFonts w:ascii="仿宋" w:hAnsi="仿宋" w:eastAsia="仿宋" w:cs="仿宋"/>
              <w:smallCaps/>
              <w:sz w:val="24"/>
              <w:szCs w:val="24"/>
            </w:rPr>
            <w:t>30</w:t>
          </w:r>
          <w:r>
            <w:rPr>
              <w:rFonts w:hint="eastAsia" w:ascii="仿宋" w:hAnsi="仿宋" w:eastAsia="仿宋" w:cs="仿宋"/>
              <w:smallCaps/>
              <w:sz w:val="24"/>
              <w:szCs w:val="24"/>
            </w:rPr>
            <w:t>）</w:t>
          </w:r>
          <w:r>
            <w:rPr>
              <w:rFonts w:ascii="仿宋" w:hAnsi="仿宋" w:eastAsia="仿宋" w:cs="仿宋"/>
              <w:smallCaps/>
              <w:sz w:val="24"/>
              <w:szCs w:val="24"/>
            </w:rPr>
            <w:tab/>
          </w:r>
          <w:r>
            <w:rPr>
              <w:rFonts w:ascii="仿宋" w:hAnsi="仿宋" w:eastAsia="仿宋" w:cs="仿宋"/>
              <w:smallCaps/>
              <w:sz w:val="24"/>
              <w:szCs w:val="24"/>
            </w:rPr>
            <w:fldChar w:fldCharType="begin"/>
          </w:r>
          <w:r>
            <w:rPr>
              <w:rFonts w:ascii="仿宋" w:hAnsi="仿宋" w:eastAsia="仿宋" w:cs="仿宋"/>
              <w:smallCaps/>
              <w:sz w:val="24"/>
              <w:szCs w:val="24"/>
            </w:rPr>
            <w:instrText xml:space="preserve"> PAGEREF _Toc11265 \h </w:instrText>
          </w:r>
          <w:r>
            <w:rPr>
              <w:rFonts w:ascii="仿宋" w:hAnsi="仿宋" w:eastAsia="仿宋" w:cs="仿宋"/>
              <w:smallCaps/>
              <w:sz w:val="24"/>
              <w:szCs w:val="24"/>
            </w:rPr>
            <w:fldChar w:fldCharType="separate"/>
          </w:r>
          <w:r>
            <w:rPr>
              <w:rFonts w:ascii="仿宋" w:hAnsi="仿宋" w:eastAsia="仿宋" w:cs="仿宋"/>
              <w:smallCaps/>
              <w:sz w:val="24"/>
              <w:szCs w:val="24"/>
            </w:rPr>
            <w:t>35</w:t>
          </w:r>
          <w:r>
            <w:rPr>
              <w:rFonts w:ascii="仿宋" w:hAnsi="仿宋" w:eastAsia="仿宋" w:cs="仿宋"/>
              <w:smallCaps/>
              <w:sz w:val="24"/>
              <w:szCs w:val="24"/>
            </w:rPr>
            <w:fldChar w:fldCharType="end"/>
          </w:r>
          <w:r>
            <w:rPr>
              <w:rFonts w:hint="eastAsia" w:ascii="仿宋" w:hAnsi="仿宋" w:eastAsia="仿宋" w:cs="仿宋"/>
              <w:smallCaps/>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_Toc29595 </w:instrText>
          </w:r>
          <w:r>
            <w:rPr>
              <w:rFonts w:hint="eastAsia" w:ascii="仿宋" w:hAnsi="仿宋" w:eastAsia="仿宋" w:cs="仿宋"/>
              <w:i w:val="0"/>
              <w:iCs w:val="0"/>
              <w:sz w:val="24"/>
              <w:szCs w:val="24"/>
              <w:lang w:val="zh-CN"/>
            </w:rPr>
            <w:fldChar w:fldCharType="separate"/>
          </w:r>
          <w:r>
            <w:rPr>
              <w:rFonts w:ascii="仿宋" w:hAnsi="仿宋" w:eastAsia="仿宋" w:cs="仿宋"/>
              <w:i w:val="0"/>
              <w:iCs w:val="0"/>
              <w:sz w:val="24"/>
              <w:szCs w:val="24"/>
            </w:rPr>
            <w:t>1</w:t>
          </w:r>
          <w:r>
            <w:rPr>
              <w:rFonts w:hint="eastAsia" w:ascii="仿宋" w:hAnsi="仿宋" w:eastAsia="仿宋" w:cs="仿宋"/>
              <w:i w:val="0"/>
              <w:iCs w:val="0"/>
              <w:sz w:val="24"/>
              <w:szCs w:val="24"/>
            </w:rPr>
            <w:t>.社会效益（权重</w:t>
          </w:r>
          <w:r>
            <w:rPr>
              <w:rFonts w:ascii="仿宋" w:hAnsi="仿宋" w:eastAsia="仿宋" w:cs="仿宋"/>
              <w:i w:val="0"/>
              <w:iCs w:val="0"/>
              <w:sz w:val="24"/>
              <w:szCs w:val="24"/>
            </w:rPr>
            <w:t>6</w:t>
          </w:r>
          <w:r>
            <w:rPr>
              <w:rFonts w:hint="eastAsia" w:ascii="仿宋" w:hAnsi="仿宋" w:eastAsia="仿宋" w:cs="仿宋"/>
              <w:i w:val="0"/>
              <w:iCs w:val="0"/>
              <w:sz w:val="24"/>
              <w:szCs w:val="24"/>
            </w:rPr>
            <w:t>，得分</w:t>
          </w:r>
          <w:r>
            <w:rPr>
              <w:rFonts w:ascii="仿宋" w:hAnsi="仿宋" w:eastAsia="仿宋" w:cs="仿宋"/>
              <w:i w:val="0"/>
              <w:iCs w:val="0"/>
              <w:sz w:val="24"/>
              <w:szCs w:val="24"/>
            </w:rPr>
            <w:t>6</w:t>
          </w:r>
          <w:r>
            <w:rPr>
              <w:rFonts w:hint="eastAsia" w:ascii="仿宋" w:hAnsi="仿宋" w:eastAsia="仿宋" w:cs="仿宋"/>
              <w:i w:val="0"/>
              <w:iCs w:val="0"/>
              <w:sz w:val="24"/>
              <w:szCs w:val="24"/>
            </w:rPr>
            <w:t>）</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_Toc29595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35</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_Toc30457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2.生态效益（权重6，得分6）</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_Toc30457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36</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_Toc25096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3.可持续影响（权重6，得分6）</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_Toc25096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36</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_Toc30290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4.社会公众满意度（权重12，得分12）</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_Toc30290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37</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8"/>
            <w:tabs>
              <w:tab w:val="right" w:leader="dot" w:pos="8306"/>
            </w:tabs>
            <w:ind w:left="320" w:right="320"/>
            <w:rPr>
              <w:rFonts w:ascii="仿宋" w:hAnsi="仿宋" w:eastAsia="仿宋" w:cs="仿宋"/>
              <w:sz w:val="24"/>
              <w:szCs w:val="24"/>
            </w:rPr>
          </w:pPr>
          <w:r>
            <w:rPr>
              <w:rFonts w:hint="eastAsia" w:ascii="仿宋" w:hAnsi="仿宋" w:eastAsia="仿宋" w:cs="仿宋"/>
              <w:b/>
              <w:bCs/>
              <w:caps/>
              <w:sz w:val="24"/>
              <w:szCs w:val="24"/>
              <w:lang w:val="zh-CN"/>
            </w:rPr>
            <w:fldChar w:fldCharType="begin"/>
          </w:r>
          <w:r>
            <w:rPr>
              <w:rFonts w:ascii="仿宋" w:hAnsi="仿宋" w:eastAsia="仿宋" w:cs="仿宋"/>
              <w:b/>
              <w:bCs/>
              <w:caps/>
              <w:sz w:val="24"/>
              <w:szCs w:val="24"/>
              <w:lang w:val="zh-CN"/>
            </w:rPr>
            <w:instrText xml:space="preserve"> HYPERLINK \l _Toc23105 </w:instrText>
          </w:r>
          <w:r>
            <w:rPr>
              <w:rFonts w:hint="eastAsia" w:ascii="仿宋" w:hAnsi="仿宋" w:eastAsia="仿宋" w:cs="仿宋"/>
              <w:b/>
              <w:bCs/>
              <w:caps/>
              <w:sz w:val="24"/>
              <w:szCs w:val="24"/>
              <w:lang w:val="zh-CN"/>
            </w:rPr>
            <w:fldChar w:fldCharType="separate"/>
          </w:r>
          <w:r>
            <w:rPr>
              <w:rFonts w:hint="eastAsia" w:ascii="仿宋" w:hAnsi="仿宋" w:eastAsia="仿宋" w:cs="仿宋"/>
              <w:b/>
              <w:bCs/>
              <w:caps/>
              <w:sz w:val="24"/>
              <w:szCs w:val="24"/>
            </w:rPr>
            <w:t>五、主要经验及做法、存在的问题及原因分析</w:t>
          </w:r>
          <w:r>
            <w:rPr>
              <w:rFonts w:ascii="仿宋" w:hAnsi="仿宋" w:eastAsia="仿宋" w:cs="仿宋"/>
              <w:b/>
              <w:bCs/>
              <w:caps/>
              <w:sz w:val="24"/>
              <w:szCs w:val="24"/>
            </w:rPr>
            <w:tab/>
          </w:r>
          <w:r>
            <w:rPr>
              <w:rFonts w:ascii="仿宋" w:hAnsi="仿宋" w:eastAsia="仿宋" w:cs="仿宋"/>
              <w:b/>
              <w:bCs/>
              <w:caps/>
              <w:sz w:val="24"/>
              <w:szCs w:val="24"/>
            </w:rPr>
            <w:fldChar w:fldCharType="begin"/>
          </w:r>
          <w:r>
            <w:rPr>
              <w:rFonts w:ascii="仿宋" w:hAnsi="仿宋" w:eastAsia="仿宋" w:cs="仿宋"/>
              <w:b/>
              <w:bCs/>
              <w:caps/>
              <w:sz w:val="24"/>
              <w:szCs w:val="24"/>
            </w:rPr>
            <w:instrText xml:space="preserve"> PAGEREF _Toc23105 \h </w:instrText>
          </w:r>
          <w:r>
            <w:rPr>
              <w:rFonts w:ascii="仿宋" w:hAnsi="仿宋" w:eastAsia="仿宋" w:cs="仿宋"/>
              <w:b/>
              <w:bCs/>
              <w:caps/>
              <w:sz w:val="24"/>
              <w:szCs w:val="24"/>
            </w:rPr>
            <w:fldChar w:fldCharType="separate"/>
          </w:r>
          <w:r>
            <w:rPr>
              <w:rFonts w:ascii="仿宋" w:hAnsi="仿宋" w:eastAsia="仿宋" w:cs="仿宋"/>
              <w:b/>
              <w:bCs/>
              <w:caps/>
              <w:sz w:val="24"/>
              <w:szCs w:val="24"/>
            </w:rPr>
            <w:t>38</w:t>
          </w:r>
          <w:r>
            <w:rPr>
              <w:rFonts w:ascii="仿宋" w:hAnsi="仿宋" w:eastAsia="仿宋" w:cs="仿宋"/>
              <w:b/>
              <w:bCs/>
              <w:caps/>
              <w:sz w:val="24"/>
              <w:szCs w:val="24"/>
            </w:rPr>
            <w:fldChar w:fldCharType="end"/>
          </w:r>
          <w:r>
            <w:rPr>
              <w:rFonts w:hint="eastAsia" w:ascii="仿宋" w:hAnsi="仿宋" w:eastAsia="仿宋" w:cs="仿宋"/>
              <w:b/>
              <w:bCs/>
              <w:caps/>
              <w:sz w:val="24"/>
              <w:szCs w:val="24"/>
              <w:lang w:val="zh-CN"/>
            </w:rPr>
            <w:fldChar w:fldCharType="end"/>
          </w:r>
        </w:p>
        <w:p>
          <w:pPr>
            <w:pStyle w:val="21"/>
            <w:tabs>
              <w:tab w:val="right" w:leader="dot" w:pos="8306"/>
            </w:tabs>
            <w:ind w:right="320"/>
            <w:rPr>
              <w:rFonts w:ascii="仿宋" w:hAnsi="仿宋" w:eastAsia="仿宋" w:cs="仿宋"/>
              <w:sz w:val="24"/>
              <w:szCs w:val="24"/>
            </w:rPr>
          </w:pPr>
          <w:r>
            <w:rPr>
              <w:rFonts w:hint="eastAsia" w:ascii="仿宋" w:hAnsi="仿宋" w:eastAsia="仿宋" w:cs="仿宋"/>
              <w:smallCaps/>
              <w:sz w:val="24"/>
              <w:szCs w:val="24"/>
              <w:lang w:val="zh-CN"/>
            </w:rPr>
            <w:fldChar w:fldCharType="begin"/>
          </w:r>
          <w:r>
            <w:rPr>
              <w:rFonts w:ascii="仿宋" w:hAnsi="仿宋" w:eastAsia="仿宋" w:cs="仿宋"/>
              <w:smallCaps/>
              <w:sz w:val="24"/>
              <w:szCs w:val="24"/>
              <w:lang w:val="zh-CN"/>
            </w:rPr>
            <w:instrText xml:space="preserve"> HYPERLINK \l _Toc10366 </w:instrText>
          </w:r>
          <w:r>
            <w:rPr>
              <w:rFonts w:hint="eastAsia" w:ascii="仿宋" w:hAnsi="仿宋" w:eastAsia="仿宋" w:cs="仿宋"/>
              <w:smallCaps/>
              <w:sz w:val="24"/>
              <w:szCs w:val="24"/>
              <w:lang w:val="zh-CN"/>
            </w:rPr>
            <w:fldChar w:fldCharType="separate"/>
          </w:r>
          <w:r>
            <w:rPr>
              <w:rFonts w:hint="eastAsia" w:ascii="仿宋" w:hAnsi="仿宋" w:eastAsia="仿宋" w:cs="仿宋"/>
              <w:smallCaps/>
              <w:sz w:val="24"/>
              <w:szCs w:val="24"/>
            </w:rPr>
            <w:t>（一）主要经验及做法</w:t>
          </w:r>
          <w:r>
            <w:rPr>
              <w:rFonts w:ascii="仿宋" w:hAnsi="仿宋" w:eastAsia="仿宋" w:cs="仿宋"/>
              <w:smallCaps/>
              <w:sz w:val="24"/>
              <w:szCs w:val="24"/>
            </w:rPr>
            <w:tab/>
          </w:r>
          <w:r>
            <w:rPr>
              <w:rFonts w:ascii="仿宋" w:hAnsi="仿宋" w:eastAsia="仿宋" w:cs="仿宋"/>
              <w:smallCaps/>
              <w:sz w:val="24"/>
              <w:szCs w:val="24"/>
            </w:rPr>
            <w:fldChar w:fldCharType="begin"/>
          </w:r>
          <w:r>
            <w:rPr>
              <w:rFonts w:ascii="仿宋" w:hAnsi="仿宋" w:eastAsia="仿宋" w:cs="仿宋"/>
              <w:smallCaps/>
              <w:sz w:val="24"/>
              <w:szCs w:val="24"/>
            </w:rPr>
            <w:instrText xml:space="preserve"> PAGEREF _Toc10366 \h </w:instrText>
          </w:r>
          <w:r>
            <w:rPr>
              <w:rFonts w:ascii="仿宋" w:hAnsi="仿宋" w:eastAsia="仿宋" w:cs="仿宋"/>
              <w:smallCaps/>
              <w:sz w:val="24"/>
              <w:szCs w:val="24"/>
            </w:rPr>
            <w:fldChar w:fldCharType="separate"/>
          </w:r>
          <w:r>
            <w:rPr>
              <w:rFonts w:ascii="仿宋" w:hAnsi="仿宋" w:eastAsia="仿宋" w:cs="仿宋"/>
              <w:smallCaps/>
              <w:sz w:val="24"/>
              <w:szCs w:val="24"/>
            </w:rPr>
            <w:t>38</w:t>
          </w:r>
          <w:r>
            <w:rPr>
              <w:rFonts w:ascii="仿宋" w:hAnsi="仿宋" w:eastAsia="仿宋" w:cs="仿宋"/>
              <w:smallCaps/>
              <w:sz w:val="24"/>
              <w:szCs w:val="24"/>
            </w:rPr>
            <w:fldChar w:fldCharType="end"/>
          </w:r>
          <w:r>
            <w:rPr>
              <w:rFonts w:hint="eastAsia" w:ascii="仿宋" w:hAnsi="仿宋" w:eastAsia="仿宋" w:cs="仿宋"/>
              <w:smallCaps/>
              <w:sz w:val="24"/>
              <w:szCs w:val="24"/>
              <w:lang w:val="zh-CN"/>
            </w:rPr>
            <w:fldChar w:fldCharType="end"/>
          </w:r>
        </w:p>
        <w:p>
          <w:pPr>
            <w:pStyle w:val="21"/>
            <w:tabs>
              <w:tab w:val="right" w:leader="dot" w:pos="8306"/>
            </w:tabs>
            <w:ind w:right="320"/>
            <w:rPr>
              <w:rFonts w:ascii="仿宋" w:hAnsi="仿宋" w:eastAsia="仿宋" w:cs="仿宋"/>
              <w:sz w:val="24"/>
              <w:szCs w:val="24"/>
            </w:rPr>
          </w:pPr>
          <w:r>
            <w:rPr>
              <w:rFonts w:hint="eastAsia" w:ascii="仿宋" w:hAnsi="仿宋" w:eastAsia="仿宋" w:cs="仿宋"/>
              <w:smallCaps/>
              <w:sz w:val="24"/>
              <w:szCs w:val="24"/>
              <w:lang w:val="zh-CN"/>
            </w:rPr>
            <w:fldChar w:fldCharType="begin"/>
          </w:r>
          <w:r>
            <w:rPr>
              <w:rFonts w:ascii="仿宋" w:hAnsi="仿宋" w:eastAsia="仿宋" w:cs="仿宋"/>
              <w:smallCaps/>
              <w:sz w:val="24"/>
              <w:szCs w:val="24"/>
              <w:lang w:val="zh-CN"/>
            </w:rPr>
            <w:instrText xml:space="preserve"> HYPERLINK \l _Toc3856 </w:instrText>
          </w:r>
          <w:r>
            <w:rPr>
              <w:rFonts w:hint="eastAsia" w:ascii="仿宋" w:hAnsi="仿宋" w:eastAsia="仿宋" w:cs="仿宋"/>
              <w:smallCaps/>
              <w:sz w:val="24"/>
              <w:szCs w:val="24"/>
              <w:lang w:val="zh-CN"/>
            </w:rPr>
            <w:fldChar w:fldCharType="separate"/>
          </w:r>
          <w:r>
            <w:rPr>
              <w:rFonts w:hint="eastAsia" w:ascii="仿宋" w:hAnsi="仿宋" w:eastAsia="仿宋" w:cs="仿宋"/>
              <w:smallCaps/>
              <w:sz w:val="24"/>
              <w:szCs w:val="24"/>
            </w:rPr>
            <w:t>（二）存在的问题及原因分析</w:t>
          </w:r>
          <w:r>
            <w:rPr>
              <w:rFonts w:ascii="仿宋" w:hAnsi="仿宋" w:eastAsia="仿宋" w:cs="仿宋"/>
              <w:smallCaps/>
              <w:sz w:val="24"/>
              <w:szCs w:val="24"/>
            </w:rPr>
            <w:tab/>
          </w:r>
          <w:r>
            <w:rPr>
              <w:rFonts w:ascii="仿宋" w:hAnsi="仿宋" w:eastAsia="仿宋" w:cs="仿宋"/>
              <w:smallCaps/>
              <w:sz w:val="24"/>
              <w:szCs w:val="24"/>
            </w:rPr>
            <w:fldChar w:fldCharType="begin"/>
          </w:r>
          <w:r>
            <w:rPr>
              <w:rFonts w:ascii="仿宋" w:hAnsi="仿宋" w:eastAsia="仿宋" w:cs="仿宋"/>
              <w:smallCaps/>
              <w:sz w:val="24"/>
              <w:szCs w:val="24"/>
            </w:rPr>
            <w:instrText xml:space="preserve"> PAGEREF _Toc3856 \h </w:instrText>
          </w:r>
          <w:r>
            <w:rPr>
              <w:rFonts w:ascii="仿宋" w:hAnsi="仿宋" w:eastAsia="仿宋" w:cs="仿宋"/>
              <w:smallCaps/>
              <w:sz w:val="24"/>
              <w:szCs w:val="24"/>
            </w:rPr>
            <w:fldChar w:fldCharType="separate"/>
          </w:r>
          <w:r>
            <w:rPr>
              <w:rFonts w:ascii="仿宋" w:hAnsi="仿宋" w:eastAsia="仿宋" w:cs="仿宋"/>
              <w:smallCaps/>
              <w:sz w:val="24"/>
              <w:szCs w:val="24"/>
            </w:rPr>
            <w:t>38</w:t>
          </w:r>
          <w:r>
            <w:rPr>
              <w:rFonts w:ascii="仿宋" w:hAnsi="仿宋" w:eastAsia="仿宋" w:cs="仿宋"/>
              <w:smallCaps/>
              <w:sz w:val="24"/>
              <w:szCs w:val="24"/>
            </w:rPr>
            <w:fldChar w:fldCharType="end"/>
          </w:r>
          <w:r>
            <w:rPr>
              <w:rFonts w:hint="eastAsia" w:ascii="仿宋" w:hAnsi="仿宋" w:eastAsia="仿宋" w:cs="仿宋"/>
              <w:smallCaps/>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_Toc12876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1.项目立项管理有待加强</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_Toc12876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38</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_Toc32605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lang w:val="en-US" w:eastAsia="zh-CN"/>
            </w:rPr>
            <w:t>2</w:t>
          </w:r>
          <w:r>
            <w:rPr>
              <w:rFonts w:hint="eastAsia" w:ascii="仿宋" w:hAnsi="仿宋" w:eastAsia="仿宋" w:cs="仿宋"/>
              <w:i w:val="0"/>
              <w:iCs w:val="0"/>
              <w:sz w:val="24"/>
              <w:szCs w:val="24"/>
            </w:rPr>
            <w:t>.业务管理不到位</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_Toc32605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39</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_Toc22374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lang w:val="en-US" w:eastAsia="zh-CN"/>
            </w:rPr>
            <w:t>3</w:t>
          </w:r>
          <w:r>
            <w:rPr>
              <w:rFonts w:hint="eastAsia" w:ascii="仿宋" w:hAnsi="仿宋" w:eastAsia="仿宋" w:cs="仿宋"/>
              <w:i w:val="0"/>
              <w:iCs w:val="0"/>
              <w:sz w:val="24"/>
              <w:szCs w:val="24"/>
            </w:rPr>
            <w:t>.合同管理规范性有待加强</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_Toc22374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39</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8"/>
            <w:tabs>
              <w:tab w:val="right" w:leader="dot" w:pos="8306"/>
            </w:tabs>
            <w:ind w:left="320" w:right="320"/>
            <w:rPr>
              <w:rFonts w:ascii="仿宋" w:hAnsi="仿宋" w:eastAsia="仿宋" w:cs="仿宋"/>
              <w:sz w:val="24"/>
              <w:szCs w:val="24"/>
            </w:rPr>
          </w:pPr>
          <w:r>
            <w:rPr>
              <w:rFonts w:hint="eastAsia" w:ascii="仿宋" w:hAnsi="仿宋" w:eastAsia="仿宋" w:cs="仿宋"/>
              <w:b/>
              <w:bCs/>
              <w:caps/>
              <w:sz w:val="24"/>
              <w:szCs w:val="24"/>
              <w:lang w:val="zh-CN"/>
            </w:rPr>
            <w:fldChar w:fldCharType="begin"/>
          </w:r>
          <w:r>
            <w:rPr>
              <w:rFonts w:ascii="仿宋" w:hAnsi="仿宋" w:eastAsia="仿宋" w:cs="仿宋"/>
              <w:b/>
              <w:bCs/>
              <w:caps/>
              <w:sz w:val="24"/>
              <w:szCs w:val="24"/>
              <w:lang w:val="zh-CN"/>
            </w:rPr>
            <w:instrText xml:space="preserve"> HYPERLINK \l _Toc24142 </w:instrText>
          </w:r>
          <w:r>
            <w:rPr>
              <w:rFonts w:hint="eastAsia" w:ascii="仿宋" w:hAnsi="仿宋" w:eastAsia="仿宋" w:cs="仿宋"/>
              <w:b/>
              <w:bCs/>
              <w:caps/>
              <w:sz w:val="24"/>
              <w:szCs w:val="24"/>
              <w:lang w:val="zh-CN"/>
            </w:rPr>
            <w:fldChar w:fldCharType="separate"/>
          </w:r>
          <w:r>
            <w:rPr>
              <w:rFonts w:hint="eastAsia" w:ascii="仿宋" w:hAnsi="仿宋" w:eastAsia="仿宋" w:cs="仿宋"/>
              <w:b/>
              <w:bCs/>
              <w:caps/>
              <w:sz w:val="24"/>
              <w:szCs w:val="24"/>
            </w:rPr>
            <w:t>六、有关建议</w:t>
          </w:r>
          <w:r>
            <w:rPr>
              <w:rFonts w:ascii="仿宋" w:hAnsi="仿宋" w:eastAsia="仿宋" w:cs="仿宋"/>
              <w:b/>
              <w:bCs/>
              <w:caps/>
              <w:sz w:val="24"/>
              <w:szCs w:val="24"/>
            </w:rPr>
            <w:tab/>
          </w:r>
          <w:r>
            <w:rPr>
              <w:rFonts w:ascii="仿宋" w:hAnsi="仿宋" w:eastAsia="仿宋" w:cs="仿宋"/>
              <w:b/>
              <w:bCs/>
              <w:caps/>
              <w:sz w:val="24"/>
              <w:szCs w:val="24"/>
            </w:rPr>
            <w:fldChar w:fldCharType="begin"/>
          </w:r>
          <w:r>
            <w:rPr>
              <w:rFonts w:ascii="仿宋" w:hAnsi="仿宋" w:eastAsia="仿宋" w:cs="仿宋"/>
              <w:b/>
              <w:bCs/>
              <w:caps/>
              <w:sz w:val="24"/>
              <w:szCs w:val="24"/>
            </w:rPr>
            <w:instrText xml:space="preserve"> PAGEREF _Toc24142 \h </w:instrText>
          </w:r>
          <w:r>
            <w:rPr>
              <w:rFonts w:ascii="仿宋" w:hAnsi="仿宋" w:eastAsia="仿宋" w:cs="仿宋"/>
              <w:b/>
              <w:bCs/>
              <w:caps/>
              <w:sz w:val="24"/>
              <w:szCs w:val="24"/>
            </w:rPr>
            <w:fldChar w:fldCharType="separate"/>
          </w:r>
          <w:r>
            <w:rPr>
              <w:rFonts w:ascii="仿宋" w:hAnsi="仿宋" w:eastAsia="仿宋" w:cs="仿宋"/>
              <w:b/>
              <w:bCs/>
              <w:caps/>
              <w:sz w:val="24"/>
              <w:szCs w:val="24"/>
            </w:rPr>
            <w:t>39</w:t>
          </w:r>
          <w:r>
            <w:rPr>
              <w:rFonts w:ascii="仿宋" w:hAnsi="仿宋" w:eastAsia="仿宋" w:cs="仿宋"/>
              <w:b/>
              <w:bCs/>
              <w:caps/>
              <w:sz w:val="24"/>
              <w:szCs w:val="24"/>
            </w:rPr>
            <w:fldChar w:fldCharType="end"/>
          </w:r>
          <w:r>
            <w:rPr>
              <w:rFonts w:hint="eastAsia" w:ascii="仿宋" w:hAnsi="仿宋" w:eastAsia="仿宋" w:cs="仿宋"/>
              <w:b/>
              <w:bCs/>
              <w:caps/>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_Toc12033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rPr>
            <w:t>1.加强项目立项管理</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_Toc12033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40</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_Toc32499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lang w:val="en-US" w:eastAsia="zh-CN"/>
            </w:rPr>
            <w:t>2</w:t>
          </w:r>
          <w:r>
            <w:rPr>
              <w:rFonts w:hint="eastAsia" w:ascii="仿宋" w:hAnsi="仿宋" w:eastAsia="仿宋" w:cs="仿宋"/>
              <w:i w:val="0"/>
              <w:iCs w:val="0"/>
              <w:sz w:val="24"/>
              <w:szCs w:val="24"/>
            </w:rPr>
            <w:t>.完善项目过程管理</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_Toc32499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40</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2"/>
            <w:tabs>
              <w:tab w:val="right" w:leader="dot" w:pos="8306"/>
            </w:tabs>
            <w:ind w:left="320" w:right="320"/>
            <w:rPr>
              <w:rFonts w:ascii="仿宋" w:hAnsi="仿宋" w:eastAsia="仿宋" w:cs="仿宋"/>
              <w:i w:val="0"/>
              <w:iCs w:val="0"/>
              <w:sz w:val="24"/>
              <w:szCs w:val="24"/>
            </w:rPr>
          </w:pPr>
          <w:r>
            <w:rPr>
              <w:rFonts w:hint="eastAsia" w:ascii="仿宋" w:hAnsi="仿宋" w:eastAsia="仿宋" w:cs="仿宋"/>
              <w:i w:val="0"/>
              <w:iCs w:val="0"/>
              <w:sz w:val="24"/>
              <w:szCs w:val="24"/>
              <w:lang w:val="zh-CN"/>
            </w:rPr>
            <w:fldChar w:fldCharType="begin"/>
          </w:r>
          <w:r>
            <w:rPr>
              <w:rFonts w:ascii="仿宋" w:hAnsi="仿宋" w:eastAsia="仿宋" w:cs="仿宋"/>
              <w:i w:val="0"/>
              <w:iCs w:val="0"/>
              <w:sz w:val="24"/>
              <w:szCs w:val="24"/>
              <w:lang w:val="zh-CN"/>
            </w:rPr>
            <w:instrText xml:space="preserve"> HYPERLINK \l _Toc14967 </w:instrText>
          </w:r>
          <w:r>
            <w:rPr>
              <w:rFonts w:hint="eastAsia" w:ascii="仿宋" w:hAnsi="仿宋" w:eastAsia="仿宋" w:cs="仿宋"/>
              <w:i w:val="0"/>
              <w:iCs w:val="0"/>
              <w:sz w:val="24"/>
              <w:szCs w:val="24"/>
              <w:lang w:val="zh-CN"/>
            </w:rPr>
            <w:fldChar w:fldCharType="separate"/>
          </w:r>
          <w:r>
            <w:rPr>
              <w:rFonts w:hint="eastAsia" w:ascii="仿宋" w:hAnsi="仿宋" w:eastAsia="仿宋" w:cs="仿宋"/>
              <w:i w:val="0"/>
              <w:iCs w:val="0"/>
              <w:sz w:val="24"/>
              <w:szCs w:val="24"/>
              <w:lang w:val="en-US" w:eastAsia="zh-CN"/>
            </w:rPr>
            <w:t>3</w:t>
          </w:r>
          <w:r>
            <w:rPr>
              <w:rFonts w:hint="eastAsia" w:ascii="仿宋" w:hAnsi="仿宋" w:eastAsia="仿宋" w:cs="仿宋"/>
              <w:i w:val="0"/>
              <w:iCs w:val="0"/>
              <w:sz w:val="24"/>
              <w:szCs w:val="24"/>
            </w:rPr>
            <w:t>.加强合同管理</w:t>
          </w:r>
          <w:r>
            <w:rPr>
              <w:rFonts w:ascii="仿宋" w:hAnsi="仿宋" w:eastAsia="仿宋" w:cs="仿宋"/>
              <w:i w:val="0"/>
              <w:iCs w:val="0"/>
              <w:sz w:val="24"/>
              <w:szCs w:val="24"/>
            </w:rPr>
            <w:tab/>
          </w:r>
          <w:r>
            <w:rPr>
              <w:rFonts w:ascii="仿宋" w:hAnsi="仿宋" w:eastAsia="仿宋" w:cs="仿宋"/>
              <w:i w:val="0"/>
              <w:iCs w:val="0"/>
              <w:sz w:val="24"/>
              <w:szCs w:val="24"/>
            </w:rPr>
            <w:fldChar w:fldCharType="begin"/>
          </w:r>
          <w:r>
            <w:rPr>
              <w:rFonts w:ascii="仿宋" w:hAnsi="仿宋" w:eastAsia="仿宋" w:cs="仿宋"/>
              <w:i w:val="0"/>
              <w:iCs w:val="0"/>
              <w:sz w:val="24"/>
              <w:szCs w:val="24"/>
            </w:rPr>
            <w:instrText xml:space="preserve"> PAGEREF _Toc14967 \h </w:instrText>
          </w:r>
          <w:r>
            <w:rPr>
              <w:rFonts w:ascii="仿宋" w:hAnsi="仿宋" w:eastAsia="仿宋" w:cs="仿宋"/>
              <w:i w:val="0"/>
              <w:iCs w:val="0"/>
              <w:sz w:val="24"/>
              <w:szCs w:val="24"/>
            </w:rPr>
            <w:fldChar w:fldCharType="separate"/>
          </w:r>
          <w:r>
            <w:rPr>
              <w:rFonts w:ascii="仿宋" w:hAnsi="仿宋" w:eastAsia="仿宋" w:cs="仿宋"/>
              <w:i w:val="0"/>
              <w:iCs w:val="0"/>
              <w:sz w:val="24"/>
              <w:szCs w:val="24"/>
            </w:rPr>
            <w:t>40</w:t>
          </w:r>
          <w:r>
            <w:rPr>
              <w:rFonts w:ascii="仿宋" w:hAnsi="仿宋" w:eastAsia="仿宋" w:cs="仿宋"/>
              <w:i w:val="0"/>
              <w:iCs w:val="0"/>
              <w:sz w:val="24"/>
              <w:szCs w:val="24"/>
            </w:rPr>
            <w:fldChar w:fldCharType="end"/>
          </w:r>
          <w:r>
            <w:rPr>
              <w:rFonts w:hint="eastAsia" w:ascii="仿宋" w:hAnsi="仿宋" w:eastAsia="仿宋" w:cs="仿宋"/>
              <w:i w:val="0"/>
              <w:iCs w:val="0"/>
              <w:sz w:val="24"/>
              <w:szCs w:val="24"/>
              <w:lang w:val="zh-CN"/>
            </w:rPr>
            <w:fldChar w:fldCharType="end"/>
          </w:r>
        </w:p>
        <w:p>
          <w:pPr>
            <w:pStyle w:val="18"/>
            <w:tabs>
              <w:tab w:val="right" w:leader="dot" w:pos="8306"/>
            </w:tabs>
            <w:ind w:left="320" w:right="320"/>
            <w:rPr>
              <w:rFonts w:ascii="仿宋" w:hAnsi="仿宋" w:eastAsia="仿宋" w:cs="仿宋"/>
              <w:sz w:val="24"/>
              <w:szCs w:val="24"/>
            </w:rPr>
          </w:pPr>
          <w:r>
            <w:rPr>
              <w:rFonts w:hint="eastAsia" w:ascii="仿宋" w:hAnsi="仿宋" w:eastAsia="仿宋" w:cs="仿宋"/>
              <w:b/>
              <w:bCs/>
              <w:caps/>
              <w:sz w:val="24"/>
              <w:szCs w:val="24"/>
              <w:lang w:val="zh-CN"/>
            </w:rPr>
            <w:fldChar w:fldCharType="begin"/>
          </w:r>
          <w:r>
            <w:rPr>
              <w:rFonts w:ascii="仿宋" w:hAnsi="仿宋" w:eastAsia="仿宋" w:cs="仿宋"/>
              <w:b/>
              <w:bCs/>
              <w:caps/>
              <w:sz w:val="24"/>
              <w:szCs w:val="24"/>
              <w:lang w:val="zh-CN"/>
            </w:rPr>
            <w:instrText xml:space="preserve"> HYPERLINK \l _Toc29783 </w:instrText>
          </w:r>
          <w:r>
            <w:rPr>
              <w:rFonts w:hint="eastAsia" w:ascii="仿宋" w:hAnsi="仿宋" w:eastAsia="仿宋" w:cs="仿宋"/>
              <w:b/>
              <w:bCs/>
              <w:caps/>
              <w:sz w:val="24"/>
              <w:szCs w:val="24"/>
              <w:lang w:val="zh-CN"/>
            </w:rPr>
            <w:fldChar w:fldCharType="separate"/>
          </w:r>
          <w:r>
            <w:rPr>
              <w:rFonts w:hint="eastAsia" w:ascii="仿宋" w:hAnsi="仿宋" w:eastAsia="仿宋" w:cs="仿宋"/>
              <w:b/>
              <w:bCs/>
              <w:caps/>
              <w:sz w:val="24"/>
              <w:szCs w:val="24"/>
            </w:rPr>
            <w:t>七、其他需要说明的问题</w:t>
          </w:r>
          <w:r>
            <w:rPr>
              <w:rFonts w:ascii="仿宋" w:hAnsi="仿宋" w:eastAsia="仿宋" w:cs="仿宋"/>
              <w:b/>
              <w:bCs/>
              <w:caps/>
              <w:sz w:val="24"/>
              <w:szCs w:val="24"/>
            </w:rPr>
            <w:tab/>
          </w:r>
          <w:r>
            <w:rPr>
              <w:rFonts w:ascii="仿宋" w:hAnsi="仿宋" w:eastAsia="仿宋" w:cs="仿宋"/>
              <w:b/>
              <w:bCs/>
              <w:caps/>
              <w:sz w:val="24"/>
              <w:szCs w:val="24"/>
            </w:rPr>
            <w:fldChar w:fldCharType="begin"/>
          </w:r>
          <w:r>
            <w:rPr>
              <w:rFonts w:ascii="仿宋" w:hAnsi="仿宋" w:eastAsia="仿宋" w:cs="仿宋"/>
              <w:b/>
              <w:bCs/>
              <w:caps/>
              <w:sz w:val="24"/>
              <w:szCs w:val="24"/>
            </w:rPr>
            <w:instrText xml:space="preserve"> PAGEREF _Toc29783 \h </w:instrText>
          </w:r>
          <w:r>
            <w:rPr>
              <w:rFonts w:ascii="仿宋" w:hAnsi="仿宋" w:eastAsia="仿宋" w:cs="仿宋"/>
              <w:b/>
              <w:bCs/>
              <w:caps/>
              <w:sz w:val="24"/>
              <w:szCs w:val="24"/>
            </w:rPr>
            <w:fldChar w:fldCharType="separate"/>
          </w:r>
          <w:r>
            <w:rPr>
              <w:rFonts w:ascii="仿宋" w:hAnsi="仿宋" w:eastAsia="仿宋" w:cs="仿宋"/>
              <w:b/>
              <w:bCs/>
              <w:caps/>
              <w:sz w:val="24"/>
              <w:szCs w:val="24"/>
            </w:rPr>
            <w:t>40</w:t>
          </w:r>
          <w:r>
            <w:rPr>
              <w:rFonts w:ascii="仿宋" w:hAnsi="仿宋" w:eastAsia="仿宋" w:cs="仿宋"/>
              <w:b/>
              <w:bCs/>
              <w:caps/>
              <w:sz w:val="24"/>
              <w:szCs w:val="24"/>
            </w:rPr>
            <w:fldChar w:fldCharType="end"/>
          </w:r>
          <w:r>
            <w:rPr>
              <w:rFonts w:hint="eastAsia" w:ascii="仿宋" w:hAnsi="仿宋" w:eastAsia="仿宋" w:cs="仿宋"/>
              <w:b/>
              <w:bCs/>
              <w:caps/>
              <w:sz w:val="24"/>
              <w:szCs w:val="24"/>
              <w:lang w:val="zh-CN"/>
            </w:rPr>
            <w:fldChar w:fldCharType="end"/>
          </w:r>
        </w:p>
        <w:p>
          <w:pPr>
            <w:pStyle w:val="18"/>
            <w:tabs>
              <w:tab w:val="right" w:leader="dot" w:pos="8306"/>
            </w:tabs>
            <w:ind w:left="320" w:right="320"/>
            <w:rPr>
              <w:rFonts w:ascii="仿宋" w:hAnsi="仿宋" w:eastAsia="仿宋" w:cs="仿宋"/>
              <w:sz w:val="24"/>
              <w:szCs w:val="24"/>
            </w:rPr>
          </w:pPr>
          <w:r>
            <w:rPr>
              <w:rFonts w:hint="eastAsia" w:ascii="仿宋" w:hAnsi="仿宋" w:eastAsia="仿宋" w:cs="仿宋"/>
              <w:b/>
              <w:bCs/>
              <w:caps/>
              <w:sz w:val="24"/>
              <w:szCs w:val="24"/>
              <w:lang w:val="zh-CN"/>
            </w:rPr>
            <w:fldChar w:fldCharType="begin"/>
          </w:r>
          <w:r>
            <w:rPr>
              <w:rFonts w:ascii="仿宋" w:hAnsi="仿宋" w:eastAsia="仿宋" w:cs="仿宋"/>
              <w:b/>
              <w:bCs/>
              <w:caps/>
              <w:sz w:val="24"/>
              <w:szCs w:val="24"/>
              <w:lang w:val="zh-CN"/>
            </w:rPr>
            <w:instrText xml:space="preserve"> HYPERLINK \l _Toc16674 </w:instrText>
          </w:r>
          <w:r>
            <w:rPr>
              <w:rFonts w:hint="eastAsia" w:ascii="仿宋" w:hAnsi="仿宋" w:eastAsia="仿宋" w:cs="仿宋"/>
              <w:b/>
              <w:bCs/>
              <w:caps/>
              <w:sz w:val="24"/>
              <w:szCs w:val="24"/>
              <w:lang w:val="zh-CN"/>
            </w:rPr>
            <w:fldChar w:fldCharType="separate"/>
          </w:r>
          <w:r>
            <w:rPr>
              <w:rFonts w:hint="eastAsia" w:ascii="仿宋" w:hAnsi="仿宋" w:eastAsia="仿宋" w:cs="仿宋"/>
              <w:b/>
              <w:bCs/>
              <w:caps/>
              <w:sz w:val="24"/>
              <w:szCs w:val="24"/>
            </w:rPr>
            <w:t>八、附件</w:t>
          </w:r>
          <w:r>
            <w:rPr>
              <w:rFonts w:ascii="仿宋" w:hAnsi="仿宋" w:eastAsia="仿宋" w:cs="仿宋"/>
              <w:b/>
              <w:bCs/>
              <w:caps/>
              <w:sz w:val="24"/>
              <w:szCs w:val="24"/>
            </w:rPr>
            <w:tab/>
          </w:r>
          <w:r>
            <w:rPr>
              <w:rFonts w:ascii="仿宋" w:hAnsi="仿宋" w:eastAsia="仿宋" w:cs="仿宋"/>
              <w:b/>
              <w:bCs/>
              <w:caps/>
              <w:sz w:val="24"/>
              <w:szCs w:val="24"/>
            </w:rPr>
            <w:fldChar w:fldCharType="begin"/>
          </w:r>
          <w:r>
            <w:rPr>
              <w:rFonts w:ascii="仿宋" w:hAnsi="仿宋" w:eastAsia="仿宋" w:cs="仿宋"/>
              <w:b/>
              <w:bCs/>
              <w:caps/>
              <w:sz w:val="24"/>
              <w:szCs w:val="24"/>
            </w:rPr>
            <w:instrText xml:space="preserve"> PAGEREF _Toc16674 \h </w:instrText>
          </w:r>
          <w:r>
            <w:rPr>
              <w:rFonts w:ascii="仿宋" w:hAnsi="仿宋" w:eastAsia="仿宋" w:cs="仿宋"/>
              <w:b/>
              <w:bCs/>
              <w:caps/>
              <w:sz w:val="24"/>
              <w:szCs w:val="24"/>
            </w:rPr>
            <w:fldChar w:fldCharType="separate"/>
          </w:r>
          <w:r>
            <w:rPr>
              <w:rFonts w:ascii="仿宋" w:hAnsi="仿宋" w:eastAsia="仿宋" w:cs="仿宋"/>
              <w:b/>
              <w:bCs/>
              <w:caps/>
              <w:sz w:val="24"/>
              <w:szCs w:val="24"/>
            </w:rPr>
            <w:t>41</w:t>
          </w:r>
          <w:r>
            <w:rPr>
              <w:rFonts w:ascii="仿宋" w:hAnsi="仿宋" w:eastAsia="仿宋" w:cs="仿宋"/>
              <w:b/>
              <w:bCs/>
              <w:caps/>
              <w:sz w:val="24"/>
              <w:szCs w:val="24"/>
            </w:rPr>
            <w:fldChar w:fldCharType="end"/>
          </w:r>
          <w:r>
            <w:rPr>
              <w:rFonts w:hint="eastAsia" w:ascii="仿宋" w:hAnsi="仿宋" w:eastAsia="仿宋" w:cs="仿宋"/>
              <w:b/>
              <w:bCs/>
              <w:caps/>
              <w:sz w:val="24"/>
              <w:szCs w:val="24"/>
              <w:lang w:val="zh-CN"/>
            </w:rPr>
            <w:fldChar w:fldCharType="end"/>
          </w:r>
        </w:p>
        <w:p>
          <w:pPr>
            <w:pStyle w:val="18"/>
            <w:tabs>
              <w:tab w:val="right" w:leader="dot" w:pos="8306"/>
            </w:tabs>
            <w:ind w:leftChars="0" w:right="0" w:rightChars="0"/>
            <w:rPr>
              <w:rFonts w:ascii="Times New Roman" w:hAnsi="Times New Roman" w:eastAsia="方正粗黑宋简体" w:cs="Times New Roman"/>
              <w:color w:val="000000" w:themeColor="text1"/>
              <w:sz w:val="48"/>
              <w:szCs w:val="44"/>
            </w:rPr>
            <w:sectPr>
              <w:headerReference r:id="rId11" w:type="first"/>
              <w:footerReference r:id="rId12" w:type="first"/>
              <w:pgSz w:w="11906" w:h="16838"/>
              <w:pgMar w:top="1440" w:right="1800" w:bottom="1440" w:left="1800" w:header="851" w:footer="1077" w:gutter="0"/>
              <w:pgNumType w:fmt="upperRoman" w:start="1"/>
              <w:cols w:space="425" w:num="1"/>
              <w:titlePg/>
              <w:docGrid w:type="lines" w:linePitch="435" w:charSpace="0"/>
            </w:sectPr>
          </w:pPr>
          <w:r>
            <w:rPr>
              <w:rFonts w:hint="eastAsia" w:ascii="仿宋" w:hAnsi="仿宋" w:eastAsia="仿宋" w:cs="仿宋"/>
              <w:szCs w:val="24"/>
              <w:lang w:val="zh-CN"/>
            </w:rPr>
            <w:fldChar w:fldCharType="end"/>
          </w:r>
        </w:p>
      </w:sdtContent>
    </w:sdt>
    <w:p>
      <w:pPr>
        <w:ind w:left="0" w:leftChars="0" w:right="0" w:rightChars="0"/>
        <w:jc w:val="center"/>
        <w:rPr>
          <w:rFonts w:ascii="Times New Roman" w:hAnsi="Times New Roman" w:eastAsia="方正粗黑宋简体" w:cs="Times New Roman"/>
          <w:b/>
          <w:bCs/>
          <w:color w:val="000000" w:themeColor="text1"/>
          <w:sz w:val="48"/>
          <w:szCs w:val="44"/>
        </w:rPr>
      </w:pPr>
      <w:r>
        <w:rPr>
          <w:rFonts w:hint="eastAsia" w:ascii="Times New Roman" w:hAnsi="Times New Roman" w:eastAsia="方正粗黑宋简体" w:cs="Times New Roman"/>
          <w:b/>
          <w:bCs/>
          <w:color w:val="000000" w:themeColor="text1"/>
          <w:sz w:val="48"/>
          <w:szCs w:val="44"/>
        </w:rPr>
        <w:t>门头改造工程</w:t>
      </w:r>
    </w:p>
    <w:p>
      <w:pPr>
        <w:ind w:left="0" w:leftChars="0" w:right="0" w:rightChars="0"/>
        <w:jc w:val="center"/>
        <w:rPr>
          <w:rFonts w:ascii="Times New Roman" w:hAnsi="Times New Roman" w:cs="Times New Roman"/>
          <w:b/>
          <w:bCs/>
          <w:sz w:val="24"/>
          <w:szCs w:val="32"/>
        </w:rPr>
      </w:pPr>
      <w:r>
        <w:rPr>
          <w:rFonts w:ascii="Times New Roman" w:hAnsi="Times New Roman" w:eastAsia="方正粗黑宋简体" w:cs="Times New Roman"/>
          <w:b/>
          <w:bCs/>
          <w:color w:val="000000" w:themeColor="text1"/>
          <w:sz w:val="48"/>
          <w:szCs w:val="44"/>
        </w:rPr>
        <w:t>项目支出绩效评价报告</w:t>
      </w:r>
    </w:p>
    <w:p>
      <w:pPr>
        <w:pStyle w:val="2"/>
        <w:ind w:firstLine="560"/>
        <w:rPr>
          <w:rFonts w:cs="Times New Roman"/>
        </w:rPr>
      </w:pPr>
      <w:r>
        <w:rPr>
          <w:rFonts w:cs="Times New Roman"/>
        </w:rPr>
        <w:t>财政支出绩效评价是运用客观的指标体系，对公共资金使用效率、效益进行综合分析和评价的制度，是促进政府职能转变，提高资源配置效率，推进政府管理科学的重要抓手。</w:t>
      </w:r>
    </w:p>
    <w:p>
      <w:pPr>
        <w:pStyle w:val="2"/>
        <w:ind w:firstLine="560"/>
        <w:rPr>
          <w:rFonts w:cs="Times New Roman"/>
        </w:rPr>
      </w:pPr>
      <w:r>
        <w:rPr>
          <w:rFonts w:cs="Times New Roman"/>
          <w:kern w:val="0"/>
        </w:rPr>
        <w:t>为加强</w:t>
      </w:r>
      <w:r>
        <w:rPr>
          <w:rFonts w:hint="eastAsia" w:cs="Times New Roman"/>
          <w:kern w:val="0"/>
        </w:rPr>
        <w:t>门头改造</w:t>
      </w:r>
      <w:r>
        <w:rPr>
          <w:rFonts w:cs="Times New Roman"/>
          <w:kern w:val="0"/>
        </w:rPr>
        <w:t>资金管理，强化支出责任，提高财政资金的使用效益，建立科学、合理的财政支出绩效评价体系，</w:t>
      </w:r>
      <w:r>
        <w:rPr>
          <w:rFonts w:hint="eastAsia" w:cs="Times New Roman"/>
          <w:kern w:val="0"/>
        </w:rPr>
        <w:t>河南新卓房地产评估有限公司</w:t>
      </w:r>
      <w:r>
        <w:rPr>
          <w:rFonts w:cs="Times New Roman"/>
        </w:rPr>
        <w:t>受</w:t>
      </w:r>
      <w:r>
        <w:rPr>
          <w:rFonts w:hint="eastAsia" w:cs="Times New Roman"/>
        </w:rPr>
        <w:t>漯河经济技术开发区财政局</w:t>
      </w:r>
      <w:r>
        <w:rPr>
          <w:rFonts w:cs="Times New Roman"/>
        </w:rPr>
        <w:t>的委托，对“</w:t>
      </w:r>
      <w:r>
        <w:rPr>
          <w:rFonts w:hint="eastAsia" w:cs="Times New Roman"/>
        </w:rPr>
        <w:t>门头改造工程</w:t>
      </w:r>
      <w:r>
        <w:rPr>
          <w:rFonts w:cs="Times New Roman"/>
        </w:rPr>
        <w:t>”进行绩效评价。本次评价</w:t>
      </w:r>
      <w:r>
        <w:rPr>
          <w:rFonts w:cs="Times New Roman"/>
          <w:kern w:val="0"/>
        </w:rPr>
        <w:t>根据《中共中央国务院关于全面实施预算绩效管理的意见》（中发〔2018〕34号）、财政部</w:t>
      </w:r>
      <w:r>
        <w:rPr>
          <w:rFonts w:cs="Times New Roman"/>
        </w:rPr>
        <w:t>《项目支出绩效评价管理办法》财预〔2020〕10 号</w:t>
      </w:r>
      <w:r>
        <w:rPr>
          <w:rFonts w:cs="Times New Roman"/>
          <w:kern w:val="0"/>
        </w:rPr>
        <w:t>、财政部</w:t>
      </w:r>
      <w:r>
        <w:rPr>
          <w:rFonts w:cs="Times New Roman"/>
        </w:rPr>
        <w:t>《中共河南省委河南省人民政府关于全面实施预算绩效管理的实施意见》（豫发〔2019〕10号）、河南省财政厅《河南省省级预算项目支出绩效评价管理办法》（豫财效〔2020〕10 号）等文件的相关规定，遵循“科学规范、公正公开、绩效相关”的原则，运用科学、合理的绩效评价指标、评价标准和评价方法，对财政支出项目进行绩效评价。</w:t>
      </w:r>
    </w:p>
    <w:p>
      <w:pPr>
        <w:pStyle w:val="3"/>
        <w:rPr>
          <w:rFonts w:cs="Times New Roman"/>
          <w:color w:val="000000" w:themeColor="text1"/>
        </w:rPr>
      </w:pPr>
      <w:bookmarkStart w:id="1" w:name="_Toc13440"/>
      <w:bookmarkStart w:id="2" w:name="_Toc67315570"/>
      <w:bookmarkStart w:id="3" w:name="_Toc23723"/>
      <w:r>
        <w:rPr>
          <w:rFonts w:cs="Times New Roman"/>
        </w:rPr>
        <w:t>一、基本情况</w:t>
      </w:r>
      <w:bookmarkEnd w:id="1"/>
      <w:bookmarkEnd w:id="2"/>
      <w:bookmarkEnd w:id="3"/>
    </w:p>
    <w:p>
      <w:pPr>
        <w:pStyle w:val="4"/>
        <w:ind w:firstLine="602"/>
        <w:rPr>
          <w:rFonts w:cs="Times New Roman"/>
        </w:rPr>
      </w:pPr>
      <w:bookmarkStart w:id="4" w:name="_Toc67315571"/>
      <w:bookmarkStart w:id="5" w:name="_Toc10860"/>
      <w:bookmarkStart w:id="6" w:name="_Toc26598"/>
      <w:r>
        <w:rPr>
          <w:rFonts w:cs="Times New Roman"/>
        </w:rPr>
        <w:t>（一）项目概况</w:t>
      </w:r>
      <w:bookmarkEnd w:id="4"/>
      <w:bookmarkEnd w:id="5"/>
      <w:bookmarkEnd w:id="6"/>
    </w:p>
    <w:p>
      <w:pPr>
        <w:pStyle w:val="5"/>
        <w:ind w:firstLine="562"/>
        <w:rPr>
          <w:rFonts w:cs="Times New Roman"/>
        </w:rPr>
      </w:pPr>
      <w:bookmarkStart w:id="7" w:name="_Toc19397"/>
      <w:bookmarkStart w:id="8" w:name="_Toc31951"/>
      <w:r>
        <w:rPr>
          <w:rFonts w:cs="Times New Roman"/>
        </w:rPr>
        <w:t>1.项目单位基本情况</w:t>
      </w:r>
      <w:bookmarkEnd w:id="7"/>
      <w:bookmarkEnd w:id="8"/>
    </w:p>
    <w:tbl>
      <w:tblPr>
        <w:tblStyle w:val="29"/>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6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8" w:type="dxa"/>
            <w:gridSpan w:val="2"/>
            <w:shd w:val="clear" w:color="auto" w:fill="auto"/>
            <w:vAlign w:val="center"/>
          </w:tcPr>
          <w:p>
            <w:pPr>
              <w:pStyle w:val="2"/>
              <w:ind w:firstLine="0" w:firstLineChars="0"/>
              <w:jc w:val="center"/>
              <w:rPr>
                <w:rFonts w:cs="Times New Roman"/>
                <w:b/>
                <w:bCs/>
                <w:sz w:val="24"/>
                <w:szCs w:val="20"/>
              </w:rPr>
            </w:pPr>
            <w:r>
              <w:rPr>
                <w:rFonts w:cs="Times New Roman"/>
                <w:sz w:val="24"/>
                <w:szCs w:val="20"/>
              </w:rPr>
              <w:t xml:space="preserve">表1  </w:t>
            </w:r>
            <w:r>
              <w:rPr>
                <w:rFonts w:hint="eastAsia" w:cs="Times New Roman"/>
                <w:sz w:val="24"/>
                <w:szCs w:val="20"/>
              </w:rPr>
              <w:t>漯河经济技术开发区城市管理执法大队</w:t>
            </w:r>
            <w:r>
              <w:rPr>
                <w:rFonts w:cs="Times New Roman"/>
                <w:sz w:val="24"/>
                <w:szCs w:val="20"/>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00B0F0"/>
            <w:vAlign w:val="center"/>
          </w:tcPr>
          <w:p>
            <w:pPr>
              <w:pStyle w:val="2"/>
              <w:ind w:firstLine="0" w:firstLineChars="0"/>
              <w:jc w:val="center"/>
              <w:rPr>
                <w:rFonts w:cs="Times New Roman"/>
                <w:b/>
                <w:bCs/>
                <w:sz w:val="24"/>
                <w:szCs w:val="20"/>
              </w:rPr>
            </w:pPr>
            <w:r>
              <w:rPr>
                <w:rFonts w:cs="Times New Roman"/>
                <w:b/>
                <w:bCs/>
                <w:sz w:val="24"/>
                <w:szCs w:val="20"/>
              </w:rPr>
              <w:t>科目</w:t>
            </w:r>
          </w:p>
        </w:tc>
        <w:tc>
          <w:tcPr>
            <w:tcW w:w="6003" w:type="dxa"/>
            <w:shd w:val="clear" w:color="auto" w:fill="00B0F0"/>
            <w:vAlign w:val="center"/>
          </w:tcPr>
          <w:p>
            <w:pPr>
              <w:pStyle w:val="2"/>
              <w:ind w:firstLine="0" w:firstLineChars="0"/>
              <w:jc w:val="center"/>
              <w:rPr>
                <w:rFonts w:cs="Times New Roman"/>
                <w:b/>
                <w:bCs/>
                <w:sz w:val="24"/>
                <w:szCs w:val="20"/>
              </w:rPr>
            </w:pPr>
            <w:r>
              <w:rPr>
                <w:rFonts w:cs="Times New Roman"/>
                <w:b/>
                <w:bCs/>
                <w:sz w:val="24"/>
                <w:szCs w:val="20"/>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pStyle w:val="2"/>
              <w:ind w:firstLine="0" w:firstLineChars="0"/>
              <w:jc w:val="center"/>
              <w:rPr>
                <w:rFonts w:cs="Times New Roman"/>
                <w:sz w:val="24"/>
                <w:szCs w:val="20"/>
              </w:rPr>
            </w:pPr>
            <w:r>
              <w:rPr>
                <w:rFonts w:cs="Times New Roman"/>
                <w:sz w:val="24"/>
                <w:szCs w:val="20"/>
              </w:rPr>
              <w:t>项目单位</w:t>
            </w:r>
          </w:p>
        </w:tc>
        <w:tc>
          <w:tcPr>
            <w:tcW w:w="6003" w:type="dxa"/>
            <w:vAlign w:val="center"/>
          </w:tcPr>
          <w:p>
            <w:pPr>
              <w:pStyle w:val="2"/>
              <w:ind w:firstLine="0" w:firstLineChars="0"/>
              <w:jc w:val="center"/>
              <w:rPr>
                <w:rFonts w:cs="Times New Roman"/>
                <w:sz w:val="24"/>
                <w:szCs w:val="20"/>
              </w:rPr>
            </w:pPr>
            <w:r>
              <w:rPr>
                <w:rFonts w:hint="eastAsia" w:cs="Times New Roman"/>
                <w:sz w:val="24"/>
                <w:szCs w:val="20"/>
              </w:rPr>
              <w:t>漯河经济技术开发区城市管理执法大队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pStyle w:val="2"/>
              <w:ind w:firstLine="0" w:firstLineChars="0"/>
              <w:jc w:val="center"/>
              <w:rPr>
                <w:rFonts w:cs="Times New Roman"/>
                <w:sz w:val="24"/>
                <w:szCs w:val="20"/>
              </w:rPr>
            </w:pPr>
            <w:r>
              <w:rPr>
                <w:rFonts w:cs="Times New Roman"/>
                <w:sz w:val="24"/>
                <w:szCs w:val="20"/>
              </w:rPr>
              <w:t>主管部门</w:t>
            </w:r>
          </w:p>
        </w:tc>
        <w:tc>
          <w:tcPr>
            <w:tcW w:w="6003" w:type="dxa"/>
            <w:vAlign w:val="center"/>
          </w:tcPr>
          <w:p>
            <w:pPr>
              <w:pStyle w:val="2"/>
              <w:ind w:firstLine="0" w:firstLineChars="0"/>
              <w:jc w:val="center"/>
              <w:rPr>
                <w:rFonts w:cs="Times New Roman"/>
                <w:sz w:val="24"/>
                <w:szCs w:val="20"/>
              </w:rPr>
            </w:pPr>
            <w:r>
              <w:rPr>
                <w:rFonts w:hint="eastAsia" w:cs="Times New Roman"/>
                <w:sz w:val="24"/>
                <w:szCs w:val="20"/>
              </w:rPr>
              <w:t>漯河经济技术开发区城市管理执法大队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pStyle w:val="2"/>
              <w:ind w:firstLine="0" w:firstLineChars="0"/>
              <w:jc w:val="center"/>
              <w:rPr>
                <w:rFonts w:cs="Times New Roman"/>
                <w:sz w:val="24"/>
                <w:szCs w:val="20"/>
              </w:rPr>
            </w:pPr>
            <w:r>
              <w:rPr>
                <w:rFonts w:cs="Times New Roman"/>
                <w:sz w:val="24"/>
                <w:szCs w:val="20"/>
              </w:rPr>
              <w:t>单位类型</w:t>
            </w:r>
          </w:p>
        </w:tc>
        <w:tc>
          <w:tcPr>
            <w:tcW w:w="6003" w:type="dxa"/>
            <w:vAlign w:val="center"/>
          </w:tcPr>
          <w:p>
            <w:pPr>
              <w:pStyle w:val="2"/>
              <w:ind w:firstLine="0" w:firstLineChars="0"/>
              <w:jc w:val="center"/>
              <w:rPr>
                <w:rFonts w:cs="Times New Roman"/>
                <w:sz w:val="24"/>
                <w:szCs w:val="20"/>
              </w:rPr>
            </w:pPr>
            <w:r>
              <w:rPr>
                <w:rFonts w:cs="Times New Roman"/>
                <w:sz w:val="24"/>
                <w:szCs w:val="20"/>
              </w:rPr>
              <w:t>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pStyle w:val="2"/>
              <w:ind w:firstLine="0" w:firstLineChars="0"/>
              <w:jc w:val="center"/>
              <w:rPr>
                <w:rFonts w:cs="Times New Roman"/>
                <w:sz w:val="24"/>
                <w:szCs w:val="20"/>
              </w:rPr>
            </w:pPr>
            <w:r>
              <w:rPr>
                <w:rFonts w:cs="Times New Roman"/>
                <w:sz w:val="24"/>
                <w:szCs w:val="20"/>
              </w:rPr>
              <w:t>经费来源</w:t>
            </w:r>
          </w:p>
        </w:tc>
        <w:tc>
          <w:tcPr>
            <w:tcW w:w="6003" w:type="dxa"/>
            <w:vAlign w:val="center"/>
          </w:tcPr>
          <w:p>
            <w:pPr>
              <w:pStyle w:val="2"/>
              <w:ind w:firstLine="0" w:firstLineChars="0"/>
              <w:jc w:val="center"/>
              <w:rPr>
                <w:rFonts w:cs="Times New Roman"/>
                <w:sz w:val="24"/>
                <w:szCs w:val="20"/>
              </w:rPr>
            </w:pPr>
            <w:r>
              <w:rPr>
                <w:rFonts w:cs="Times New Roman"/>
                <w:sz w:val="24"/>
                <w:szCs w:val="20"/>
              </w:rPr>
              <w:t>财政</w:t>
            </w:r>
            <w:r>
              <w:rPr>
                <w:rFonts w:hint="eastAsia" w:cs="Times New Roman"/>
                <w:sz w:val="24"/>
                <w:szCs w:val="20"/>
              </w:rPr>
              <w:t>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pStyle w:val="2"/>
              <w:ind w:firstLine="0" w:firstLineChars="0"/>
              <w:jc w:val="center"/>
              <w:rPr>
                <w:rFonts w:cs="Times New Roman"/>
                <w:sz w:val="24"/>
                <w:szCs w:val="20"/>
              </w:rPr>
            </w:pPr>
            <w:r>
              <w:rPr>
                <w:rFonts w:cs="Times New Roman"/>
                <w:sz w:val="24"/>
                <w:szCs w:val="20"/>
              </w:rPr>
              <w:t>住所</w:t>
            </w:r>
          </w:p>
        </w:tc>
        <w:tc>
          <w:tcPr>
            <w:tcW w:w="6003" w:type="dxa"/>
            <w:vAlign w:val="center"/>
          </w:tcPr>
          <w:p>
            <w:pPr>
              <w:pStyle w:val="2"/>
              <w:ind w:firstLine="0" w:firstLineChars="0"/>
              <w:jc w:val="center"/>
              <w:rPr>
                <w:rFonts w:cs="Times New Roman"/>
                <w:sz w:val="24"/>
                <w:szCs w:val="20"/>
              </w:rPr>
            </w:pPr>
            <w:r>
              <w:rPr>
                <w:rFonts w:cs="Times New Roman"/>
                <w:sz w:val="24"/>
                <w:szCs w:val="20"/>
              </w:rPr>
              <w:t>河南省</w:t>
            </w:r>
            <w:r>
              <w:rPr>
                <w:rFonts w:hint="eastAsia" w:cs="Times New Roman"/>
                <w:sz w:val="24"/>
                <w:szCs w:val="20"/>
              </w:rPr>
              <w:t>漯河</w:t>
            </w:r>
            <w:r>
              <w:rPr>
                <w:rFonts w:cs="Times New Roman"/>
                <w:sz w:val="24"/>
                <w:szCs w:val="20"/>
              </w:rPr>
              <w:t>市</w:t>
            </w:r>
            <w:r>
              <w:rPr>
                <w:rFonts w:hint="eastAsia" w:cs="Times New Roman"/>
                <w:sz w:val="24"/>
                <w:szCs w:val="20"/>
              </w:rPr>
              <w:t>中山</w:t>
            </w:r>
            <w:r>
              <w:rPr>
                <w:rFonts w:cs="Times New Roman"/>
                <w:sz w:val="24"/>
                <w:szCs w:val="20"/>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pPr>
              <w:pStyle w:val="2"/>
              <w:ind w:firstLine="0" w:firstLineChars="0"/>
              <w:jc w:val="center"/>
              <w:rPr>
                <w:rFonts w:cs="Times New Roman"/>
                <w:sz w:val="24"/>
                <w:szCs w:val="20"/>
              </w:rPr>
            </w:pPr>
            <w:r>
              <w:rPr>
                <w:rFonts w:cs="Times New Roman"/>
                <w:sz w:val="24"/>
                <w:szCs w:val="20"/>
              </w:rPr>
              <w:t>宗旨和业务范围</w:t>
            </w:r>
          </w:p>
        </w:tc>
        <w:tc>
          <w:tcPr>
            <w:tcW w:w="6003" w:type="dxa"/>
            <w:vAlign w:val="center"/>
          </w:tcPr>
          <w:p>
            <w:pPr>
              <w:pStyle w:val="2"/>
              <w:spacing w:line="240" w:lineRule="auto"/>
              <w:ind w:firstLine="480"/>
              <w:jc w:val="left"/>
              <w:rPr>
                <w:rFonts w:cs="Times New Roman"/>
                <w:sz w:val="24"/>
                <w:szCs w:val="20"/>
              </w:rPr>
            </w:pPr>
            <w:r>
              <w:rPr>
                <w:rFonts w:cs="Times New Roman"/>
                <w:sz w:val="24"/>
                <w:szCs w:val="20"/>
              </w:rPr>
              <w:t>依法对区内的建设行为、道路施工、占用挖掘以及损坏桥涵、排水设施等行为进行监察；负责对区内环境卫生、园林绿化管理等方面违法行为进行监察；协助有关部门查处违章建筑及开展相关规划监察工作；负责区内市容市镜的监察，以及城区门面房商户经营秩序的维护和占道经营查处；与公安部门一起负责辖区良好施工环境的创建和维护</w:t>
            </w:r>
            <w:r>
              <w:rPr>
                <w:rFonts w:hint="eastAsia" w:cs="Times New Roman"/>
                <w:sz w:val="24"/>
                <w:szCs w:val="20"/>
              </w:rPr>
              <w:t>。</w:t>
            </w:r>
          </w:p>
        </w:tc>
      </w:tr>
    </w:tbl>
    <w:p>
      <w:pPr>
        <w:pStyle w:val="5"/>
        <w:ind w:firstLine="562"/>
        <w:rPr>
          <w:rFonts w:cs="Times New Roman"/>
        </w:rPr>
      </w:pPr>
      <w:bookmarkStart w:id="9" w:name="_Toc292"/>
      <w:bookmarkStart w:id="10" w:name="_Toc16411"/>
      <w:r>
        <w:rPr>
          <w:rFonts w:cs="Times New Roman"/>
        </w:rPr>
        <w:t>2.项目背景</w:t>
      </w:r>
      <w:bookmarkEnd w:id="9"/>
      <w:bookmarkEnd w:id="10"/>
    </w:p>
    <w:p>
      <w:pPr>
        <w:pStyle w:val="2"/>
        <w:ind w:firstLine="560"/>
        <w:rPr>
          <w:rFonts w:cs="Times New Roman"/>
        </w:rPr>
      </w:pPr>
      <w:r>
        <w:rPr>
          <w:rFonts w:hint="eastAsia" w:cs="Times New Roman"/>
        </w:rPr>
        <w:t>漯河经济技术开发区管委会会议纪要【漯开纪要〔2020〕71号】，2020年5月25日，区党工委书记吴玉培在管委会五楼南会议室主持召开区党政领导班子联席会议，研究湘江路（湘江路小学两侧）、解放路（后谢镇政府两侧）门头牌匾整治提升事宜，会议纪要如下∶</w:t>
      </w:r>
    </w:p>
    <w:p>
      <w:pPr>
        <w:pStyle w:val="2"/>
        <w:ind w:firstLine="560"/>
        <w:rPr>
          <w:rFonts w:cs="Times New Roman"/>
        </w:rPr>
      </w:pPr>
      <w:r>
        <w:rPr>
          <w:rFonts w:hint="eastAsia" w:cs="Times New Roman"/>
        </w:rPr>
        <w:t>（1）同意对湘江路（湘江路小学两侧）、解放路（后谢镇政府两侧）门头牌匾进行整治提升，区城市管理执法大队为业主单位，施工单位采取政府采购方式确定。</w:t>
      </w:r>
    </w:p>
    <w:p>
      <w:pPr>
        <w:pStyle w:val="2"/>
        <w:ind w:firstLine="560"/>
        <w:rPr>
          <w:rFonts w:cs="Times New Roman"/>
        </w:rPr>
      </w:pPr>
      <w:r>
        <w:rPr>
          <w:rFonts w:hint="eastAsia" w:cs="Times New Roman"/>
        </w:rPr>
        <w:t>（2）整治提升费用由区财政承担，最终费用以审核通过的财政决算为准。费用分二次付清，工程过半验收合格后支付50%，竣工验收合格后支付剩余50%。</w:t>
      </w:r>
    </w:p>
    <w:p>
      <w:pPr>
        <w:pStyle w:val="2"/>
        <w:ind w:firstLine="560"/>
        <w:rPr>
          <w:rFonts w:cs="Times New Roman"/>
        </w:rPr>
      </w:pPr>
      <w:r>
        <w:rPr>
          <w:rFonts w:hint="eastAsia" w:cs="Times New Roman"/>
        </w:rPr>
        <w:t>（3）会议要求，区城市管理执法大队要按照主管部门要求抓紧进行整治，要整出效果，整出形象。</w:t>
      </w:r>
    </w:p>
    <w:p>
      <w:pPr>
        <w:pStyle w:val="5"/>
        <w:ind w:firstLine="562"/>
        <w:rPr>
          <w:rFonts w:cs="Times New Roman"/>
        </w:rPr>
      </w:pPr>
      <w:bookmarkStart w:id="11" w:name="_Toc521"/>
      <w:bookmarkStart w:id="12" w:name="_Toc10494"/>
      <w:r>
        <w:rPr>
          <w:rFonts w:cs="Times New Roman"/>
        </w:rPr>
        <w:t>3.主要内容</w:t>
      </w:r>
      <w:bookmarkEnd w:id="11"/>
      <w:bookmarkEnd w:id="12"/>
    </w:p>
    <w:p>
      <w:pPr>
        <w:pStyle w:val="2"/>
        <w:ind w:firstLine="560"/>
        <w:rPr>
          <w:rFonts w:cs="Times New Roman"/>
        </w:rPr>
      </w:pPr>
      <w:r>
        <w:rPr>
          <w:rFonts w:hint="eastAsia" w:cs="Times New Roman"/>
        </w:rPr>
        <w:t>湘江路路南与解放路南段门头改造工程</w:t>
      </w:r>
      <w:r>
        <w:rPr>
          <w:rFonts w:cs="Times New Roman"/>
        </w:rPr>
        <w:t>项目</w:t>
      </w:r>
      <w:r>
        <w:rPr>
          <w:rFonts w:hint="eastAsia" w:cs="Times New Roman"/>
        </w:rPr>
        <w:t>年初预算</w:t>
      </w:r>
      <w:r>
        <w:rPr>
          <w:rFonts w:cs="Times New Roman"/>
        </w:rPr>
        <w:t>经费</w:t>
      </w:r>
      <w:r>
        <w:rPr>
          <w:rFonts w:hint="eastAsia" w:cs="Times New Roman"/>
        </w:rPr>
        <w:t>95.44</w:t>
      </w:r>
      <w:r>
        <w:rPr>
          <w:rFonts w:cs="Times New Roman"/>
        </w:rPr>
        <w:t>万元，</w:t>
      </w:r>
      <w:r>
        <w:rPr>
          <w:rFonts w:hint="eastAsia" w:cs="Times New Roman"/>
        </w:rPr>
        <w:t>全年预算经费95.44万元，全年执行经费</w:t>
      </w:r>
      <w:r>
        <w:rPr>
          <w:rFonts w:hint="eastAsia" w:cs="Times New Roman"/>
          <w:color w:val="000000" w:themeColor="text1"/>
        </w:rPr>
        <w:t>95.434005</w:t>
      </w:r>
      <w:r>
        <w:rPr>
          <w:rFonts w:hint="eastAsia" w:cs="Times New Roman"/>
        </w:rPr>
        <w:t>万元，预算执行率99.99%。</w:t>
      </w:r>
      <w:r>
        <w:rPr>
          <w:rFonts w:cs="Times New Roman"/>
        </w:rPr>
        <w:t>该经费主要用于</w:t>
      </w:r>
      <w:r>
        <w:rPr>
          <w:rFonts w:hint="eastAsia" w:cs="Times New Roman"/>
        </w:rPr>
        <w:t>湘江路（湘江路小学两侧）、解放路（后谢镇政府两侧）门头牌匾进行整治提升</w:t>
      </w:r>
      <w:r>
        <w:rPr>
          <w:rFonts w:cs="Times New Roman"/>
        </w:rPr>
        <w:t>。</w:t>
      </w:r>
    </w:p>
    <w:p>
      <w:pPr>
        <w:pStyle w:val="5"/>
        <w:ind w:firstLine="562"/>
        <w:rPr>
          <w:rFonts w:cs="Times New Roman"/>
        </w:rPr>
      </w:pPr>
      <w:bookmarkStart w:id="13" w:name="_Toc10045"/>
      <w:bookmarkStart w:id="14" w:name="_Toc22717"/>
      <w:r>
        <w:rPr>
          <w:rFonts w:cs="Times New Roman"/>
        </w:rPr>
        <w:t>4.实施情况</w:t>
      </w:r>
      <w:bookmarkEnd w:id="13"/>
      <w:bookmarkEnd w:id="14"/>
    </w:p>
    <w:p>
      <w:pPr>
        <w:pStyle w:val="2"/>
        <w:ind w:firstLine="560"/>
        <w:rPr>
          <w:rFonts w:cs="Times New Roman"/>
        </w:rPr>
      </w:pPr>
      <w:r>
        <w:rPr>
          <w:rFonts w:hint="eastAsia" w:cs="Times New Roman"/>
        </w:rPr>
        <w:t>本工程为湘江路路南与解放路南段门头改造工程，位于漯河经济技术开发区湘江路与解放路。拆除老旧门头，安装门头装饰铝塑板，安装彩钢瓦，安装PVC门头字，安装湘江路小学鼓面钛金字5个，门头下龙骨采用40*60*3mm镀锌方钢。已完成设计及合同约定的工程项目内容，工程资料齐全、有效，工程质量符合设计要求和有关质量验收规范标准要求。</w:t>
      </w:r>
    </w:p>
    <w:p>
      <w:pPr>
        <w:pStyle w:val="5"/>
        <w:ind w:firstLine="562"/>
        <w:rPr>
          <w:rFonts w:cs="Times New Roman"/>
        </w:rPr>
      </w:pPr>
      <w:bookmarkStart w:id="15" w:name="_Toc5639"/>
      <w:bookmarkStart w:id="16" w:name="_Toc2905"/>
      <w:r>
        <w:rPr>
          <w:rFonts w:cs="Times New Roman"/>
        </w:rPr>
        <w:t>5.</w:t>
      </w:r>
      <w:r>
        <w:rPr>
          <w:rFonts w:hint="eastAsia" w:cs="Times New Roman"/>
        </w:rPr>
        <w:t>项目</w:t>
      </w:r>
      <w:bookmarkEnd w:id="15"/>
      <w:r>
        <w:rPr>
          <w:rFonts w:hint="eastAsia" w:cs="Times New Roman"/>
        </w:rPr>
        <w:t>预算及执行情况</w:t>
      </w:r>
      <w:bookmarkEnd w:id="16"/>
    </w:p>
    <w:p>
      <w:pPr>
        <w:pStyle w:val="2"/>
        <w:ind w:firstLine="560"/>
        <w:rPr>
          <w:rFonts w:cs="Times New Roman"/>
          <w:color w:val="000000" w:themeColor="text1"/>
        </w:rPr>
      </w:pPr>
      <w:r>
        <w:rPr>
          <w:rFonts w:hint="eastAsia" w:cs="Times New Roman"/>
        </w:rPr>
        <w:t>湘江路路南与解放路南段门头改造工程</w:t>
      </w:r>
      <w:r>
        <w:rPr>
          <w:rFonts w:hint="eastAsia" w:cs="Times New Roman"/>
          <w:color w:val="000000" w:themeColor="text1"/>
        </w:rPr>
        <w:t>项目</w:t>
      </w:r>
      <w:r>
        <w:rPr>
          <w:rFonts w:cs="Times New Roman"/>
          <w:color w:val="000000" w:themeColor="text1"/>
        </w:rPr>
        <w:t>202</w:t>
      </w:r>
      <w:r>
        <w:rPr>
          <w:rFonts w:hint="eastAsia" w:cs="Times New Roman"/>
          <w:color w:val="000000" w:themeColor="text1"/>
        </w:rPr>
        <w:t>1</w:t>
      </w:r>
      <w:r>
        <w:rPr>
          <w:rFonts w:cs="Times New Roman"/>
          <w:color w:val="000000" w:themeColor="text1"/>
        </w:rPr>
        <w:t>年</w:t>
      </w:r>
      <w:r>
        <w:rPr>
          <w:rFonts w:hint="eastAsia" w:cs="Times New Roman"/>
        </w:rPr>
        <w:t>门头改造工程</w:t>
      </w:r>
      <w:r>
        <w:rPr>
          <w:rFonts w:cs="Times New Roman"/>
          <w:color w:val="000000" w:themeColor="text1"/>
        </w:rPr>
        <w:t>资金投入共</w:t>
      </w:r>
      <w:r>
        <w:rPr>
          <w:rFonts w:hint="eastAsia" w:cs="Times New Roman"/>
          <w:color w:val="000000" w:themeColor="text1"/>
        </w:rPr>
        <w:t>954340.05元</w:t>
      </w:r>
      <w:r>
        <w:rPr>
          <w:rFonts w:cs="Times New Roman"/>
          <w:color w:val="000000" w:themeColor="text1"/>
        </w:rPr>
        <w:t xml:space="preserve">，经费使用情况： </w:t>
      </w:r>
    </w:p>
    <w:tbl>
      <w:tblPr>
        <w:tblStyle w:val="29"/>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298"/>
        <w:gridCol w:w="1918"/>
        <w:gridCol w:w="2149"/>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序号</w:t>
            </w:r>
          </w:p>
        </w:tc>
        <w:tc>
          <w:tcPr>
            <w:tcW w:w="2298"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费用明细</w:t>
            </w:r>
          </w:p>
        </w:tc>
        <w:tc>
          <w:tcPr>
            <w:tcW w:w="1918" w:type="dxa"/>
            <w:vAlign w:val="center"/>
          </w:tcPr>
          <w:p>
            <w:pPr>
              <w:ind w:left="0" w:leftChars="0" w:right="0" w:rightChars="0"/>
              <w:jc w:val="center"/>
              <w:rPr>
                <w:rFonts w:ascii="仿宋" w:hAnsi="仿宋" w:eastAsia="仿宋" w:cs="仿宋"/>
                <w:sz w:val="24"/>
              </w:rPr>
            </w:pPr>
            <w:r>
              <w:rPr>
                <w:rFonts w:hint="eastAsia" w:ascii="仿宋" w:hAnsi="仿宋" w:eastAsia="仿宋" w:cs="仿宋"/>
                <w:color w:val="000000"/>
                <w:kern w:val="0"/>
                <w:sz w:val="24"/>
              </w:rPr>
              <w:t>预算金额（元）</w:t>
            </w:r>
          </w:p>
        </w:tc>
        <w:tc>
          <w:tcPr>
            <w:tcW w:w="2149" w:type="dxa"/>
            <w:vAlign w:val="center"/>
          </w:tcPr>
          <w:p>
            <w:pPr>
              <w:ind w:left="0" w:leftChars="0" w:right="0" w:rightChars="0"/>
              <w:jc w:val="center"/>
              <w:rPr>
                <w:rFonts w:ascii="仿宋" w:hAnsi="仿宋" w:eastAsia="仿宋" w:cs="仿宋"/>
                <w:sz w:val="24"/>
              </w:rPr>
            </w:pPr>
            <w:r>
              <w:rPr>
                <w:rFonts w:hint="eastAsia" w:ascii="仿宋" w:hAnsi="仿宋" w:eastAsia="仿宋" w:cs="仿宋"/>
                <w:color w:val="000000"/>
                <w:kern w:val="0"/>
                <w:sz w:val="24"/>
              </w:rPr>
              <w:t>实际支出金额（元）</w:t>
            </w:r>
          </w:p>
        </w:tc>
        <w:tc>
          <w:tcPr>
            <w:tcW w:w="1746"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仿宋" w:hAnsi="仿宋" w:eastAsia="仿宋" w:cs="仿宋"/>
                <w:color w:val="000000"/>
                <w:kern w:val="0"/>
                <w:sz w:val="24"/>
              </w:rPr>
              <w:t>预算执行率（%）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vAlign w:val="center"/>
          </w:tcPr>
          <w:p>
            <w:pPr>
              <w:ind w:left="0" w:leftChars="0" w:right="0" w:rightChars="0"/>
              <w:jc w:val="center"/>
              <w:rPr>
                <w:rFonts w:ascii="仿宋" w:hAnsi="仿宋" w:eastAsia="仿宋" w:cs="仿宋"/>
                <w:sz w:val="24"/>
              </w:rPr>
            </w:pPr>
            <w:r>
              <w:rPr>
                <w:rFonts w:ascii="仿宋" w:hAnsi="仿宋" w:eastAsia="仿宋" w:cs="仿宋"/>
                <w:sz w:val="24"/>
              </w:rPr>
              <w:t>1</w:t>
            </w:r>
          </w:p>
        </w:tc>
        <w:tc>
          <w:tcPr>
            <w:tcW w:w="2298"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工程费</w:t>
            </w:r>
          </w:p>
        </w:tc>
        <w:tc>
          <w:tcPr>
            <w:tcW w:w="1918" w:type="dxa"/>
            <w:vAlign w:val="center"/>
          </w:tcPr>
          <w:p>
            <w:pPr>
              <w:ind w:left="0" w:leftChars="0" w:right="0" w:rightChars="0"/>
              <w:jc w:val="center"/>
              <w:rPr>
                <w:rFonts w:ascii="仿宋" w:hAnsi="仿宋" w:eastAsia="仿宋" w:cs="仿宋"/>
                <w:sz w:val="24"/>
              </w:rPr>
            </w:pPr>
            <w:r>
              <w:rPr>
                <w:rFonts w:ascii="仿宋" w:hAnsi="仿宋" w:eastAsia="仿宋" w:cs="仿宋"/>
                <w:b w:val="0"/>
                <w:bCs w:val="0"/>
                <w:caps w:val="0"/>
                <w:sz w:val="24"/>
                <w:szCs w:val="24"/>
                <w:highlight w:val="none"/>
              </w:rPr>
              <w:t>837540</w:t>
            </w:r>
          </w:p>
        </w:tc>
        <w:tc>
          <w:tcPr>
            <w:tcW w:w="2149"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837480.05</w:t>
            </w:r>
          </w:p>
        </w:tc>
        <w:tc>
          <w:tcPr>
            <w:tcW w:w="1746" w:type="dxa"/>
            <w:vAlign w:val="center"/>
          </w:tcPr>
          <w:p>
            <w:pPr>
              <w:widowControl/>
              <w:ind w:left="0" w:leftChars="0" w:right="0" w:rightChars="0"/>
              <w:jc w:val="center"/>
              <w:textAlignment w:val="center"/>
              <w:rPr>
                <w:rFonts w:ascii="仿宋" w:hAnsi="仿宋" w:eastAsia="仿宋" w:cs="仿宋"/>
                <w:sz w:val="24"/>
              </w:rPr>
            </w:pPr>
            <w:r>
              <w:rPr>
                <w:rFonts w:ascii="仿宋" w:hAnsi="仿宋" w:eastAsia="仿宋"/>
                <w:color w:val="000000"/>
                <w:sz w:val="24"/>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vAlign w:val="center"/>
          </w:tcPr>
          <w:p>
            <w:pPr>
              <w:ind w:left="0" w:leftChars="0" w:right="0" w:rightChars="0"/>
              <w:jc w:val="center"/>
              <w:rPr>
                <w:rFonts w:ascii="仿宋" w:hAnsi="仿宋" w:eastAsia="仿宋" w:cs="仿宋"/>
                <w:sz w:val="24"/>
              </w:rPr>
            </w:pPr>
            <w:r>
              <w:rPr>
                <w:rFonts w:ascii="仿宋" w:hAnsi="仿宋" w:eastAsia="仿宋" w:cs="仿宋"/>
                <w:sz w:val="24"/>
              </w:rPr>
              <w:t>2</w:t>
            </w:r>
          </w:p>
        </w:tc>
        <w:tc>
          <w:tcPr>
            <w:tcW w:w="2298"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设计费</w:t>
            </w:r>
          </w:p>
        </w:tc>
        <w:tc>
          <w:tcPr>
            <w:tcW w:w="1918" w:type="dxa"/>
            <w:vAlign w:val="center"/>
          </w:tcPr>
          <w:p>
            <w:pPr>
              <w:ind w:left="0" w:leftChars="0" w:right="0" w:rightChars="0"/>
              <w:jc w:val="center"/>
              <w:rPr>
                <w:rFonts w:ascii="仿宋" w:hAnsi="仿宋" w:eastAsia="仿宋" w:cs="仿宋"/>
                <w:sz w:val="24"/>
              </w:rPr>
            </w:pPr>
            <w:r>
              <w:rPr>
                <w:rFonts w:ascii="仿宋" w:hAnsi="仿宋" w:eastAsia="仿宋" w:cs="仿宋"/>
                <w:sz w:val="24"/>
              </w:rPr>
              <w:t>36000</w:t>
            </w:r>
          </w:p>
        </w:tc>
        <w:tc>
          <w:tcPr>
            <w:tcW w:w="2149" w:type="dxa"/>
            <w:vAlign w:val="center"/>
          </w:tcPr>
          <w:p>
            <w:pPr>
              <w:ind w:left="0" w:leftChars="0" w:right="0" w:rightChars="0"/>
              <w:jc w:val="center"/>
              <w:rPr>
                <w:rFonts w:ascii="仿宋" w:hAnsi="仿宋" w:eastAsia="仿宋" w:cs="仿宋"/>
                <w:sz w:val="24"/>
              </w:rPr>
            </w:pPr>
            <w:r>
              <w:rPr>
                <w:rFonts w:ascii="仿宋" w:hAnsi="仿宋" w:eastAsia="仿宋" w:cs="仿宋"/>
                <w:sz w:val="24"/>
              </w:rPr>
              <w:t>36000</w:t>
            </w:r>
          </w:p>
        </w:tc>
        <w:tc>
          <w:tcPr>
            <w:tcW w:w="1746" w:type="dxa"/>
            <w:vAlign w:val="center"/>
          </w:tcPr>
          <w:p>
            <w:pPr>
              <w:widowControl/>
              <w:ind w:left="0" w:leftChars="0" w:right="0" w:rightChars="0"/>
              <w:jc w:val="center"/>
              <w:textAlignment w:val="center"/>
              <w:rPr>
                <w:rFonts w:ascii="仿宋" w:hAnsi="仿宋" w:eastAsia="仿宋" w:cs="仿宋"/>
                <w:sz w:val="24"/>
              </w:rPr>
            </w:pPr>
            <w:r>
              <w:rPr>
                <w:rFonts w:ascii="仿宋" w:hAnsi="仿宋" w:eastAsia="仿宋"/>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vAlign w:val="center"/>
          </w:tcPr>
          <w:p>
            <w:pPr>
              <w:ind w:left="0" w:leftChars="0" w:right="0" w:rightChars="0"/>
              <w:jc w:val="center"/>
              <w:rPr>
                <w:rFonts w:ascii="仿宋" w:hAnsi="仿宋" w:eastAsia="仿宋" w:cs="仿宋"/>
                <w:sz w:val="24"/>
              </w:rPr>
            </w:pPr>
            <w:r>
              <w:rPr>
                <w:rFonts w:ascii="仿宋" w:hAnsi="仿宋" w:eastAsia="仿宋" w:cs="仿宋"/>
                <w:sz w:val="24"/>
              </w:rPr>
              <w:t>3</w:t>
            </w:r>
          </w:p>
        </w:tc>
        <w:tc>
          <w:tcPr>
            <w:tcW w:w="2298"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造价费</w:t>
            </w:r>
          </w:p>
        </w:tc>
        <w:tc>
          <w:tcPr>
            <w:tcW w:w="1918" w:type="dxa"/>
            <w:vAlign w:val="center"/>
          </w:tcPr>
          <w:p>
            <w:pPr>
              <w:ind w:left="0" w:leftChars="0" w:right="0" w:rightChars="0"/>
              <w:jc w:val="center"/>
              <w:rPr>
                <w:rFonts w:ascii="仿宋" w:hAnsi="仿宋" w:eastAsia="仿宋" w:cs="仿宋"/>
                <w:sz w:val="24"/>
              </w:rPr>
            </w:pPr>
            <w:r>
              <w:rPr>
                <w:rFonts w:ascii="仿宋" w:hAnsi="仿宋" w:eastAsia="仿宋" w:cs="仿宋"/>
                <w:sz w:val="24"/>
              </w:rPr>
              <w:t>2560</w:t>
            </w:r>
          </w:p>
        </w:tc>
        <w:tc>
          <w:tcPr>
            <w:tcW w:w="2149" w:type="dxa"/>
            <w:vAlign w:val="center"/>
          </w:tcPr>
          <w:p>
            <w:pPr>
              <w:ind w:left="0" w:leftChars="0" w:right="0" w:rightChars="0"/>
              <w:jc w:val="center"/>
              <w:rPr>
                <w:rFonts w:ascii="仿宋" w:hAnsi="仿宋" w:eastAsia="仿宋" w:cs="仿宋"/>
                <w:sz w:val="24"/>
              </w:rPr>
            </w:pPr>
            <w:r>
              <w:rPr>
                <w:rFonts w:ascii="仿宋" w:hAnsi="仿宋" w:eastAsia="仿宋" w:cs="仿宋"/>
                <w:sz w:val="24"/>
              </w:rPr>
              <w:t>2560</w:t>
            </w:r>
          </w:p>
        </w:tc>
        <w:tc>
          <w:tcPr>
            <w:tcW w:w="1746" w:type="dxa"/>
            <w:vAlign w:val="center"/>
          </w:tcPr>
          <w:p>
            <w:pPr>
              <w:widowControl/>
              <w:ind w:left="0" w:leftChars="0" w:right="0" w:rightChars="0"/>
              <w:jc w:val="center"/>
              <w:textAlignment w:val="center"/>
              <w:rPr>
                <w:rFonts w:ascii="仿宋" w:hAnsi="仿宋" w:eastAsia="仿宋" w:cs="仿宋"/>
                <w:sz w:val="24"/>
              </w:rPr>
            </w:pPr>
            <w:r>
              <w:rPr>
                <w:rFonts w:ascii="仿宋" w:hAnsi="仿宋" w:eastAsia="仿宋"/>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vAlign w:val="center"/>
          </w:tcPr>
          <w:p>
            <w:pPr>
              <w:ind w:left="0" w:leftChars="0" w:right="0" w:rightChars="0"/>
              <w:jc w:val="center"/>
              <w:rPr>
                <w:rFonts w:ascii="仿宋" w:hAnsi="仿宋" w:eastAsia="仿宋" w:cs="仿宋"/>
                <w:sz w:val="24"/>
              </w:rPr>
            </w:pPr>
            <w:r>
              <w:rPr>
                <w:rFonts w:ascii="仿宋" w:hAnsi="仿宋" w:eastAsia="仿宋" w:cs="仿宋"/>
                <w:sz w:val="24"/>
              </w:rPr>
              <w:t>4</w:t>
            </w:r>
          </w:p>
        </w:tc>
        <w:tc>
          <w:tcPr>
            <w:tcW w:w="2298"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监理费</w:t>
            </w:r>
          </w:p>
        </w:tc>
        <w:tc>
          <w:tcPr>
            <w:tcW w:w="1918" w:type="dxa"/>
            <w:vAlign w:val="center"/>
          </w:tcPr>
          <w:p>
            <w:pPr>
              <w:ind w:left="0" w:leftChars="0" w:right="0" w:rightChars="0"/>
              <w:jc w:val="center"/>
              <w:rPr>
                <w:rFonts w:ascii="仿宋" w:hAnsi="仿宋" w:eastAsia="仿宋" w:cs="仿宋"/>
                <w:sz w:val="24"/>
              </w:rPr>
            </w:pPr>
            <w:r>
              <w:rPr>
                <w:rFonts w:ascii="仿宋" w:hAnsi="仿宋" w:eastAsia="仿宋" w:cs="仿宋"/>
                <w:sz w:val="24"/>
              </w:rPr>
              <w:t>18000</w:t>
            </w:r>
          </w:p>
        </w:tc>
        <w:tc>
          <w:tcPr>
            <w:tcW w:w="2149" w:type="dxa"/>
            <w:vAlign w:val="center"/>
          </w:tcPr>
          <w:p>
            <w:pPr>
              <w:ind w:left="0" w:leftChars="0" w:right="0" w:rightChars="0"/>
              <w:jc w:val="center"/>
              <w:rPr>
                <w:rFonts w:ascii="仿宋" w:hAnsi="仿宋" w:eastAsia="仿宋" w:cs="仿宋"/>
                <w:sz w:val="24"/>
              </w:rPr>
            </w:pPr>
            <w:r>
              <w:rPr>
                <w:rFonts w:ascii="仿宋" w:hAnsi="仿宋" w:eastAsia="仿宋" w:cs="仿宋"/>
                <w:sz w:val="24"/>
              </w:rPr>
              <w:t>18000</w:t>
            </w:r>
          </w:p>
        </w:tc>
        <w:tc>
          <w:tcPr>
            <w:tcW w:w="1746" w:type="dxa"/>
            <w:vAlign w:val="center"/>
          </w:tcPr>
          <w:p>
            <w:pPr>
              <w:widowControl/>
              <w:ind w:left="0" w:leftChars="0" w:right="0" w:rightChars="0"/>
              <w:jc w:val="center"/>
              <w:textAlignment w:val="center"/>
              <w:rPr>
                <w:rFonts w:ascii="仿宋" w:hAnsi="仿宋" w:eastAsia="仿宋" w:cs="仿宋"/>
                <w:sz w:val="24"/>
              </w:rPr>
            </w:pPr>
            <w:r>
              <w:rPr>
                <w:rFonts w:ascii="仿宋" w:hAnsi="仿宋" w:eastAsia="仿宋"/>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vAlign w:val="center"/>
          </w:tcPr>
          <w:p>
            <w:pPr>
              <w:ind w:left="0" w:leftChars="0" w:right="0" w:rightChars="0"/>
              <w:jc w:val="center"/>
              <w:rPr>
                <w:rFonts w:ascii="仿宋" w:hAnsi="仿宋" w:eastAsia="仿宋" w:cs="仿宋"/>
                <w:sz w:val="24"/>
              </w:rPr>
            </w:pPr>
            <w:r>
              <w:rPr>
                <w:rFonts w:ascii="仿宋" w:hAnsi="仿宋" w:eastAsia="仿宋" w:cs="仿宋"/>
                <w:sz w:val="24"/>
              </w:rPr>
              <w:t>5</w:t>
            </w:r>
          </w:p>
        </w:tc>
        <w:tc>
          <w:tcPr>
            <w:tcW w:w="2298"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结算审核费</w:t>
            </w:r>
          </w:p>
        </w:tc>
        <w:tc>
          <w:tcPr>
            <w:tcW w:w="1918" w:type="dxa"/>
            <w:vAlign w:val="center"/>
          </w:tcPr>
          <w:p>
            <w:pPr>
              <w:ind w:left="0" w:leftChars="0" w:right="0" w:rightChars="0"/>
              <w:jc w:val="center"/>
              <w:rPr>
                <w:rFonts w:ascii="仿宋" w:hAnsi="仿宋" w:eastAsia="仿宋" w:cs="仿宋"/>
                <w:sz w:val="24"/>
              </w:rPr>
            </w:pPr>
            <w:r>
              <w:rPr>
                <w:rFonts w:ascii="仿宋" w:hAnsi="仿宋" w:eastAsia="仿宋" w:cs="仿宋"/>
                <w:sz w:val="24"/>
              </w:rPr>
              <w:t>2600</w:t>
            </w:r>
          </w:p>
        </w:tc>
        <w:tc>
          <w:tcPr>
            <w:tcW w:w="2149" w:type="dxa"/>
            <w:vAlign w:val="center"/>
          </w:tcPr>
          <w:p>
            <w:pPr>
              <w:ind w:left="0" w:leftChars="0" w:right="0" w:rightChars="0"/>
              <w:jc w:val="center"/>
              <w:rPr>
                <w:rFonts w:ascii="仿宋" w:hAnsi="仿宋" w:eastAsia="仿宋" w:cs="仿宋"/>
                <w:sz w:val="24"/>
              </w:rPr>
            </w:pPr>
            <w:r>
              <w:rPr>
                <w:rFonts w:ascii="仿宋" w:hAnsi="仿宋" w:eastAsia="仿宋" w:cs="仿宋"/>
                <w:sz w:val="24"/>
              </w:rPr>
              <w:t>2600</w:t>
            </w:r>
          </w:p>
        </w:tc>
        <w:tc>
          <w:tcPr>
            <w:tcW w:w="1746" w:type="dxa"/>
            <w:vAlign w:val="center"/>
          </w:tcPr>
          <w:p>
            <w:pPr>
              <w:widowControl/>
              <w:ind w:left="0" w:leftChars="0" w:right="0" w:rightChars="0"/>
              <w:jc w:val="center"/>
              <w:textAlignment w:val="center"/>
              <w:rPr>
                <w:rFonts w:ascii="仿宋" w:hAnsi="仿宋" w:eastAsia="仿宋" w:cs="仿宋"/>
                <w:sz w:val="24"/>
              </w:rPr>
            </w:pPr>
            <w:r>
              <w:rPr>
                <w:rFonts w:ascii="仿宋" w:hAnsi="仿宋" w:eastAsia="仿宋"/>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vAlign w:val="center"/>
          </w:tcPr>
          <w:p>
            <w:pPr>
              <w:ind w:left="0" w:leftChars="0" w:right="0" w:rightChars="0"/>
              <w:jc w:val="center"/>
              <w:rPr>
                <w:rFonts w:ascii="仿宋" w:hAnsi="仿宋" w:eastAsia="仿宋" w:cs="仿宋"/>
                <w:sz w:val="24"/>
              </w:rPr>
            </w:pPr>
            <w:r>
              <w:rPr>
                <w:rFonts w:ascii="仿宋" w:hAnsi="仿宋" w:eastAsia="仿宋" w:cs="仿宋"/>
                <w:sz w:val="24"/>
              </w:rPr>
              <w:t>6</w:t>
            </w:r>
          </w:p>
        </w:tc>
        <w:tc>
          <w:tcPr>
            <w:tcW w:w="2298"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工程变更增加费用</w:t>
            </w:r>
          </w:p>
        </w:tc>
        <w:tc>
          <w:tcPr>
            <w:tcW w:w="1918" w:type="dxa"/>
            <w:vAlign w:val="center"/>
          </w:tcPr>
          <w:p>
            <w:pPr>
              <w:ind w:left="0" w:leftChars="0" w:right="0" w:rightChars="0"/>
              <w:jc w:val="center"/>
              <w:rPr>
                <w:rFonts w:ascii="仿宋" w:hAnsi="仿宋" w:eastAsia="仿宋" w:cs="仿宋"/>
                <w:sz w:val="24"/>
              </w:rPr>
            </w:pPr>
            <w:r>
              <w:rPr>
                <w:rFonts w:ascii="仿宋" w:hAnsi="仿宋" w:eastAsia="仿宋" w:cs="仿宋"/>
                <w:sz w:val="24"/>
              </w:rPr>
              <w:t>57700</w:t>
            </w:r>
          </w:p>
        </w:tc>
        <w:tc>
          <w:tcPr>
            <w:tcW w:w="2149" w:type="dxa"/>
            <w:vAlign w:val="center"/>
          </w:tcPr>
          <w:p>
            <w:pPr>
              <w:ind w:left="0" w:leftChars="0" w:right="0" w:rightChars="0"/>
              <w:jc w:val="center"/>
              <w:rPr>
                <w:rFonts w:ascii="仿宋" w:hAnsi="仿宋" w:eastAsia="仿宋" w:cs="仿宋"/>
                <w:sz w:val="24"/>
              </w:rPr>
            </w:pPr>
            <w:r>
              <w:rPr>
                <w:rFonts w:ascii="仿宋" w:hAnsi="仿宋" w:eastAsia="仿宋" w:cs="仿宋"/>
                <w:sz w:val="24"/>
              </w:rPr>
              <w:t>57700</w:t>
            </w:r>
          </w:p>
        </w:tc>
        <w:tc>
          <w:tcPr>
            <w:tcW w:w="1746" w:type="dxa"/>
            <w:vAlign w:val="center"/>
          </w:tcPr>
          <w:p>
            <w:pPr>
              <w:widowControl/>
              <w:ind w:left="0" w:leftChars="0" w:right="0" w:rightChars="0"/>
              <w:jc w:val="center"/>
              <w:textAlignment w:val="center"/>
              <w:rPr>
                <w:rFonts w:ascii="仿宋" w:hAnsi="仿宋" w:eastAsia="仿宋"/>
                <w:color w:val="000000"/>
                <w:sz w:val="24"/>
              </w:rPr>
            </w:pPr>
            <w:r>
              <w:rPr>
                <w:rFonts w:ascii="仿宋" w:hAnsi="仿宋" w:eastAsia="仿宋"/>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2" w:type="dxa"/>
            <w:gridSpan w:val="2"/>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合计</w:t>
            </w:r>
          </w:p>
        </w:tc>
        <w:tc>
          <w:tcPr>
            <w:tcW w:w="1918" w:type="dxa"/>
            <w:vAlign w:val="center"/>
          </w:tcPr>
          <w:p>
            <w:pPr>
              <w:ind w:left="-125" w:leftChars="-39" w:right="-154" w:rightChars="-48"/>
              <w:jc w:val="center"/>
              <w:rPr>
                <w:rFonts w:ascii="仿宋" w:hAnsi="仿宋" w:eastAsia="仿宋" w:cs="宋体"/>
                <w:color w:val="000000"/>
                <w:sz w:val="24"/>
              </w:rPr>
            </w:pPr>
            <w:r>
              <w:rPr>
                <w:rFonts w:ascii="仿宋" w:hAnsi="仿宋" w:eastAsia="仿宋"/>
                <w:color w:val="000000"/>
                <w:sz w:val="24"/>
              </w:rPr>
              <w:t>954400</w:t>
            </w:r>
          </w:p>
        </w:tc>
        <w:tc>
          <w:tcPr>
            <w:tcW w:w="2149" w:type="dxa"/>
            <w:vAlign w:val="center"/>
          </w:tcPr>
          <w:p>
            <w:pPr>
              <w:ind w:left="-125" w:leftChars="-39" w:right="-154" w:rightChars="-48"/>
              <w:jc w:val="center"/>
              <w:rPr>
                <w:rFonts w:ascii="仿宋" w:hAnsi="仿宋" w:eastAsia="仿宋"/>
                <w:color w:val="000000"/>
                <w:sz w:val="24"/>
              </w:rPr>
            </w:pPr>
            <w:r>
              <w:rPr>
                <w:rFonts w:hint="eastAsia" w:ascii="仿宋" w:hAnsi="仿宋" w:eastAsia="仿宋"/>
                <w:color w:val="000000"/>
                <w:sz w:val="24"/>
              </w:rPr>
              <w:t>954340.05</w:t>
            </w:r>
          </w:p>
        </w:tc>
        <w:tc>
          <w:tcPr>
            <w:tcW w:w="1746" w:type="dxa"/>
            <w:vAlign w:val="center"/>
          </w:tcPr>
          <w:p>
            <w:pPr>
              <w:ind w:left="-125" w:leftChars="-39" w:right="-154" w:rightChars="-48"/>
              <w:jc w:val="center"/>
              <w:rPr>
                <w:rFonts w:ascii="仿宋" w:hAnsi="仿宋" w:eastAsia="仿宋"/>
                <w:color w:val="000000"/>
                <w:sz w:val="24"/>
              </w:rPr>
            </w:pPr>
            <w:r>
              <w:rPr>
                <w:rFonts w:ascii="仿宋" w:hAnsi="仿宋" w:eastAsia="仿宋"/>
                <w:color w:val="000000"/>
                <w:sz w:val="24"/>
              </w:rPr>
              <w:t>99.99%</w:t>
            </w:r>
          </w:p>
        </w:tc>
      </w:tr>
    </w:tbl>
    <w:p>
      <w:pPr>
        <w:pStyle w:val="2"/>
        <w:ind w:firstLine="560"/>
        <w:rPr>
          <w:rFonts w:cs="Times New Roman"/>
        </w:rPr>
      </w:pPr>
      <w:r>
        <w:rPr>
          <w:rFonts w:cs="Times New Roman"/>
        </w:rPr>
        <w:t>根据</w:t>
      </w:r>
      <w:r>
        <w:rPr>
          <w:rFonts w:hint="eastAsia" w:cs="Times New Roman"/>
        </w:rPr>
        <w:t>漯河经济技术开发区城市管理执法大队</w:t>
      </w:r>
      <w:r>
        <w:rPr>
          <w:rFonts w:cs="Times New Roman"/>
        </w:rPr>
        <w:t>提供的相关资料，经核算，</w:t>
      </w:r>
      <w:r>
        <w:rPr>
          <w:rFonts w:hint="eastAsia" w:ascii="Times New Roman" w:hAnsi="Times New Roman" w:eastAsia="仿宋" w:cs="Times New Roman"/>
          <w:b w:val="0"/>
          <w:bCs w:val="0"/>
          <w:caps w:val="0"/>
          <w:sz w:val="28"/>
          <w:szCs w:val="21"/>
        </w:rPr>
        <w:t>门头改造工程费用年初预算数</w:t>
      </w:r>
      <w:r>
        <w:rPr>
          <w:rFonts w:hint="eastAsia" w:cs="Times New Roman"/>
        </w:rPr>
        <w:t>954400</w:t>
      </w:r>
      <w:r>
        <w:rPr>
          <w:rFonts w:hint="eastAsia" w:ascii="Times New Roman" w:hAnsi="Times New Roman" w:eastAsia="仿宋" w:cs="Times New Roman"/>
          <w:b w:val="0"/>
          <w:bCs w:val="0"/>
          <w:caps w:val="0"/>
          <w:sz w:val="28"/>
          <w:szCs w:val="21"/>
          <w:highlight w:val="none"/>
        </w:rPr>
        <w:t>元，</w:t>
      </w:r>
      <w:r>
        <w:rPr>
          <w:rFonts w:hint="eastAsia" w:cs="Times New Roman"/>
        </w:rPr>
        <w:t>全年预算数954400元，实际执行</w:t>
      </w:r>
      <w:r>
        <w:rPr>
          <w:rFonts w:cs="Times New Roman"/>
        </w:rPr>
        <w:t>954340.05元</w:t>
      </w:r>
      <w:r>
        <w:rPr>
          <w:rFonts w:hint="eastAsia" w:cs="Times New Roman"/>
        </w:rPr>
        <w:t>，预算执行率99.99%</w:t>
      </w:r>
      <w:r>
        <w:rPr>
          <w:rFonts w:cs="Times New Roman"/>
        </w:rPr>
        <w:t>。全部工作均在项目实施计划时间内开展，并严格遵守相关规定进行。</w:t>
      </w:r>
      <w:bookmarkStart w:id="17" w:name="_Toc67315572"/>
    </w:p>
    <w:p>
      <w:pPr>
        <w:pStyle w:val="4"/>
        <w:ind w:firstLine="602"/>
        <w:rPr>
          <w:rFonts w:cs="Times New Roman"/>
        </w:rPr>
      </w:pPr>
      <w:bookmarkStart w:id="18" w:name="_Toc26060"/>
      <w:bookmarkStart w:id="19" w:name="_Toc28997"/>
      <w:r>
        <w:rPr>
          <w:rFonts w:cs="Times New Roman"/>
        </w:rPr>
        <w:t>（二）项目绩效目标</w:t>
      </w:r>
      <w:bookmarkEnd w:id="17"/>
      <w:bookmarkEnd w:id="18"/>
      <w:bookmarkEnd w:id="19"/>
    </w:p>
    <w:p>
      <w:pPr>
        <w:pStyle w:val="5"/>
        <w:ind w:firstLine="562"/>
        <w:rPr>
          <w:rFonts w:cs="Times New Roman"/>
        </w:rPr>
      </w:pPr>
      <w:bookmarkStart w:id="20" w:name="_Toc31817"/>
      <w:bookmarkStart w:id="21" w:name="_Toc31781"/>
      <w:r>
        <w:rPr>
          <w:rFonts w:cs="Times New Roman"/>
        </w:rPr>
        <w:t>1.总体目标</w:t>
      </w:r>
      <w:bookmarkEnd w:id="20"/>
      <w:bookmarkEnd w:id="21"/>
    </w:p>
    <w:p>
      <w:pPr>
        <w:pStyle w:val="2"/>
        <w:ind w:firstLine="560"/>
        <w:rPr>
          <w:rFonts w:cs="Times New Roman"/>
        </w:rPr>
      </w:pPr>
      <w:r>
        <w:rPr>
          <w:rFonts w:hint="eastAsia" w:cs="Times New Roman"/>
        </w:rPr>
        <w:t>对解放路南段及湘江路小学周边门头进行改造，项目年初预算数</w:t>
      </w:r>
      <w:r>
        <w:rPr>
          <w:rFonts w:ascii="Times New Roman" w:hAnsi="Times New Roman" w:eastAsia="仿宋" w:cs="Times New Roman"/>
          <w:b w:val="0"/>
          <w:bCs w:val="0"/>
          <w:caps w:val="0"/>
          <w:color w:val="auto"/>
          <w:sz w:val="28"/>
          <w:szCs w:val="21"/>
        </w:rPr>
        <w:t>954400</w:t>
      </w:r>
      <w:r>
        <w:rPr>
          <w:rFonts w:hint="eastAsia" w:ascii="Times New Roman" w:hAnsi="Times New Roman" w:eastAsia="仿宋" w:cs="Times New Roman"/>
          <w:b w:val="0"/>
          <w:bCs w:val="0"/>
          <w:caps w:val="0"/>
          <w:color w:val="auto"/>
          <w:sz w:val="28"/>
          <w:szCs w:val="21"/>
        </w:rPr>
        <w:t>元</w:t>
      </w:r>
      <w:r>
        <w:rPr>
          <w:rFonts w:hint="eastAsia" w:cs="Times New Roman"/>
        </w:rPr>
        <w:t>。</w:t>
      </w:r>
    </w:p>
    <w:p>
      <w:pPr>
        <w:pStyle w:val="5"/>
        <w:ind w:firstLine="562"/>
        <w:rPr>
          <w:rFonts w:cs="Times New Roman"/>
        </w:rPr>
      </w:pPr>
      <w:bookmarkStart w:id="22" w:name="_Toc17384"/>
      <w:bookmarkStart w:id="23" w:name="_Toc22721"/>
      <w:r>
        <w:rPr>
          <w:rFonts w:cs="Times New Roman"/>
        </w:rPr>
        <w:t>2.阶段性目标</w:t>
      </w:r>
      <w:bookmarkEnd w:id="22"/>
      <w:bookmarkEnd w:id="23"/>
    </w:p>
    <w:p>
      <w:pPr>
        <w:pStyle w:val="2"/>
        <w:ind w:firstLine="560"/>
        <w:rPr>
          <w:rFonts w:cs="Times New Roman"/>
        </w:rPr>
      </w:pPr>
      <w:r>
        <w:rPr>
          <w:rFonts w:hint="eastAsia" w:cs="Times New Roman"/>
        </w:rPr>
        <w:t>该项目未制定阶段性目标。</w:t>
      </w:r>
    </w:p>
    <w:p>
      <w:pPr>
        <w:pStyle w:val="2"/>
        <w:ind w:firstLine="560"/>
        <w:rPr>
          <w:rFonts w:cs="Times New Roman"/>
        </w:rPr>
      </w:pPr>
      <w:r>
        <w:rPr>
          <w:rFonts w:hint="eastAsia" w:cs="Times New Roman"/>
        </w:rPr>
        <w:t>建议：因项目施工时间较短，阶段性目标可根据项目具体内容，设置为量化目标：</w:t>
      </w:r>
      <w:r>
        <w:rPr>
          <w:rFonts w:cs="Times New Roman"/>
        </w:rPr>
        <w:t>原门头龙骨及饰面拆除</w:t>
      </w:r>
      <w:r>
        <w:rPr>
          <w:rFonts w:hint="eastAsia" w:cs="Times New Roman"/>
        </w:rPr>
        <w:t>1900m</w:t>
      </w:r>
      <w:r>
        <w:rPr>
          <w:rFonts w:hint="eastAsia" w:cs="Times New Roman"/>
          <w:vertAlign w:val="superscript"/>
        </w:rPr>
        <w:t>2</w:t>
      </w:r>
      <w:r>
        <w:rPr>
          <w:rFonts w:hint="eastAsia" w:cs="Times New Roman"/>
        </w:rPr>
        <w:t>、</w:t>
      </w:r>
      <w:r>
        <w:rPr>
          <w:rFonts w:cs="Times New Roman"/>
        </w:rPr>
        <w:t>门头装饰板</w:t>
      </w:r>
      <w:r>
        <w:rPr>
          <w:rFonts w:hint="eastAsia" w:cs="Times New Roman"/>
        </w:rPr>
        <w:t>1802.24 m</w:t>
      </w:r>
      <w:r>
        <w:rPr>
          <w:rFonts w:hint="eastAsia" w:cs="Times New Roman"/>
          <w:vertAlign w:val="superscript"/>
        </w:rPr>
        <w:t>2</w:t>
      </w:r>
      <w:r>
        <w:rPr>
          <w:rFonts w:hint="eastAsia" w:cs="Times New Roman"/>
        </w:rPr>
        <w:t>、门头下龙骨27.06t、彩钢瓦保护层309.76 m</w:t>
      </w:r>
      <w:r>
        <w:rPr>
          <w:rFonts w:hint="eastAsia" w:cs="Times New Roman"/>
          <w:vertAlign w:val="superscript"/>
        </w:rPr>
        <w:t>2</w:t>
      </w:r>
      <w:r>
        <w:rPr>
          <w:rFonts w:hint="eastAsia" w:cs="Times New Roman"/>
        </w:rPr>
        <w:t>、PVC门头字（铝塑板）478个，PVC门头字（钛金字）5个。</w:t>
      </w:r>
    </w:p>
    <w:p>
      <w:pPr>
        <w:pStyle w:val="2"/>
        <w:ind w:firstLine="560"/>
        <w:rPr>
          <w:rFonts w:cs="Times New Roman"/>
        </w:rPr>
      </w:pPr>
      <w:r>
        <w:rPr>
          <w:rFonts w:cs="Times New Roman"/>
        </w:rPr>
        <w:t>项目绩效目标详见附件1。</w:t>
      </w:r>
      <w:bookmarkStart w:id="24" w:name="_Toc14569"/>
      <w:bookmarkStart w:id="25" w:name="_Toc67315573"/>
    </w:p>
    <w:p>
      <w:pPr>
        <w:pStyle w:val="3"/>
      </w:pPr>
      <w:bookmarkStart w:id="26" w:name="_Toc28475"/>
      <w:r>
        <w:t>二、绩效评价工作开展情况</w:t>
      </w:r>
      <w:bookmarkEnd w:id="24"/>
      <w:bookmarkEnd w:id="25"/>
      <w:bookmarkEnd w:id="26"/>
    </w:p>
    <w:p>
      <w:pPr>
        <w:pStyle w:val="4"/>
        <w:ind w:firstLine="602"/>
        <w:rPr>
          <w:rFonts w:cs="Times New Roman"/>
        </w:rPr>
      </w:pPr>
      <w:bookmarkStart w:id="27" w:name="_Toc17687"/>
      <w:bookmarkStart w:id="28" w:name="_Toc9404"/>
      <w:bookmarkStart w:id="29" w:name="_Toc67315574"/>
      <w:r>
        <w:rPr>
          <w:rFonts w:cs="Times New Roman"/>
        </w:rPr>
        <w:t>（一）绩效评价目的、对象和范围</w:t>
      </w:r>
      <w:bookmarkEnd w:id="27"/>
      <w:bookmarkEnd w:id="28"/>
      <w:bookmarkEnd w:id="29"/>
    </w:p>
    <w:p>
      <w:pPr>
        <w:pStyle w:val="5"/>
        <w:ind w:firstLine="562"/>
        <w:rPr>
          <w:rFonts w:cs="Times New Roman"/>
        </w:rPr>
      </w:pPr>
      <w:bookmarkStart w:id="30" w:name="_Toc12716"/>
      <w:bookmarkStart w:id="31" w:name="_Toc67315575"/>
      <w:bookmarkStart w:id="32" w:name="_Toc24795"/>
      <w:r>
        <w:rPr>
          <w:rFonts w:cs="Times New Roman"/>
        </w:rPr>
        <w:t>1.绩效评价目的</w:t>
      </w:r>
      <w:bookmarkEnd w:id="30"/>
      <w:bookmarkEnd w:id="31"/>
      <w:bookmarkEnd w:id="32"/>
    </w:p>
    <w:p>
      <w:pPr>
        <w:pStyle w:val="2"/>
        <w:ind w:firstLine="560"/>
        <w:rPr>
          <w:rFonts w:cs="Times New Roman"/>
        </w:rPr>
      </w:pPr>
      <w:r>
        <w:rPr>
          <w:rFonts w:cs="Times New Roman"/>
        </w:rPr>
        <w:t>开展</w:t>
      </w:r>
      <w:r>
        <w:rPr>
          <w:rFonts w:hint="eastAsia" w:cs="Times New Roman"/>
        </w:rPr>
        <w:t>门头改造工程</w:t>
      </w:r>
      <w:r>
        <w:rPr>
          <w:rFonts w:cs="Times New Roman"/>
        </w:rPr>
        <w:t>项目的绩效评价，了解项目的立项情况和执行情况，分析项目绩效目标的实现情况和项目社会经济效益、环境影响、可持续影响等情况，有助于预算单位明确绩效目标；通过发现问题，总结经验，提出改进意见和建议，为加强财政资金管理，规范财政支出行为，提高财政资金的使用效益和项目管理水平，更合理安排</w:t>
      </w:r>
      <w:r>
        <w:rPr>
          <w:rFonts w:hint="eastAsia" w:cs="Times New Roman"/>
        </w:rPr>
        <w:t>门头改造工程</w:t>
      </w:r>
      <w:r>
        <w:rPr>
          <w:rFonts w:cs="Times New Roman"/>
        </w:rPr>
        <w:t>资金提供决策参考依据，也为管理部门对今后年度工作的计划安排、资金下拨及使用和工作的开展，提供一定的借鉴意义。</w:t>
      </w:r>
    </w:p>
    <w:p>
      <w:pPr>
        <w:pStyle w:val="5"/>
        <w:ind w:firstLine="562"/>
        <w:rPr>
          <w:rFonts w:cs="Times New Roman"/>
        </w:rPr>
      </w:pPr>
      <w:bookmarkStart w:id="33" w:name="_Toc18127"/>
      <w:bookmarkStart w:id="34" w:name="_Toc67315576"/>
      <w:bookmarkStart w:id="35" w:name="_Toc14842"/>
      <w:r>
        <w:rPr>
          <w:rFonts w:cs="Times New Roman"/>
        </w:rPr>
        <w:t>2.绩效评价对象</w:t>
      </w:r>
      <w:bookmarkEnd w:id="33"/>
      <w:bookmarkEnd w:id="34"/>
      <w:bookmarkEnd w:id="35"/>
    </w:p>
    <w:p>
      <w:pPr>
        <w:pStyle w:val="2"/>
        <w:ind w:firstLine="560"/>
        <w:rPr>
          <w:rFonts w:cs="Times New Roman"/>
        </w:rPr>
      </w:pPr>
      <w:r>
        <w:rPr>
          <w:rFonts w:cs="Times New Roman"/>
        </w:rPr>
        <w:t>202</w:t>
      </w:r>
      <w:r>
        <w:rPr>
          <w:rFonts w:hint="eastAsia" w:cs="Times New Roman"/>
        </w:rPr>
        <w:t>1</w:t>
      </w:r>
      <w:r>
        <w:rPr>
          <w:rFonts w:cs="Times New Roman"/>
        </w:rPr>
        <w:t>年</w:t>
      </w:r>
      <w:r>
        <w:rPr>
          <w:rFonts w:hint="eastAsia" w:cs="Times New Roman"/>
        </w:rPr>
        <w:t>漯河经济技术开发区城市管理执法大队门头改造工程</w:t>
      </w:r>
      <w:r>
        <w:rPr>
          <w:rFonts w:cs="Times New Roman"/>
        </w:rPr>
        <w:t>。</w:t>
      </w:r>
    </w:p>
    <w:p>
      <w:pPr>
        <w:pStyle w:val="5"/>
        <w:ind w:firstLine="562"/>
        <w:rPr>
          <w:rFonts w:cs="Times New Roman"/>
        </w:rPr>
      </w:pPr>
      <w:bookmarkStart w:id="36" w:name="_Toc23557"/>
      <w:bookmarkStart w:id="37" w:name="_Toc3069"/>
      <w:r>
        <w:rPr>
          <w:rFonts w:cs="Times New Roman"/>
        </w:rPr>
        <w:t>3.绩效评价范围</w:t>
      </w:r>
      <w:bookmarkEnd w:id="36"/>
      <w:bookmarkEnd w:id="37"/>
    </w:p>
    <w:p>
      <w:pPr>
        <w:pStyle w:val="2"/>
        <w:ind w:firstLine="560"/>
        <w:rPr>
          <w:rFonts w:cs="Times New Roman"/>
        </w:rPr>
      </w:pPr>
      <w:r>
        <w:rPr>
          <w:rFonts w:cs="Times New Roman"/>
        </w:rPr>
        <w:t>202</w:t>
      </w:r>
      <w:r>
        <w:rPr>
          <w:rFonts w:hint="eastAsia" w:cs="Times New Roman"/>
        </w:rPr>
        <w:t>1</w:t>
      </w:r>
      <w:r>
        <w:rPr>
          <w:rFonts w:cs="Times New Roman"/>
        </w:rPr>
        <w:t>年</w:t>
      </w:r>
      <w:r>
        <w:rPr>
          <w:rFonts w:hint="eastAsia" w:cs="Times New Roman"/>
        </w:rPr>
        <w:t>漯河经济技术开发区城市管理执法大队门头改造工程</w:t>
      </w:r>
      <w:r>
        <w:rPr>
          <w:rFonts w:cs="Times New Roman"/>
        </w:rPr>
        <w:t>绩效目标的设定情况，资金投入和使用情况，为实现绩效目标制定的制度、采取的措施，绩效目标的实现程度及效果，影响目标实现的因素，绩效评价的其他内容。</w:t>
      </w:r>
      <w:bookmarkStart w:id="38" w:name="_Toc67315577"/>
      <w:bookmarkStart w:id="39" w:name="_Toc17760"/>
    </w:p>
    <w:p>
      <w:pPr>
        <w:pStyle w:val="4"/>
        <w:ind w:firstLine="602"/>
        <w:rPr>
          <w:rFonts w:cs="Times New Roman"/>
        </w:rPr>
      </w:pPr>
      <w:bookmarkStart w:id="40" w:name="_Toc5529"/>
      <w:r>
        <w:t>（二）绩效评价原则、评价指标体系、评价方法及评价依据</w:t>
      </w:r>
      <w:bookmarkEnd w:id="38"/>
      <w:bookmarkEnd w:id="39"/>
      <w:bookmarkEnd w:id="40"/>
    </w:p>
    <w:p>
      <w:pPr>
        <w:pStyle w:val="5"/>
        <w:ind w:firstLine="562"/>
        <w:rPr>
          <w:rFonts w:cs="Times New Roman"/>
        </w:rPr>
      </w:pPr>
      <w:bookmarkStart w:id="41" w:name="_Toc31326"/>
      <w:bookmarkStart w:id="42" w:name="_Toc20977"/>
      <w:bookmarkStart w:id="43" w:name="_Toc67315578"/>
      <w:r>
        <w:rPr>
          <w:rFonts w:cs="Times New Roman"/>
        </w:rPr>
        <w:t>1. 绩效评价原则</w:t>
      </w:r>
      <w:bookmarkEnd w:id="41"/>
      <w:bookmarkEnd w:id="42"/>
      <w:bookmarkEnd w:id="43"/>
    </w:p>
    <w:p>
      <w:pPr>
        <w:pStyle w:val="2"/>
        <w:ind w:firstLine="560"/>
        <w:rPr>
          <w:rFonts w:cs="Times New Roman"/>
        </w:rPr>
      </w:pPr>
      <w:r>
        <w:rPr>
          <w:rFonts w:cs="Times New Roman"/>
        </w:rPr>
        <w:t>在本次绩效评价过程中，遵循以下基本原则：</w:t>
      </w:r>
    </w:p>
    <w:p>
      <w:pPr>
        <w:pStyle w:val="2"/>
        <w:ind w:firstLine="560"/>
        <w:rPr>
          <w:rFonts w:cs="Times New Roman"/>
        </w:rPr>
      </w:pPr>
      <w:r>
        <w:rPr>
          <w:rFonts w:cs="Times New Roman"/>
        </w:rPr>
        <w:t>（1）科学规范。绩效评价注重财政支出的经济性、效益性和有效性，严格执行规定的程序，采用定量和定性分析相结合的方法。</w:t>
      </w:r>
    </w:p>
    <w:p>
      <w:pPr>
        <w:pStyle w:val="2"/>
        <w:ind w:firstLine="560"/>
        <w:rPr>
          <w:rFonts w:cs="Times New Roman"/>
        </w:rPr>
      </w:pPr>
      <w:r>
        <w:rPr>
          <w:rFonts w:cs="Times New Roman"/>
        </w:rPr>
        <w:t>（2）公正公开。绩效评价客观、公正，标准统一、资料可靠，依法公开并接受监督。</w:t>
      </w:r>
    </w:p>
    <w:p>
      <w:pPr>
        <w:pStyle w:val="2"/>
        <w:ind w:firstLine="560"/>
        <w:rPr>
          <w:rFonts w:cs="Times New Roman"/>
        </w:rPr>
      </w:pPr>
      <w:r>
        <w:rPr>
          <w:rFonts w:cs="Times New Roman"/>
        </w:rPr>
        <w:t>（3）绩效相关。绩效评价针对具体支出及其产出绩效进行，评价结果清晰反映支出和产出绩效之间的紧密对应关系。</w:t>
      </w:r>
    </w:p>
    <w:p>
      <w:pPr>
        <w:pStyle w:val="5"/>
        <w:ind w:firstLine="562"/>
        <w:rPr>
          <w:rFonts w:cs="Times New Roman"/>
        </w:rPr>
      </w:pPr>
      <w:bookmarkStart w:id="44" w:name="_Toc18719"/>
      <w:bookmarkStart w:id="45" w:name="_Toc67315579"/>
      <w:bookmarkStart w:id="46" w:name="_Toc1061"/>
      <w:r>
        <w:rPr>
          <w:rFonts w:cs="Times New Roman"/>
        </w:rPr>
        <w:t>2.评价指标体系</w:t>
      </w:r>
      <w:bookmarkEnd w:id="44"/>
      <w:bookmarkEnd w:id="45"/>
      <w:bookmarkEnd w:id="46"/>
    </w:p>
    <w:p>
      <w:pPr>
        <w:pStyle w:val="2"/>
        <w:ind w:firstLine="560"/>
        <w:rPr>
          <w:rFonts w:cs="Times New Roman"/>
        </w:rPr>
      </w:pPr>
      <w:r>
        <w:rPr>
          <w:rFonts w:cs="Times New Roman"/>
        </w:rPr>
        <w:t>根据《中共漯河市委 漯河市人民政府关于全面实施预算绩效管理的实施意见》（漯发〔2020〕4号</w:t>
      </w:r>
      <w:r>
        <w:rPr>
          <w:rFonts w:hint="eastAsia" w:cs="Times New Roman"/>
        </w:rPr>
        <w:t>）</w:t>
      </w:r>
      <w:r>
        <w:rPr>
          <w:rFonts w:cs="Times New Roman"/>
        </w:rPr>
        <w:t>等相关文件规定，为了客观反映</w:t>
      </w:r>
      <w:r>
        <w:rPr>
          <w:rFonts w:hint="eastAsia" w:cs="Times New Roman"/>
        </w:rPr>
        <w:t>漯河经济技术开发区城市管理执法大队</w:t>
      </w:r>
      <w:r>
        <w:rPr>
          <w:rFonts w:cs="Times New Roman"/>
        </w:rPr>
        <w:t>“</w:t>
      </w:r>
      <w:r>
        <w:rPr>
          <w:rFonts w:hint="eastAsia" w:cs="Times New Roman"/>
        </w:rPr>
        <w:t>门头改造工程</w:t>
      </w:r>
      <w:r>
        <w:rPr>
          <w:rFonts w:cs="Times New Roman"/>
        </w:rPr>
        <w:t>”专项资金支出绩效的情况，本次绩效评价指标体系由决策（权重15）、过程（权重25）、产出（权重30）、效益（权重30）四大类一级指标，项目立项、绩效目标、资金安排、业务管理、预算管理、产出数量、产出时效、产出质量、产出成本、社会效益、生态效益、可持续影响、社会公众满意度1</w:t>
      </w:r>
      <w:r>
        <w:rPr>
          <w:rFonts w:hint="eastAsia" w:cs="Times New Roman"/>
        </w:rPr>
        <w:t>3</w:t>
      </w:r>
      <w:r>
        <w:rPr>
          <w:rFonts w:cs="Times New Roman"/>
        </w:rPr>
        <w:t>个二级指标，立项依据充分性、立项程序规范性、绩效目标合理性、绩效指标明确性等20个三级指标，以及</w:t>
      </w:r>
      <w:r>
        <w:rPr>
          <w:rFonts w:hint="eastAsia" w:cs="Times New Roman"/>
          <w:lang w:val="en-US" w:eastAsia="zh-CN"/>
        </w:rPr>
        <w:t>38</w:t>
      </w:r>
      <w:r>
        <w:rPr>
          <w:rFonts w:cs="Times New Roman"/>
        </w:rPr>
        <w:t>个四级指标组成，通过指标对比和分析对该项目支出进行绩效评价。</w:t>
      </w:r>
    </w:p>
    <w:p>
      <w:pPr>
        <w:pStyle w:val="2"/>
        <w:tabs>
          <w:tab w:val="left" w:pos="5245"/>
        </w:tabs>
        <w:ind w:firstLine="560"/>
        <w:rPr>
          <w:rFonts w:cs="Times New Roman"/>
        </w:rPr>
      </w:pPr>
      <w:r>
        <w:rPr>
          <w:rFonts w:cs="Times New Roman"/>
        </w:rPr>
        <w:t>该评价指标体系采取总分100分制，根据项目支出绩效评价结果进行分项打分，计算总分。（详见附件2）</w:t>
      </w:r>
    </w:p>
    <w:p>
      <w:pPr>
        <w:pStyle w:val="2"/>
        <w:ind w:firstLine="560"/>
        <w:rPr>
          <w:rFonts w:cs="Times New Roman"/>
        </w:rPr>
      </w:pPr>
      <w:r>
        <w:rPr>
          <w:rFonts w:cs="Times New Roman"/>
        </w:rPr>
        <w:t>评分等级为：</w:t>
      </w:r>
    </w:p>
    <w:p>
      <w:pPr>
        <w:pStyle w:val="2"/>
        <w:ind w:firstLine="560"/>
        <w:rPr>
          <w:rFonts w:cs="Times New Roman"/>
        </w:rPr>
      </w:pPr>
      <w:r>
        <w:rPr>
          <w:rFonts w:cs="Times New Roman"/>
        </w:rPr>
        <w:t>优：90（含）-100分；</w:t>
      </w:r>
    </w:p>
    <w:p>
      <w:pPr>
        <w:pStyle w:val="2"/>
        <w:ind w:firstLine="560"/>
        <w:rPr>
          <w:rFonts w:cs="Times New Roman"/>
        </w:rPr>
      </w:pPr>
      <w:r>
        <w:rPr>
          <w:rFonts w:cs="Times New Roman"/>
        </w:rPr>
        <w:t>良：80（含）-90分；</w:t>
      </w:r>
    </w:p>
    <w:p>
      <w:pPr>
        <w:pStyle w:val="2"/>
        <w:ind w:firstLine="560"/>
        <w:rPr>
          <w:rFonts w:cs="Times New Roman"/>
        </w:rPr>
      </w:pPr>
      <w:r>
        <w:rPr>
          <w:rFonts w:cs="Times New Roman"/>
        </w:rPr>
        <w:t>中：60（含）-80分；</w:t>
      </w:r>
    </w:p>
    <w:p>
      <w:pPr>
        <w:pStyle w:val="2"/>
        <w:ind w:firstLine="560"/>
        <w:rPr>
          <w:rFonts w:cs="Times New Roman"/>
        </w:rPr>
      </w:pPr>
      <w:r>
        <w:rPr>
          <w:rFonts w:cs="Times New Roman"/>
        </w:rPr>
        <w:t>差：小于60分。</w:t>
      </w:r>
    </w:p>
    <w:p>
      <w:pPr>
        <w:pStyle w:val="5"/>
        <w:ind w:firstLine="562"/>
        <w:rPr>
          <w:rFonts w:cs="Times New Roman"/>
        </w:rPr>
      </w:pPr>
      <w:bookmarkStart w:id="47" w:name="_Toc26786"/>
      <w:bookmarkStart w:id="48" w:name="_Toc67315580"/>
      <w:bookmarkStart w:id="49" w:name="_Toc18431"/>
      <w:r>
        <w:rPr>
          <w:rFonts w:cs="Times New Roman"/>
        </w:rPr>
        <w:t>3.评价方法</w:t>
      </w:r>
      <w:bookmarkEnd w:id="47"/>
      <w:bookmarkEnd w:id="48"/>
      <w:bookmarkEnd w:id="49"/>
    </w:p>
    <w:p>
      <w:pPr>
        <w:pStyle w:val="2"/>
        <w:ind w:firstLine="560"/>
        <w:rPr>
          <w:rFonts w:cs="Times New Roman"/>
        </w:rPr>
      </w:pPr>
      <w:r>
        <w:rPr>
          <w:rFonts w:cs="Times New Roman"/>
        </w:rPr>
        <w:t>根据本次绩效评价的目的和内容及项目的具体情况，本次评价主要采用了成本效益分析法、比较法、因素分析法和公众评判法等绩效评价方法，通过资料研究、调查问卷、专项访谈、现场勘察等评价途径，对项目支出绩效进行全面评价。</w:t>
      </w:r>
    </w:p>
    <w:p>
      <w:pPr>
        <w:pStyle w:val="2"/>
        <w:ind w:firstLine="560"/>
        <w:rPr>
          <w:rFonts w:cs="Times New Roman"/>
        </w:rPr>
      </w:pPr>
      <w:r>
        <w:rPr>
          <w:rFonts w:cs="Times New Roman"/>
        </w:rPr>
        <w:t>（1）成本效益分析法：将一定时期内的支出与效益进行对比分析，以评价绩效目标实现程度。</w:t>
      </w:r>
    </w:p>
    <w:p>
      <w:pPr>
        <w:pStyle w:val="2"/>
        <w:ind w:firstLine="560"/>
        <w:rPr>
          <w:rFonts w:cs="Times New Roman"/>
        </w:rPr>
      </w:pPr>
      <w:r>
        <w:rPr>
          <w:rFonts w:cs="Times New Roman"/>
        </w:rPr>
        <w:t>（2）比较法：通过对绩效目标与实施效果、历史与当期情况、不同部门和地区同类支出的比较，综合分析绩效目标实现程度。</w:t>
      </w:r>
    </w:p>
    <w:p>
      <w:pPr>
        <w:pStyle w:val="2"/>
        <w:ind w:firstLine="560"/>
        <w:rPr>
          <w:rFonts w:cs="Times New Roman"/>
        </w:rPr>
      </w:pPr>
      <w:r>
        <w:rPr>
          <w:rFonts w:cs="Times New Roman"/>
        </w:rPr>
        <w:t>（3）因素分析法：通过综合分析影响绩效目标实现、实施效果的内外因素，评价绩效目标实现程度。</w:t>
      </w:r>
    </w:p>
    <w:p>
      <w:pPr>
        <w:pStyle w:val="2"/>
        <w:ind w:firstLine="560"/>
        <w:rPr>
          <w:rFonts w:cs="Times New Roman"/>
        </w:rPr>
      </w:pPr>
      <w:r>
        <w:rPr>
          <w:rFonts w:cs="Times New Roman"/>
        </w:rPr>
        <w:t>（4）公众评判法：通过专家评估、公众问卷及抽样调查等对财政支出效果进行评判，评价绩效目标实现程度。</w:t>
      </w:r>
    </w:p>
    <w:p>
      <w:pPr>
        <w:pStyle w:val="5"/>
        <w:ind w:firstLine="562"/>
        <w:rPr>
          <w:rFonts w:cs="Times New Roman"/>
        </w:rPr>
      </w:pPr>
      <w:bookmarkStart w:id="50" w:name="_Toc7652"/>
      <w:bookmarkStart w:id="51" w:name="_Toc1682"/>
      <w:r>
        <w:rPr>
          <w:rFonts w:cs="Times New Roman"/>
        </w:rPr>
        <w:t>4.评价依据</w:t>
      </w:r>
      <w:bookmarkEnd w:id="50"/>
      <w:bookmarkEnd w:id="51"/>
    </w:p>
    <w:p>
      <w:pPr>
        <w:pStyle w:val="2"/>
        <w:ind w:firstLine="560"/>
        <w:jc w:val="left"/>
        <w:rPr>
          <w:rFonts w:cs="Times New Roman"/>
        </w:rPr>
      </w:pPr>
      <w:r>
        <w:rPr>
          <w:rFonts w:cs="Times New Roman"/>
        </w:rPr>
        <w:t>（1）《预算法》；</w:t>
      </w:r>
    </w:p>
    <w:p>
      <w:pPr>
        <w:pStyle w:val="2"/>
        <w:ind w:firstLine="560"/>
        <w:jc w:val="left"/>
        <w:rPr>
          <w:rFonts w:cs="Times New Roman"/>
        </w:rPr>
      </w:pPr>
      <w:r>
        <w:rPr>
          <w:rFonts w:cs="Times New Roman"/>
        </w:rPr>
        <w:t>（2）《项目支出绩效评价管理办法》财预〔2020〕10 号；</w:t>
      </w:r>
    </w:p>
    <w:p>
      <w:pPr>
        <w:pStyle w:val="2"/>
        <w:ind w:firstLine="560"/>
        <w:jc w:val="left"/>
        <w:rPr>
          <w:rFonts w:cs="Times New Roman"/>
        </w:rPr>
      </w:pPr>
      <w:r>
        <w:rPr>
          <w:rFonts w:cs="Times New Roman"/>
        </w:rPr>
        <w:t>（3）《中共中央国务院关于全面实施预算绩效管理的意见》（中发〔2018〕34号）；</w:t>
      </w:r>
    </w:p>
    <w:p>
      <w:pPr>
        <w:pStyle w:val="2"/>
        <w:ind w:firstLine="560"/>
        <w:jc w:val="left"/>
        <w:rPr>
          <w:rFonts w:cs="Times New Roman"/>
        </w:rPr>
      </w:pPr>
      <w:r>
        <w:rPr>
          <w:rFonts w:cs="Times New Roman"/>
        </w:rPr>
        <w:t>（4）《财政部关于进一步完善中央部门项目支出预算管理的通知》（财预〔2017〕96号）；</w:t>
      </w:r>
    </w:p>
    <w:p>
      <w:pPr>
        <w:pStyle w:val="2"/>
        <w:ind w:firstLine="560"/>
        <w:jc w:val="left"/>
        <w:rPr>
          <w:rFonts w:cs="Times New Roman"/>
        </w:rPr>
      </w:pPr>
      <w:r>
        <w:rPr>
          <w:rFonts w:cs="Times New Roman"/>
        </w:rPr>
        <w:t>（5）《财政部关于推进预算绩效管理的指导意见》（财预〔2014〕416号）；</w:t>
      </w:r>
    </w:p>
    <w:p>
      <w:pPr>
        <w:pStyle w:val="2"/>
        <w:ind w:firstLine="560"/>
        <w:jc w:val="left"/>
        <w:rPr>
          <w:rFonts w:cs="Times New Roman"/>
        </w:rPr>
      </w:pPr>
      <w:r>
        <w:rPr>
          <w:rFonts w:cs="Times New Roman"/>
        </w:rPr>
        <w:t>（6）《河南省预算监督条例》</w:t>
      </w:r>
      <w:r>
        <w:rPr>
          <w:rFonts w:hint="eastAsia" w:cs="Times New Roman"/>
        </w:rPr>
        <w:t>；</w:t>
      </w:r>
    </w:p>
    <w:p>
      <w:pPr>
        <w:pStyle w:val="2"/>
        <w:ind w:firstLine="560"/>
        <w:jc w:val="left"/>
        <w:rPr>
          <w:rFonts w:cs="Times New Roman"/>
        </w:rPr>
      </w:pPr>
      <w:r>
        <w:rPr>
          <w:rFonts w:cs="Times New Roman"/>
        </w:rPr>
        <w:t>（</w:t>
      </w:r>
      <w:r>
        <w:rPr>
          <w:rFonts w:hint="eastAsia" w:cs="Times New Roman"/>
        </w:rPr>
        <w:t>7</w:t>
      </w:r>
      <w:r>
        <w:rPr>
          <w:rFonts w:cs="Times New Roman"/>
        </w:rPr>
        <w:t>）《中共河南省委河南省人民政府关于全面实施预算绩效管理的实施意见》（豫发〔2019〕10号）；</w:t>
      </w:r>
    </w:p>
    <w:p>
      <w:pPr>
        <w:pStyle w:val="2"/>
        <w:ind w:firstLine="560"/>
        <w:jc w:val="left"/>
        <w:rPr>
          <w:rFonts w:cs="Times New Roman"/>
        </w:rPr>
      </w:pPr>
      <w:r>
        <w:rPr>
          <w:rFonts w:cs="Times New Roman"/>
        </w:rPr>
        <w:t>（</w:t>
      </w:r>
      <w:r>
        <w:rPr>
          <w:rFonts w:hint="eastAsia" w:cs="Times New Roman"/>
        </w:rPr>
        <w:t>8</w:t>
      </w:r>
      <w:r>
        <w:rPr>
          <w:rFonts w:cs="Times New Roman"/>
        </w:rPr>
        <w:t>）《河南省省级预算项目支出绩效评价管理办法》，豫财效〔2020〕10 号；</w:t>
      </w:r>
    </w:p>
    <w:p>
      <w:pPr>
        <w:pStyle w:val="2"/>
        <w:ind w:firstLine="560"/>
        <w:jc w:val="left"/>
        <w:rPr>
          <w:rFonts w:cs="Times New Roman"/>
        </w:rPr>
      </w:pPr>
      <w:r>
        <w:rPr>
          <w:rFonts w:cs="Times New Roman"/>
        </w:rPr>
        <w:t>（</w:t>
      </w:r>
      <w:r>
        <w:rPr>
          <w:rFonts w:hint="eastAsia" w:cs="Times New Roman"/>
        </w:rPr>
        <w:t>9</w:t>
      </w:r>
      <w:r>
        <w:rPr>
          <w:rFonts w:cs="Times New Roman"/>
        </w:rPr>
        <w:t>）《中共漯河市委 漯河市人民政府关于全面实施预算绩效管理的实施意见》（漯发〔2020〕4号</w:t>
      </w:r>
      <w:r>
        <w:rPr>
          <w:rFonts w:hint="eastAsia" w:cs="Times New Roman"/>
        </w:rPr>
        <w:t>）</w:t>
      </w:r>
      <w:r>
        <w:rPr>
          <w:rFonts w:cs="Times New Roman"/>
        </w:rPr>
        <w:t>；</w:t>
      </w:r>
    </w:p>
    <w:p>
      <w:pPr>
        <w:pStyle w:val="2"/>
        <w:ind w:firstLine="560"/>
        <w:jc w:val="left"/>
        <w:rPr>
          <w:rFonts w:cs="Times New Roman"/>
        </w:rPr>
      </w:pPr>
      <w:r>
        <w:rPr>
          <w:rFonts w:cs="Times New Roman"/>
        </w:rPr>
        <w:t>（1</w:t>
      </w:r>
      <w:r>
        <w:rPr>
          <w:rFonts w:hint="eastAsia" w:cs="Times New Roman"/>
        </w:rPr>
        <w:t>0</w:t>
      </w:r>
      <w:r>
        <w:rPr>
          <w:rFonts w:cs="Times New Roman"/>
        </w:rPr>
        <w:t>）《漯河市市级预算项目政策事前绩效评估管理暂行办法》；</w:t>
      </w:r>
    </w:p>
    <w:p>
      <w:pPr>
        <w:pStyle w:val="2"/>
        <w:ind w:firstLine="560"/>
        <w:jc w:val="left"/>
        <w:rPr>
          <w:rFonts w:cs="Times New Roman"/>
        </w:rPr>
      </w:pPr>
      <w:r>
        <w:rPr>
          <w:rFonts w:cs="Times New Roman"/>
        </w:rPr>
        <w:t>（1</w:t>
      </w:r>
      <w:r>
        <w:rPr>
          <w:rFonts w:hint="eastAsia" w:cs="Times New Roman"/>
        </w:rPr>
        <w:t>1</w:t>
      </w:r>
      <w:r>
        <w:rPr>
          <w:rFonts w:cs="Times New Roman"/>
        </w:rPr>
        <w:t>）</w:t>
      </w:r>
      <w:r>
        <w:rPr>
          <w:rFonts w:hint="eastAsia" w:cs="Times New Roman"/>
        </w:rPr>
        <w:t>《</w:t>
      </w:r>
      <w:r>
        <w:rPr>
          <w:rFonts w:cs="Times New Roman"/>
        </w:rPr>
        <w:t>漯河市市级财政专项资金管理办法</w:t>
      </w:r>
      <w:r>
        <w:rPr>
          <w:rFonts w:hint="eastAsia" w:cs="Times New Roman"/>
        </w:rPr>
        <w:t>》（</w:t>
      </w:r>
      <w:r>
        <w:rPr>
          <w:rFonts w:cs="Times New Roman"/>
        </w:rPr>
        <w:t>漯政办〔2014〕86号</w:t>
      </w:r>
      <w:r>
        <w:rPr>
          <w:rFonts w:hint="eastAsia" w:cs="Times New Roman"/>
        </w:rPr>
        <w:t>）</w:t>
      </w:r>
      <w:r>
        <w:rPr>
          <w:rFonts w:cs="Times New Roman"/>
        </w:rPr>
        <w:t>；</w:t>
      </w:r>
    </w:p>
    <w:p>
      <w:pPr>
        <w:pStyle w:val="2"/>
        <w:ind w:firstLine="560"/>
        <w:jc w:val="left"/>
        <w:rPr>
          <w:rFonts w:cs="Times New Roman"/>
        </w:rPr>
      </w:pPr>
      <w:r>
        <w:rPr>
          <w:rFonts w:cs="Times New Roman"/>
        </w:rPr>
        <w:t>（1</w:t>
      </w:r>
      <w:r>
        <w:rPr>
          <w:rFonts w:hint="eastAsia" w:cs="Times New Roman"/>
        </w:rPr>
        <w:t>2</w:t>
      </w:r>
      <w:r>
        <w:rPr>
          <w:rFonts w:cs="Times New Roman"/>
        </w:rPr>
        <w:t>）《漯河市市级预算绩效评价结果应用管理暂行办法》；</w:t>
      </w:r>
    </w:p>
    <w:p>
      <w:pPr>
        <w:pStyle w:val="2"/>
        <w:ind w:firstLine="560"/>
        <w:jc w:val="left"/>
        <w:rPr>
          <w:rFonts w:cs="Times New Roman"/>
        </w:rPr>
      </w:pPr>
      <w:r>
        <w:rPr>
          <w:rFonts w:cs="Times New Roman"/>
        </w:rPr>
        <w:t>（1</w:t>
      </w:r>
      <w:r>
        <w:rPr>
          <w:rFonts w:hint="eastAsia" w:cs="Times New Roman"/>
        </w:rPr>
        <w:t>3</w:t>
      </w:r>
      <w:r>
        <w:rPr>
          <w:rFonts w:cs="Times New Roman"/>
        </w:rPr>
        <w:t>）《漯河市政府向社会力量购买服务实施办法》（漯政办〔2018〕4号）；</w:t>
      </w:r>
    </w:p>
    <w:p>
      <w:pPr>
        <w:pStyle w:val="2"/>
        <w:ind w:firstLine="560"/>
        <w:jc w:val="left"/>
        <w:rPr>
          <w:rFonts w:cs="Times New Roman"/>
        </w:rPr>
      </w:pPr>
      <w:r>
        <w:rPr>
          <w:rFonts w:cs="Times New Roman"/>
        </w:rPr>
        <w:t>（1</w:t>
      </w:r>
      <w:r>
        <w:rPr>
          <w:rFonts w:hint="eastAsia" w:cs="Times New Roman"/>
        </w:rPr>
        <w:t>4</w:t>
      </w:r>
      <w:r>
        <w:rPr>
          <w:rFonts w:cs="Times New Roman"/>
        </w:rPr>
        <w:t>）国家和省有关法律、行政法规及规章制度；</w:t>
      </w:r>
    </w:p>
    <w:p>
      <w:pPr>
        <w:pStyle w:val="2"/>
        <w:ind w:firstLine="560"/>
        <w:jc w:val="left"/>
        <w:rPr>
          <w:rFonts w:cs="Times New Roman"/>
        </w:rPr>
      </w:pPr>
      <w:r>
        <w:rPr>
          <w:rFonts w:cs="Times New Roman"/>
        </w:rPr>
        <w:t>（1</w:t>
      </w:r>
      <w:r>
        <w:rPr>
          <w:rFonts w:hint="eastAsia" w:cs="Times New Roman"/>
        </w:rPr>
        <w:t>5</w:t>
      </w:r>
      <w:r>
        <w:rPr>
          <w:rFonts w:cs="Times New Roman"/>
        </w:rPr>
        <w:t>）财政部门、主管部门制定的有关专项资金管理的政策、规章制度、管理办法、相关财务会计法规；</w:t>
      </w:r>
    </w:p>
    <w:p>
      <w:pPr>
        <w:pStyle w:val="2"/>
        <w:ind w:firstLine="560"/>
        <w:jc w:val="left"/>
        <w:rPr>
          <w:rFonts w:cs="Times New Roman"/>
        </w:rPr>
      </w:pPr>
      <w:r>
        <w:rPr>
          <w:rFonts w:cs="Times New Roman"/>
        </w:rPr>
        <w:t>（1</w:t>
      </w:r>
      <w:r>
        <w:rPr>
          <w:rFonts w:hint="eastAsia" w:cs="Times New Roman"/>
        </w:rPr>
        <w:t>6</w:t>
      </w:r>
      <w:r>
        <w:rPr>
          <w:rFonts w:cs="Times New Roman"/>
        </w:rPr>
        <w:t>）</w:t>
      </w:r>
      <w:r>
        <w:rPr>
          <w:rFonts w:hint="eastAsia" w:cs="Times New Roman"/>
        </w:rPr>
        <w:t>综合执法局</w:t>
      </w:r>
      <w:r>
        <w:rPr>
          <w:rFonts w:cs="Times New Roman"/>
        </w:rPr>
        <w:t>相关制度管理规定，项目财务会计资料及其相关资料。</w:t>
      </w:r>
    </w:p>
    <w:p>
      <w:pPr>
        <w:pStyle w:val="4"/>
        <w:ind w:firstLine="602"/>
        <w:rPr>
          <w:rFonts w:cs="Times New Roman"/>
        </w:rPr>
      </w:pPr>
      <w:bookmarkStart w:id="52" w:name="_Toc67315581"/>
      <w:bookmarkStart w:id="53" w:name="_Toc6635"/>
      <w:bookmarkStart w:id="54" w:name="_Toc25444"/>
      <w:r>
        <w:rPr>
          <w:rFonts w:cs="Times New Roman"/>
        </w:rPr>
        <w:t>（三）绩效评价工作过程</w:t>
      </w:r>
      <w:bookmarkEnd w:id="52"/>
      <w:bookmarkEnd w:id="53"/>
      <w:bookmarkEnd w:id="54"/>
    </w:p>
    <w:p>
      <w:pPr>
        <w:pStyle w:val="5"/>
        <w:ind w:firstLine="562"/>
        <w:rPr>
          <w:rFonts w:cs="Times New Roman"/>
        </w:rPr>
      </w:pPr>
      <w:bookmarkStart w:id="55" w:name="_Toc3297"/>
      <w:bookmarkStart w:id="56" w:name="_Toc7800"/>
      <w:bookmarkStart w:id="57" w:name="_Toc67315582"/>
      <w:r>
        <w:rPr>
          <w:rFonts w:cs="Times New Roman"/>
        </w:rPr>
        <w:t>1、评价前期准备阶段</w:t>
      </w:r>
      <w:bookmarkEnd w:id="55"/>
      <w:bookmarkEnd w:id="56"/>
    </w:p>
    <w:p>
      <w:pPr>
        <w:pStyle w:val="2"/>
        <w:ind w:firstLine="560"/>
        <w:jc w:val="left"/>
        <w:rPr>
          <w:rFonts w:cs="Times New Roman"/>
        </w:rPr>
      </w:pPr>
      <w:r>
        <w:rPr>
          <w:rFonts w:cs="Times New Roman"/>
        </w:rPr>
        <w:t>（1）成立评价组</w:t>
      </w:r>
    </w:p>
    <w:p>
      <w:pPr>
        <w:pStyle w:val="2"/>
        <w:ind w:firstLine="560"/>
        <w:jc w:val="left"/>
        <w:rPr>
          <w:rFonts w:cs="Times New Roman"/>
        </w:rPr>
      </w:pPr>
      <w:r>
        <w:rPr>
          <w:rFonts w:cs="Times New Roman"/>
        </w:rPr>
        <w:t>根据《关于全面实施预算绩效管理的意见》（中发〔2018〕34号）</w:t>
      </w:r>
      <w:r>
        <w:rPr>
          <w:rFonts w:hint="eastAsia" w:cs="Times New Roman"/>
        </w:rPr>
        <w:t>、《中共河南省委河南省人民政府关于全面实施预算绩效管理的实施意见》（豫发〔2019〕10号）、</w:t>
      </w:r>
      <w:r>
        <w:rPr>
          <w:rFonts w:cs="Times New Roman"/>
        </w:rPr>
        <w:t>《中共漯河市委 漯河市人民政府关于全面实施预算绩效管理的实施意见》（漯发〔2020〕4号</w:t>
      </w:r>
      <w:r>
        <w:rPr>
          <w:rFonts w:hint="eastAsia" w:cs="Times New Roman"/>
        </w:rPr>
        <w:t>）</w:t>
      </w:r>
      <w:r>
        <w:rPr>
          <w:rFonts w:cs="Times New Roman"/>
        </w:rPr>
        <w:t>文件要求，成立绩效评价工作领导小组及绩效评价工作组（人员名单详见附件4），制定</w:t>
      </w:r>
      <w:r>
        <w:rPr>
          <w:rFonts w:hint="eastAsia" w:cs="Times New Roman"/>
        </w:rPr>
        <w:t>部门</w:t>
      </w:r>
      <w:r>
        <w:rPr>
          <w:rFonts w:cs="Times New Roman"/>
        </w:rPr>
        <w:t>绩效评价工作方案、评价指标体系，组织召开现场评价工作安排部署会。</w:t>
      </w:r>
    </w:p>
    <w:p>
      <w:pPr>
        <w:pStyle w:val="2"/>
        <w:ind w:firstLine="560"/>
        <w:jc w:val="left"/>
        <w:rPr>
          <w:rFonts w:cs="Times New Roman"/>
        </w:rPr>
      </w:pPr>
      <w:r>
        <w:rPr>
          <w:rFonts w:cs="Times New Roman"/>
        </w:rPr>
        <w:t>（2）业务培训</w:t>
      </w:r>
    </w:p>
    <w:p>
      <w:pPr>
        <w:pStyle w:val="2"/>
        <w:ind w:firstLine="560"/>
        <w:jc w:val="left"/>
        <w:rPr>
          <w:rFonts w:cs="Times New Roman"/>
        </w:rPr>
      </w:pPr>
      <w:r>
        <w:rPr>
          <w:rFonts w:cs="Times New Roman"/>
        </w:rPr>
        <w:t>组织评价组人员进行业务培训。学习</w:t>
      </w:r>
      <w:r>
        <w:rPr>
          <w:rFonts w:hint="eastAsia" w:cs="Times New Roman"/>
        </w:rPr>
        <w:t>漯河</w:t>
      </w:r>
      <w:r>
        <w:rPr>
          <w:rFonts w:cs="Times New Roman"/>
        </w:rPr>
        <w:t>市财政支出绩效评价和</w:t>
      </w:r>
      <w:r>
        <w:rPr>
          <w:rFonts w:hint="eastAsia" w:cs="Times New Roman"/>
        </w:rPr>
        <w:t>绩效</w:t>
      </w:r>
      <w:r>
        <w:rPr>
          <w:rFonts w:cs="Times New Roman"/>
        </w:rPr>
        <w:t>管理方面的相关文件精神；培训指标体系建立依据和框架，使各参评人员对项目情况均做到了解详细，合理建立指标体系并熟练运用。</w:t>
      </w:r>
    </w:p>
    <w:p>
      <w:pPr>
        <w:pStyle w:val="2"/>
        <w:ind w:firstLine="560"/>
        <w:jc w:val="left"/>
        <w:rPr>
          <w:rFonts w:cs="Times New Roman"/>
        </w:rPr>
      </w:pPr>
      <w:r>
        <w:rPr>
          <w:rFonts w:cs="Times New Roman"/>
        </w:rPr>
        <w:t>（3）出具资料清单</w:t>
      </w:r>
    </w:p>
    <w:p>
      <w:pPr>
        <w:pStyle w:val="2"/>
        <w:ind w:firstLine="560"/>
        <w:jc w:val="left"/>
        <w:rPr>
          <w:rFonts w:cs="Times New Roman"/>
        </w:rPr>
      </w:pPr>
      <w:r>
        <w:rPr>
          <w:rFonts w:cs="Times New Roman"/>
        </w:rPr>
        <w:t>为做好项目评价工作，提高评价工作效率，评价组与委托人沟通并确定直接对接人，提前将所需资料清单发送至相关对接人，通知其提前准备绩效评价所需资料。</w:t>
      </w:r>
    </w:p>
    <w:p>
      <w:pPr>
        <w:pStyle w:val="5"/>
        <w:ind w:firstLine="562"/>
        <w:rPr>
          <w:rFonts w:cs="Times New Roman"/>
        </w:rPr>
      </w:pPr>
      <w:bookmarkStart w:id="58" w:name="_Toc26386"/>
      <w:bookmarkStart w:id="59" w:name="_Toc3979"/>
      <w:bookmarkStart w:id="60" w:name="_Toc1887"/>
      <w:r>
        <w:rPr>
          <w:rFonts w:cs="Times New Roman"/>
        </w:rPr>
        <w:t>2、评价指标体系及方案设计阶段</w:t>
      </w:r>
      <w:bookmarkEnd w:id="58"/>
      <w:bookmarkEnd w:id="59"/>
      <w:bookmarkEnd w:id="60"/>
    </w:p>
    <w:p>
      <w:pPr>
        <w:pStyle w:val="2"/>
        <w:ind w:firstLine="560"/>
        <w:jc w:val="left"/>
        <w:rPr>
          <w:rFonts w:cs="Times New Roman"/>
        </w:rPr>
      </w:pPr>
      <w:r>
        <w:rPr>
          <w:rFonts w:cs="Times New Roman"/>
        </w:rPr>
        <w:t>（1）资料收集及研究</w:t>
      </w:r>
    </w:p>
    <w:p>
      <w:pPr>
        <w:pStyle w:val="2"/>
        <w:ind w:firstLine="560"/>
        <w:jc w:val="left"/>
        <w:rPr>
          <w:rFonts w:cs="Times New Roman"/>
        </w:rPr>
      </w:pPr>
      <w:r>
        <w:rPr>
          <w:rFonts w:cs="Times New Roman"/>
        </w:rPr>
        <w:t>绩效评价工作开展前，绩效评价工作组列举详细的资料清单，包括各评估阶段所需资料分类、资料清单表现形式（电子版，纸质版）、单项资料明细、具体证明材料明细等，对全部资料进行全面整理和数据提取，并对部分重点数据进行现场复核，选择有效支撑绩效评价的真实数据信息。</w:t>
      </w:r>
    </w:p>
    <w:p>
      <w:pPr>
        <w:pStyle w:val="2"/>
        <w:ind w:firstLine="560"/>
        <w:jc w:val="left"/>
        <w:rPr>
          <w:rFonts w:cs="Times New Roman"/>
        </w:rPr>
      </w:pPr>
      <w:r>
        <w:rPr>
          <w:rFonts w:cs="Times New Roman"/>
        </w:rPr>
        <w:t>（2）建立指标体系</w:t>
      </w:r>
    </w:p>
    <w:p>
      <w:pPr>
        <w:pStyle w:val="2"/>
        <w:ind w:firstLine="560"/>
        <w:jc w:val="left"/>
        <w:rPr>
          <w:rFonts w:cs="Times New Roman"/>
        </w:rPr>
      </w:pPr>
      <w:r>
        <w:rPr>
          <w:rFonts w:cs="Times New Roman"/>
        </w:rPr>
        <w:t>根据本项目绩效目标、实施方案、项目管理及相关效益情况，绩效评价组制定项目支出绩效评价指标体系，并对其合理性和指标进行验证。</w:t>
      </w:r>
    </w:p>
    <w:p>
      <w:pPr>
        <w:pStyle w:val="5"/>
        <w:ind w:firstLine="562"/>
        <w:rPr>
          <w:rFonts w:cs="Times New Roman"/>
        </w:rPr>
      </w:pPr>
      <w:bookmarkStart w:id="61" w:name="_Toc16617"/>
      <w:bookmarkStart w:id="62" w:name="_Toc733"/>
      <w:bookmarkStart w:id="63" w:name="_Toc5235"/>
      <w:r>
        <w:rPr>
          <w:rFonts w:cs="Times New Roman"/>
        </w:rPr>
        <w:t>3、评价实施阶段</w:t>
      </w:r>
      <w:bookmarkEnd w:id="61"/>
      <w:bookmarkEnd w:id="62"/>
      <w:bookmarkEnd w:id="63"/>
    </w:p>
    <w:p>
      <w:pPr>
        <w:pStyle w:val="2"/>
        <w:ind w:firstLine="560"/>
        <w:jc w:val="left"/>
        <w:rPr>
          <w:rFonts w:cs="Times New Roman"/>
        </w:rPr>
      </w:pPr>
      <w:r>
        <w:rPr>
          <w:rFonts w:cs="Times New Roman"/>
        </w:rPr>
        <w:t>（1）问卷调查</w:t>
      </w:r>
    </w:p>
    <w:p>
      <w:pPr>
        <w:pStyle w:val="2"/>
        <w:ind w:firstLine="560"/>
        <w:jc w:val="left"/>
        <w:rPr>
          <w:rFonts w:cs="Times New Roman"/>
        </w:rPr>
      </w:pPr>
      <w:r>
        <w:rPr>
          <w:rFonts w:cs="Times New Roman"/>
        </w:rPr>
        <w:t>为充分了解“</w:t>
      </w:r>
      <w:r>
        <w:rPr>
          <w:rFonts w:hint="eastAsia" w:cs="Times New Roman"/>
        </w:rPr>
        <w:t>门头改造工程</w:t>
      </w:r>
      <w:r>
        <w:rPr>
          <w:rFonts w:cs="Times New Roman"/>
        </w:rPr>
        <w:t>”对市场和社会的影响，绩效评价工作组设置了项目影响度调查问卷，抽取社会公众或服务对象50份调查问卷作为评价依据，同时收集上级主管部门及专家评价意见，形成相关绩效评价结果。（问卷调查内容详见附件5）</w:t>
      </w:r>
    </w:p>
    <w:p>
      <w:pPr>
        <w:pStyle w:val="2"/>
        <w:ind w:firstLine="560"/>
        <w:jc w:val="left"/>
        <w:rPr>
          <w:rFonts w:cs="Times New Roman"/>
        </w:rPr>
      </w:pPr>
      <w:r>
        <w:rPr>
          <w:rFonts w:cs="Times New Roman"/>
        </w:rPr>
        <w:t>（2）专项访谈</w:t>
      </w:r>
    </w:p>
    <w:p>
      <w:pPr>
        <w:pStyle w:val="2"/>
        <w:ind w:firstLine="560"/>
        <w:jc w:val="left"/>
        <w:rPr>
          <w:rFonts w:cs="Times New Roman"/>
        </w:rPr>
      </w:pPr>
      <w:r>
        <w:rPr>
          <w:rFonts w:cs="Times New Roman"/>
        </w:rPr>
        <w:t>针对项目中大额支出、重点环节把控、关键流程控制、审批流程合规性及制度执行情况等内容的评价，除采取资料搜集与研究的方式外，绩效评价工作组采取专项访谈的方式，对关键节点进行重新验证和评价。</w:t>
      </w:r>
    </w:p>
    <w:p>
      <w:pPr>
        <w:pStyle w:val="2"/>
        <w:ind w:firstLine="560"/>
        <w:jc w:val="left"/>
        <w:rPr>
          <w:rFonts w:cs="Times New Roman"/>
        </w:rPr>
      </w:pPr>
      <w:r>
        <w:rPr>
          <w:rFonts w:cs="Times New Roman"/>
        </w:rPr>
        <w:t>（3）现场勘察</w:t>
      </w:r>
    </w:p>
    <w:p>
      <w:pPr>
        <w:pStyle w:val="2"/>
        <w:ind w:firstLine="560"/>
        <w:jc w:val="left"/>
        <w:rPr>
          <w:rFonts w:cs="Times New Roman"/>
        </w:rPr>
      </w:pPr>
      <w:r>
        <w:rPr>
          <w:rFonts w:cs="Times New Roman"/>
        </w:rPr>
        <w:t>绩效评价工作组根据委托人提供的项目资料，对</w:t>
      </w:r>
      <w:r>
        <w:rPr>
          <w:rFonts w:hint="eastAsia" w:cs="Times New Roman"/>
        </w:rPr>
        <w:t>门头改造工程涉及的工程费、设计费、监理费、造价费、结算审核费用</w:t>
      </w:r>
      <w:r>
        <w:rPr>
          <w:rFonts w:cs="Times New Roman"/>
        </w:rPr>
        <w:t>与批复文件的一致性，以及其他支出项的真实性等进行现场走访与勘察，确保绩效评价结果真实的反映项目支出绩效情况。</w:t>
      </w:r>
    </w:p>
    <w:p>
      <w:pPr>
        <w:pStyle w:val="2"/>
        <w:ind w:firstLine="560"/>
        <w:jc w:val="left"/>
        <w:rPr>
          <w:rFonts w:cs="Times New Roman"/>
        </w:rPr>
      </w:pPr>
      <w:r>
        <w:rPr>
          <w:rFonts w:cs="Times New Roman"/>
        </w:rPr>
        <w:t>（4）综合分析评价</w:t>
      </w:r>
    </w:p>
    <w:p>
      <w:pPr>
        <w:pStyle w:val="2"/>
        <w:ind w:firstLine="560"/>
        <w:jc w:val="left"/>
        <w:rPr>
          <w:rFonts w:cs="Times New Roman"/>
        </w:rPr>
      </w:pPr>
      <w:r>
        <w:rPr>
          <w:rFonts w:cs="Times New Roman"/>
        </w:rPr>
        <w:t>绩效评价工作组对评价对象的绩效情况进行全面的定量、定性分析和综合评价；发现的重大问题及时反馈绩效评价领导小组，由其进行集体决策后形成绩效评价结论。</w:t>
      </w:r>
    </w:p>
    <w:p>
      <w:pPr>
        <w:pStyle w:val="5"/>
        <w:ind w:firstLine="562"/>
        <w:rPr>
          <w:rFonts w:cs="Times New Roman"/>
        </w:rPr>
      </w:pPr>
      <w:bookmarkStart w:id="64" w:name="_Toc22705"/>
      <w:bookmarkStart w:id="65" w:name="_Toc19753"/>
      <w:bookmarkStart w:id="66" w:name="_Toc10328"/>
      <w:r>
        <w:rPr>
          <w:rFonts w:cs="Times New Roman"/>
        </w:rPr>
        <w:t>4、评价报告阶段</w:t>
      </w:r>
      <w:bookmarkEnd w:id="64"/>
      <w:bookmarkEnd w:id="65"/>
      <w:bookmarkEnd w:id="66"/>
    </w:p>
    <w:p>
      <w:pPr>
        <w:pStyle w:val="2"/>
        <w:ind w:firstLine="560"/>
        <w:jc w:val="left"/>
        <w:rPr>
          <w:rFonts w:cs="Times New Roman"/>
        </w:rPr>
      </w:pPr>
      <w:r>
        <w:rPr>
          <w:rFonts w:cs="Times New Roman"/>
        </w:rPr>
        <w:t>（1）对被检查项目的绩效评价指标体系得分情况及相关资料进行分析汇总；</w:t>
      </w:r>
    </w:p>
    <w:p>
      <w:pPr>
        <w:pStyle w:val="2"/>
        <w:ind w:firstLine="560"/>
        <w:jc w:val="left"/>
        <w:rPr>
          <w:rFonts w:cs="Times New Roman"/>
        </w:rPr>
      </w:pPr>
      <w:r>
        <w:rPr>
          <w:rFonts w:cs="Times New Roman"/>
        </w:rPr>
        <w:t>（2）按照《河南省财政支出绩效评价实行方法》规定的格式形成本项目绩效评价报告，征求</w:t>
      </w:r>
      <w:r>
        <w:rPr>
          <w:rFonts w:hint="eastAsia" w:cs="Times New Roman"/>
        </w:rPr>
        <w:t>漯河经济技术开发区财政局</w:t>
      </w:r>
      <w:r>
        <w:rPr>
          <w:rFonts w:cs="Times New Roman"/>
        </w:rPr>
        <w:t>意见，补充完善评价报告；</w:t>
      </w:r>
    </w:p>
    <w:p>
      <w:pPr>
        <w:pStyle w:val="2"/>
        <w:ind w:firstLine="560"/>
        <w:jc w:val="left"/>
        <w:rPr>
          <w:rFonts w:cs="Times New Roman"/>
        </w:rPr>
      </w:pPr>
      <w:r>
        <w:rPr>
          <w:rFonts w:cs="Times New Roman"/>
        </w:rPr>
        <w:t>（3）形成“</w:t>
      </w:r>
      <w:r>
        <w:rPr>
          <w:rFonts w:hint="eastAsia" w:cs="Times New Roman"/>
        </w:rPr>
        <w:t>门头改造工</w:t>
      </w:r>
      <w:r>
        <w:rPr>
          <w:rFonts w:cs="Times New Roman"/>
        </w:rPr>
        <w:t>”支出绩效评价报告（包括表格和文字部分，一式叁份）。</w:t>
      </w:r>
    </w:p>
    <w:p>
      <w:pPr>
        <w:pStyle w:val="2"/>
        <w:ind w:firstLine="560"/>
        <w:rPr>
          <w:rFonts w:cs="Times New Roman"/>
        </w:rPr>
      </w:pPr>
      <w:r>
        <w:rPr>
          <w:rFonts w:cs="Times New Roman"/>
        </w:rPr>
        <w:t>我公司承诺在绩效评价过程中，接受</w:t>
      </w:r>
      <w:r>
        <w:rPr>
          <w:rFonts w:hint="eastAsia" w:cs="Times New Roman"/>
        </w:rPr>
        <w:t>区</w:t>
      </w:r>
      <w:r>
        <w:rPr>
          <w:rFonts w:cs="Times New Roman"/>
        </w:rPr>
        <w:t>财政部门的全面监督、指导和管理，同时接受相关部门（专家评委）对于绩效成果的审理鉴定，接受参照《漯河市市级预算绩效管理委托第三方机构管理办法》</w:t>
      </w:r>
      <w:r>
        <w:rPr>
          <w:rFonts w:hint="eastAsia" w:cs="Times New Roman"/>
        </w:rPr>
        <w:t>（漯财效〔2022〕5号）</w:t>
      </w:r>
      <w:r>
        <w:rPr>
          <w:rFonts w:cs="Times New Roman"/>
        </w:rPr>
        <w:t>及历史成本原则制定的绩效评价费用额度。</w:t>
      </w:r>
      <w:bookmarkEnd w:id="57"/>
      <w:bookmarkStart w:id="67" w:name="_Toc16646"/>
      <w:bookmarkStart w:id="68" w:name="_Toc67315587"/>
    </w:p>
    <w:p>
      <w:pPr>
        <w:pStyle w:val="3"/>
      </w:pPr>
      <w:bookmarkStart w:id="69" w:name="_Toc32498"/>
      <w:r>
        <w:t>三、综合评价情况及评价结论</w:t>
      </w:r>
      <w:bookmarkEnd w:id="67"/>
      <w:bookmarkEnd w:id="68"/>
      <w:bookmarkEnd w:id="69"/>
    </w:p>
    <w:p>
      <w:pPr>
        <w:pStyle w:val="2"/>
        <w:ind w:firstLine="560"/>
        <w:rPr>
          <w:rFonts w:cs="Times New Roman"/>
        </w:rPr>
      </w:pPr>
      <w:r>
        <w:rPr>
          <w:rFonts w:cs="Times New Roman"/>
        </w:rPr>
        <w:t>绩效评价组运用评价方案确定的指标体系及评分标准，通过现场勘查、基础数据搜集、问卷调查和访谈获取的数据，绩效评价工作组对“</w:t>
      </w:r>
      <w:r>
        <w:rPr>
          <w:rFonts w:hint="eastAsia" w:cs="Times New Roman"/>
        </w:rPr>
        <w:t>门头改造工程</w:t>
      </w:r>
      <w:r>
        <w:rPr>
          <w:rFonts w:cs="Times New Roman"/>
        </w:rPr>
        <w:t>”的财政资金进行了独立客观的评价。</w:t>
      </w:r>
    </w:p>
    <w:p>
      <w:pPr>
        <w:pStyle w:val="2"/>
        <w:ind w:firstLine="560"/>
        <w:rPr>
          <w:rFonts w:cs="Times New Roman"/>
        </w:rPr>
      </w:pPr>
      <w:r>
        <w:rPr>
          <w:rFonts w:cs="Times New Roman"/>
        </w:rPr>
        <w:t>“</w:t>
      </w:r>
      <w:r>
        <w:rPr>
          <w:rFonts w:hint="eastAsia" w:cs="Times New Roman"/>
        </w:rPr>
        <w:t>门头改造工程</w:t>
      </w:r>
      <w:r>
        <w:rPr>
          <w:rFonts w:cs="Times New Roman"/>
        </w:rPr>
        <w:t>”符合国家法律法规规定及相关规划的要求，项目立项规范，目标合理、明确、细化、量化，项目资金能及时到账，部门管理制度完备，并能严格遵守，达到了预期的各项绩效指标，社会效益比较显著，项目生态环境效益良好。但在项目预算编制、重大事项决策审批、专项资金使用、调配和管理，合同</w:t>
      </w:r>
      <w:r>
        <w:rPr>
          <w:rFonts w:hint="eastAsia" w:cs="Times New Roman"/>
        </w:rPr>
        <w:t>要素</w:t>
      </w:r>
      <w:r>
        <w:rPr>
          <w:rFonts w:cs="Times New Roman"/>
        </w:rPr>
        <w:t>完备</w:t>
      </w:r>
      <w:r>
        <w:rPr>
          <w:rFonts w:hint="eastAsia" w:cs="Times New Roman"/>
        </w:rPr>
        <w:t>性</w:t>
      </w:r>
      <w:r>
        <w:rPr>
          <w:rFonts w:cs="Times New Roman"/>
        </w:rPr>
        <w:t>、货款支付</w:t>
      </w:r>
      <w:r>
        <w:rPr>
          <w:rFonts w:hint="eastAsia" w:cs="Times New Roman"/>
        </w:rPr>
        <w:t>、合同相关条款的执行</w:t>
      </w:r>
      <w:r>
        <w:rPr>
          <w:rFonts w:cs="Times New Roman"/>
        </w:rPr>
        <w:t>等问题上，还需进行整改优化，以促进</w:t>
      </w:r>
      <w:r>
        <w:rPr>
          <w:rFonts w:hint="eastAsia" w:cs="Times New Roman"/>
        </w:rPr>
        <w:t>门头改造工程</w:t>
      </w:r>
      <w:r>
        <w:rPr>
          <w:rFonts w:cs="Times New Roman"/>
        </w:rPr>
        <w:t>资金合法合规合理的使用，提高资金使用效率和效益。</w:t>
      </w:r>
    </w:p>
    <w:p>
      <w:pPr>
        <w:pStyle w:val="2"/>
        <w:ind w:firstLine="560"/>
        <w:rPr>
          <w:rFonts w:cs="Times New Roman"/>
        </w:rPr>
      </w:pPr>
      <w:r>
        <w:rPr>
          <w:rFonts w:cs="Times New Roman"/>
        </w:rPr>
        <w:t>“</w:t>
      </w:r>
      <w:r>
        <w:rPr>
          <w:rFonts w:hint="eastAsia" w:cs="Times New Roman"/>
        </w:rPr>
        <w:t>门头改造工程</w:t>
      </w:r>
      <w:r>
        <w:rPr>
          <w:rFonts w:cs="Times New Roman"/>
        </w:rPr>
        <w:t>”最终评价分数为“</w:t>
      </w:r>
      <w:r>
        <w:rPr>
          <w:rFonts w:hint="eastAsia" w:cs="Times New Roman"/>
        </w:rPr>
        <w:t>8</w:t>
      </w:r>
      <w:r>
        <w:rPr>
          <w:rFonts w:hint="eastAsia" w:cs="Times New Roman"/>
          <w:lang w:val="en-US" w:eastAsia="zh-CN"/>
        </w:rPr>
        <w:t>9.25</w:t>
      </w:r>
      <w:r>
        <w:rPr>
          <w:rFonts w:cs="Times New Roman"/>
        </w:rPr>
        <w:t>分”，绩效评级为“</w:t>
      </w:r>
      <w:r>
        <w:rPr>
          <w:rFonts w:hint="eastAsia" w:cs="Times New Roman"/>
        </w:rPr>
        <w:t>良</w:t>
      </w:r>
      <w:r>
        <w:rPr>
          <w:rFonts w:cs="Times New Roman"/>
        </w:rPr>
        <w:t>”。各评价指标得分情况见表2：</w:t>
      </w:r>
    </w:p>
    <w:tbl>
      <w:tblPr>
        <w:tblStyle w:val="28"/>
        <w:tblW w:w="8583" w:type="dxa"/>
        <w:jc w:val="center"/>
        <w:tblLayout w:type="fixed"/>
        <w:tblCellMar>
          <w:top w:w="0" w:type="dxa"/>
          <w:left w:w="108" w:type="dxa"/>
          <w:bottom w:w="0" w:type="dxa"/>
          <w:right w:w="108" w:type="dxa"/>
        </w:tblCellMar>
      </w:tblPr>
      <w:tblGrid>
        <w:gridCol w:w="1211"/>
        <w:gridCol w:w="842"/>
        <w:gridCol w:w="1419"/>
        <w:gridCol w:w="970"/>
        <w:gridCol w:w="2024"/>
        <w:gridCol w:w="917"/>
        <w:gridCol w:w="1200"/>
      </w:tblGrid>
      <w:tr>
        <w:tblPrEx>
          <w:tblCellMar>
            <w:top w:w="0" w:type="dxa"/>
            <w:left w:w="108" w:type="dxa"/>
            <w:bottom w:w="0" w:type="dxa"/>
            <w:right w:w="108" w:type="dxa"/>
          </w:tblCellMar>
        </w:tblPrEx>
        <w:trPr>
          <w:trHeight w:val="624" w:hRule="exact"/>
          <w:jc w:val="center"/>
        </w:trPr>
        <w:tc>
          <w:tcPr>
            <w:tcW w:w="858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right="320" w:rightChars="0"/>
              <w:jc w:val="center"/>
              <w:rPr>
                <w:rFonts w:ascii="仿宋" w:hAnsi="仿宋" w:eastAsia="仿宋" w:cs="仿宋"/>
                <w:color w:val="000000"/>
                <w:kern w:val="0"/>
                <w:sz w:val="24"/>
              </w:rPr>
            </w:pPr>
            <w:r>
              <w:rPr>
                <w:rFonts w:hint="eastAsia" w:ascii="仿宋" w:hAnsi="仿宋" w:eastAsia="仿宋" w:cs="仿宋"/>
                <w:color w:val="000000"/>
                <w:kern w:val="0"/>
                <w:sz w:val="24"/>
              </w:rPr>
              <w:t>表2  门头改造工程项目支出绩效评价得分</w:t>
            </w:r>
          </w:p>
        </w:tc>
      </w:tr>
      <w:tr>
        <w:tblPrEx>
          <w:tblCellMar>
            <w:top w:w="0" w:type="dxa"/>
            <w:left w:w="108" w:type="dxa"/>
            <w:bottom w:w="0" w:type="dxa"/>
            <w:right w:w="108" w:type="dxa"/>
          </w:tblCellMar>
        </w:tblPrEx>
        <w:trPr>
          <w:trHeight w:val="624" w:hRule="exact"/>
          <w:jc w:val="center"/>
        </w:trPr>
        <w:tc>
          <w:tcPr>
            <w:tcW w:w="1211" w:type="dxa"/>
            <w:tcBorders>
              <w:top w:val="nil"/>
              <w:left w:val="single" w:color="auto" w:sz="4" w:space="0"/>
              <w:bottom w:val="single" w:color="auto" w:sz="4" w:space="0"/>
              <w:right w:val="single" w:color="auto" w:sz="4" w:space="0"/>
            </w:tcBorders>
            <w:shd w:val="clear" w:color="000000" w:fill="00B0F0"/>
            <w:vAlign w:val="center"/>
          </w:tcPr>
          <w:p>
            <w:pPr>
              <w:widowControl/>
              <w:spacing w:line="400" w:lineRule="exact"/>
              <w:ind w:left="0" w:leftChars="0" w:right="0" w:rightChars="0"/>
              <w:jc w:val="center"/>
              <w:rPr>
                <w:rFonts w:ascii="仿宋" w:hAnsi="仿宋" w:eastAsia="仿宋" w:cs="仿宋"/>
                <w:b/>
                <w:bCs/>
                <w:color w:val="000000"/>
                <w:kern w:val="0"/>
                <w:sz w:val="24"/>
              </w:rPr>
            </w:pPr>
            <w:r>
              <w:rPr>
                <w:rFonts w:hint="eastAsia" w:ascii="仿宋" w:hAnsi="仿宋" w:eastAsia="仿宋" w:cs="仿宋"/>
                <w:b/>
                <w:bCs/>
                <w:color w:val="000000"/>
                <w:kern w:val="0"/>
                <w:sz w:val="24"/>
              </w:rPr>
              <w:t>一级指标</w:t>
            </w:r>
          </w:p>
        </w:tc>
        <w:tc>
          <w:tcPr>
            <w:tcW w:w="842" w:type="dxa"/>
            <w:tcBorders>
              <w:top w:val="nil"/>
              <w:left w:val="nil"/>
              <w:bottom w:val="single" w:color="auto" w:sz="4" w:space="0"/>
              <w:right w:val="single" w:color="auto" w:sz="4" w:space="0"/>
            </w:tcBorders>
            <w:shd w:val="clear" w:color="000000" w:fill="00B0F0"/>
            <w:vAlign w:val="center"/>
          </w:tcPr>
          <w:p>
            <w:pPr>
              <w:widowControl/>
              <w:spacing w:line="400" w:lineRule="exact"/>
              <w:ind w:left="0" w:leftChars="0" w:right="0" w:rightChars="0"/>
              <w:jc w:val="center"/>
              <w:rPr>
                <w:rFonts w:ascii="仿宋" w:hAnsi="仿宋" w:eastAsia="仿宋" w:cs="仿宋"/>
                <w:b/>
                <w:bCs/>
                <w:color w:val="000000"/>
                <w:kern w:val="0"/>
                <w:sz w:val="24"/>
              </w:rPr>
            </w:pPr>
            <w:r>
              <w:rPr>
                <w:rFonts w:hint="eastAsia" w:ascii="仿宋" w:hAnsi="仿宋" w:eastAsia="仿宋" w:cs="仿宋"/>
                <w:b/>
                <w:bCs/>
                <w:color w:val="000000"/>
                <w:kern w:val="0"/>
                <w:sz w:val="24"/>
              </w:rPr>
              <w:t>分值</w:t>
            </w:r>
          </w:p>
        </w:tc>
        <w:tc>
          <w:tcPr>
            <w:tcW w:w="1419" w:type="dxa"/>
            <w:tcBorders>
              <w:top w:val="nil"/>
              <w:left w:val="nil"/>
              <w:bottom w:val="single" w:color="auto" w:sz="4" w:space="0"/>
              <w:right w:val="single" w:color="auto" w:sz="4" w:space="0"/>
            </w:tcBorders>
            <w:shd w:val="clear" w:color="000000" w:fill="00B0F0"/>
            <w:vAlign w:val="center"/>
          </w:tcPr>
          <w:p>
            <w:pPr>
              <w:widowControl/>
              <w:spacing w:line="400" w:lineRule="exact"/>
              <w:ind w:left="0" w:leftChars="0" w:right="0" w:rightChars="0"/>
              <w:jc w:val="center"/>
              <w:rPr>
                <w:rFonts w:ascii="仿宋" w:hAnsi="仿宋" w:eastAsia="仿宋" w:cs="仿宋"/>
                <w:b/>
                <w:bCs/>
                <w:color w:val="000000"/>
                <w:kern w:val="0"/>
                <w:sz w:val="24"/>
              </w:rPr>
            </w:pPr>
            <w:r>
              <w:rPr>
                <w:rFonts w:hint="eastAsia" w:ascii="仿宋" w:hAnsi="仿宋" w:eastAsia="仿宋" w:cs="仿宋"/>
                <w:b/>
                <w:bCs/>
                <w:color w:val="000000"/>
                <w:kern w:val="0"/>
                <w:sz w:val="24"/>
              </w:rPr>
              <w:t>二级指标</w:t>
            </w:r>
          </w:p>
        </w:tc>
        <w:tc>
          <w:tcPr>
            <w:tcW w:w="970" w:type="dxa"/>
            <w:tcBorders>
              <w:top w:val="nil"/>
              <w:left w:val="nil"/>
              <w:bottom w:val="single" w:color="auto" w:sz="4" w:space="0"/>
              <w:right w:val="single" w:color="auto" w:sz="4" w:space="0"/>
            </w:tcBorders>
            <w:shd w:val="clear" w:color="000000" w:fill="00B0F0"/>
            <w:vAlign w:val="center"/>
          </w:tcPr>
          <w:p>
            <w:pPr>
              <w:widowControl/>
              <w:spacing w:line="400" w:lineRule="exact"/>
              <w:ind w:left="0" w:leftChars="0" w:right="0" w:rightChars="0"/>
              <w:jc w:val="center"/>
              <w:rPr>
                <w:rFonts w:ascii="仿宋" w:hAnsi="仿宋" w:eastAsia="仿宋" w:cs="仿宋"/>
                <w:b/>
                <w:bCs/>
                <w:color w:val="000000"/>
                <w:kern w:val="0"/>
                <w:sz w:val="24"/>
              </w:rPr>
            </w:pPr>
            <w:r>
              <w:rPr>
                <w:rFonts w:hint="eastAsia" w:ascii="仿宋" w:hAnsi="仿宋" w:eastAsia="仿宋" w:cs="仿宋"/>
                <w:b/>
                <w:bCs/>
                <w:color w:val="000000"/>
                <w:kern w:val="0"/>
                <w:sz w:val="24"/>
              </w:rPr>
              <w:t>分值</w:t>
            </w:r>
          </w:p>
        </w:tc>
        <w:tc>
          <w:tcPr>
            <w:tcW w:w="2024" w:type="dxa"/>
            <w:tcBorders>
              <w:top w:val="nil"/>
              <w:left w:val="nil"/>
              <w:bottom w:val="single" w:color="auto" w:sz="4" w:space="0"/>
              <w:right w:val="single" w:color="auto" w:sz="4" w:space="0"/>
            </w:tcBorders>
            <w:shd w:val="clear" w:color="000000" w:fill="00B0F0"/>
            <w:vAlign w:val="center"/>
          </w:tcPr>
          <w:p>
            <w:pPr>
              <w:widowControl/>
              <w:spacing w:line="400" w:lineRule="exact"/>
              <w:ind w:left="0" w:leftChars="0" w:right="0" w:rightChars="0"/>
              <w:jc w:val="center"/>
              <w:rPr>
                <w:rFonts w:ascii="仿宋" w:hAnsi="仿宋" w:eastAsia="仿宋" w:cs="仿宋"/>
                <w:b/>
                <w:bCs/>
                <w:color w:val="000000"/>
                <w:kern w:val="0"/>
                <w:sz w:val="24"/>
              </w:rPr>
            </w:pPr>
            <w:r>
              <w:rPr>
                <w:rFonts w:hint="eastAsia" w:ascii="仿宋" w:hAnsi="仿宋" w:eastAsia="仿宋" w:cs="仿宋"/>
                <w:b/>
                <w:bCs/>
                <w:color w:val="000000"/>
                <w:kern w:val="0"/>
                <w:sz w:val="24"/>
              </w:rPr>
              <w:t>三级指标</w:t>
            </w:r>
          </w:p>
        </w:tc>
        <w:tc>
          <w:tcPr>
            <w:tcW w:w="917" w:type="dxa"/>
            <w:tcBorders>
              <w:top w:val="nil"/>
              <w:left w:val="nil"/>
              <w:bottom w:val="single" w:color="auto" w:sz="4" w:space="0"/>
              <w:right w:val="single" w:color="auto" w:sz="4" w:space="0"/>
            </w:tcBorders>
            <w:shd w:val="clear" w:color="000000" w:fill="00B0F0"/>
            <w:vAlign w:val="center"/>
          </w:tcPr>
          <w:p>
            <w:pPr>
              <w:widowControl/>
              <w:spacing w:line="400" w:lineRule="exact"/>
              <w:ind w:left="0" w:leftChars="0" w:right="0" w:rightChars="0"/>
              <w:jc w:val="center"/>
              <w:rPr>
                <w:rFonts w:ascii="仿宋" w:hAnsi="仿宋" w:eastAsia="仿宋" w:cs="仿宋"/>
                <w:b/>
                <w:bCs/>
                <w:color w:val="000000"/>
                <w:kern w:val="0"/>
                <w:sz w:val="24"/>
              </w:rPr>
            </w:pPr>
            <w:r>
              <w:rPr>
                <w:rFonts w:hint="eastAsia" w:ascii="仿宋" w:hAnsi="仿宋" w:eastAsia="仿宋" w:cs="仿宋"/>
                <w:b/>
                <w:bCs/>
                <w:color w:val="000000"/>
                <w:kern w:val="0"/>
                <w:sz w:val="24"/>
              </w:rPr>
              <w:t>分值</w:t>
            </w:r>
          </w:p>
        </w:tc>
        <w:tc>
          <w:tcPr>
            <w:tcW w:w="1200" w:type="dxa"/>
            <w:tcBorders>
              <w:top w:val="nil"/>
              <w:left w:val="nil"/>
              <w:bottom w:val="single" w:color="auto" w:sz="4" w:space="0"/>
              <w:right w:val="single" w:color="auto" w:sz="4" w:space="0"/>
            </w:tcBorders>
            <w:shd w:val="clear" w:color="000000" w:fill="00B0F0"/>
            <w:vAlign w:val="center"/>
          </w:tcPr>
          <w:p>
            <w:pPr>
              <w:widowControl/>
              <w:spacing w:line="400" w:lineRule="exact"/>
              <w:ind w:left="0" w:leftChars="0" w:right="0" w:rightChars="0"/>
              <w:jc w:val="center"/>
              <w:rPr>
                <w:rFonts w:ascii="仿宋" w:hAnsi="仿宋" w:eastAsia="仿宋" w:cs="仿宋"/>
                <w:b/>
                <w:bCs/>
                <w:color w:val="000000"/>
                <w:kern w:val="0"/>
                <w:sz w:val="24"/>
              </w:rPr>
            </w:pPr>
            <w:r>
              <w:rPr>
                <w:rFonts w:hint="eastAsia" w:ascii="仿宋" w:hAnsi="仿宋" w:eastAsia="仿宋" w:cs="仿宋"/>
                <w:b/>
                <w:bCs/>
                <w:color w:val="000000"/>
                <w:kern w:val="0"/>
                <w:sz w:val="24"/>
              </w:rPr>
              <w:t>评价得分</w:t>
            </w:r>
          </w:p>
        </w:tc>
      </w:tr>
      <w:tr>
        <w:tblPrEx>
          <w:tblCellMar>
            <w:top w:w="0" w:type="dxa"/>
            <w:left w:w="108" w:type="dxa"/>
            <w:bottom w:w="0" w:type="dxa"/>
            <w:right w:w="108" w:type="dxa"/>
          </w:tblCellMar>
        </w:tblPrEx>
        <w:trPr>
          <w:trHeight w:val="624" w:hRule="exact"/>
          <w:jc w:val="center"/>
        </w:trPr>
        <w:tc>
          <w:tcPr>
            <w:tcW w:w="1211"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决 策</w:t>
            </w:r>
          </w:p>
        </w:tc>
        <w:tc>
          <w:tcPr>
            <w:tcW w:w="84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15</w:t>
            </w:r>
          </w:p>
        </w:tc>
        <w:tc>
          <w:tcPr>
            <w:tcW w:w="14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项目立项</w:t>
            </w:r>
          </w:p>
        </w:tc>
        <w:tc>
          <w:tcPr>
            <w:tcW w:w="97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立项依据充分性</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2.5</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624"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97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立项程序规范性</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2.5</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624"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绩效目标</w:t>
            </w:r>
          </w:p>
        </w:tc>
        <w:tc>
          <w:tcPr>
            <w:tcW w:w="97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绩效目标合理性</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2.5</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2.25</w:t>
            </w:r>
          </w:p>
        </w:tc>
      </w:tr>
      <w:tr>
        <w:tblPrEx>
          <w:tblCellMar>
            <w:top w:w="0" w:type="dxa"/>
            <w:left w:w="108" w:type="dxa"/>
            <w:bottom w:w="0" w:type="dxa"/>
            <w:right w:w="108" w:type="dxa"/>
          </w:tblCellMar>
        </w:tblPrEx>
        <w:trPr>
          <w:trHeight w:val="624"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97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绩效指标明确性</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2.5</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1.75</w:t>
            </w:r>
          </w:p>
        </w:tc>
      </w:tr>
      <w:tr>
        <w:tblPrEx>
          <w:tblCellMar>
            <w:top w:w="0" w:type="dxa"/>
            <w:left w:w="108" w:type="dxa"/>
            <w:bottom w:w="0" w:type="dxa"/>
            <w:right w:w="108" w:type="dxa"/>
          </w:tblCellMar>
        </w:tblPrEx>
        <w:trPr>
          <w:trHeight w:val="624"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资金安排</w:t>
            </w:r>
          </w:p>
        </w:tc>
        <w:tc>
          <w:tcPr>
            <w:tcW w:w="97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预算编制合理性</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624"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97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资金分配合理性</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624" w:hRule="exact"/>
          <w:jc w:val="center"/>
        </w:trPr>
        <w:tc>
          <w:tcPr>
            <w:tcW w:w="1211"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过程</w:t>
            </w:r>
          </w:p>
        </w:tc>
        <w:tc>
          <w:tcPr>
            <w:tcW w:w="84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25</w:t>
            </w:r>
          </w:p>
        </w:tc>
        <w:tc>
          <w:tcPr>
            <w:tcW w:w="14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业务管理</w:t>
            </w:r>
          </w:p>
        </w:tc>
        <w:tc>
          <w:tcPr>
            <w:tcW w:w="97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10</w:t>
            </w: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管理制度健全性</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624"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97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制度执行有效性</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1.5</w:t>
            </w:r>
          </w:p>
        </w:tc>
      </w:tr>
      <w:tr>
        <w:tblPrEx>
          <w:tblCellMar>
            <w:top w:w="0" w:type="dxa"/>
            <w:left w:w="108" w:type="dxa"/>
            <w:bottom w:w="0" w:type="dxa"/>
            <w:right w:w="108" w:type="dxa"/>
          </w:tblCellMar>
        </w:tblPrEx>
        <w:trPr>
          <w:trHeight w:val="624"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97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档案管理规范性</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1.5</w:t>
            </w:r>
          </w:p>
        </w:tc>
      </w:tr>
      <w:tr>
        <w:tblPrEx>
          <w:tblCellMar>
            <w:top w:w="0" w:type="dxa"/>
            <w:left w:w="108" w:type="dxa"/>
            <w:bottom w:w="0" w:type="dxa"/>
            <w:right w:w="108" w:type="dxa"/>
          </w:tblCellMar>
        </w:tblPrEx>
        <w:trPr>
          <w:trHeight w:val="624"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97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项目质量可控性</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624"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预算管理</w:t>
            </w:r>
          </w:p>
        </w:tc>
        <w:tc>
          <w:tcPr>
            <w:tcW w:w="97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15</w:t>
            </w: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资金拨付率</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2.5</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624"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97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拨付及时率</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2.5</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624"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97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预算执行率</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2.5</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624"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97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管理制度健全性</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2.5</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624"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97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资金使用合规性</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2.5</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2.25</w:t>
            </w:r>
          </w:p>
        </w:tc>
      </w:tr>
      <w:tr>
        <w:tblPrEx>
          <w:tblCellMar>
            <w:top w:w="0" w:type="dxa"/>
            <w:left w:w="108" w:type="dxa"/>
            <w:bottom w:w="0" w:type="dxa"/>
            <w:right w:w="108" w:type="dxa"/>
          </w:tblCellMar>
        </w:tblPrEx>
        <w:trPr>
          <w:trHeight w:val="624"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970"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财务监控有效性</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2.5</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1.5</w:t>
            </w:r>
          </w:p>
        </w:tc>
      </w:tr>
      <w:tr>
        <w:tblPrEx>
          <w:tblCellMar>
            <w:top w:w="0" w:type="dxa"/>
            <w:left w:w="108" w:type="dxa"/>
            <w:bottom w:w="0" w:type="dxa"/>
            <w:right w:w="108" w:type="dxa"/>
          </w:tblCellMar>
        </w:tblPrEx>
        <w:trPr>
          <w:trHeight w:val="624" w:hRule="exact"/>
          <w:jc w:val="center"/>
        </w:trPr>
        <w:tc>
          <w:tcPr>
            <w:tcW w:w="1211"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产 出</w:t>
            </w:r>
          </w:p>
        </w:tc>
        <w:tc>
          <w:tcPr>
            <w:tcW w:w="84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30</w:t>
            </w:r>
          </w:p>
        </w:tc>
        <w:tc>
          <w:tcPr>
            <w:tcW w:w="14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产出数量</w:t>
            </w:r>
          </w:p>
        </w:tc>
        <w:tc>
          <w:tcPr>
            <w:tcW w:w="970" w:type="dxa"/>
            <w:tcBorders>
              <w:top w:val="single" w:color="auto" w:sz="4" w:space="0"/>
              <w:left w:val="nil"/>
              <w:bottom w:val="single" w:color="auto" w:sz="4" w:space="0"/>
              <w:right w:val="single" w:color="auto" w:sz="4" w:space="0"/>
            </w:tcBorders>
            <w:shd w:val="clear" w:color="auto" w:fill="auto"/>
            <w:vAlign w:val="center"/>
          </w:tcPr>
          <w:p>
            <w:pPr>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7.5</w:t>
            </w:r>
          </w:p>
        </w:tc>
        <w:tc>
          <w:tcPr>
            <w:tcW w:w="202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beforeLines="50"/>
              <w:ind w:left="0" w:leftChars="0" w:right="0" w:rightChars="0" w:firstLine="240" w:firstLineChars="100"/>
              <w:jc w:val="center"/>
              <w:rPr>
                <w:rFonts w:ascii="仿宋" w:hAnsi="仿宋" w:eastAsia="仿宋" w:cs="仿宋"/>
                <w:color w:val="000000"/>
                <w:kern w:val="0"/>
                <w:sz w:val="24"/>
              </w:rPr>
            </w:pPr>
            <w:r>
              <w:rPr>
                <w:rFonts w:hint="eastAsia" w:ascii="仿宋" w:hAnsi="仿宋" w:eastAsia="仿宋" w:cs="仿宋"/>
                <w:color w:val="000000"/>
                <w:kern w:val="0"/>
                <w:sz w:val="24"/>
              </w:rPr>
              <w:t>实际完成率</w:t>
            </w:r>
          </w:p>
        </w:tc>
        <w:tc>
          <w:tcPr>
            <w:tcW w:w="917" w:type="dxa"/>
            <w:tcBorders>
              <w:top w:val="single" w:color="auto" w:sz="4" w:space="0"/>
              <w:left w:val="nil"/>
              <w:bottom w:val="single" w:color="auto" w:sz="4" w:space="0"/>
              <w:right w:val="single" w:color="auto" w:sz="4" w:space="0"/>
            </w:tcBorders>
            <w:shd w:val="clear" w:color="auto" w:fill="auto"/>
            <w:vAlign w:val="center"/>
          </w:tcPr>
          <w:p>
            <w:pPr>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7.5</w:t>
            </w:r>
          </w:p>
        </w:tc>
        <w:tc>
          <w:tcPr>
            <w:tcW w:w="12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7.5</w:t>
            </w:r>
          </w:p>
        </w:tc>
      </w:tr>
      <w:tr>
        <w:tblPrEx>
          <w:tblCellMar>
            <w:top w:w="0" w:type="dxa"/>
            <w:left w:w="108" w:type="dxa"/>
            <w:bottom w:w="0" w:type="dxa"/>
            <w:right w:w="108" w:type="dxa"/>
          </w:tblCellMar>
        </w:tblPrEx>
        <w:trPr>
          <w:trHeight w:val="624" w:hRule="exact"/>
          <w:jc w:val="center"/>
        </w:trPr>
        <w:tc>
          <w:tcPr>
            <w:tcW w:w="1211"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产出时效</w:t>
            </w:r>
          </w:p>
        </w:tc>
        <w:tc>
          <w:tcPr>
            <w:tcW w:w="970" w:type="dxa"/>
            <w:tcBorders>
              <w:top w:val="single" w:color="auto" w:sz="4" w:space="0"/>
              <w:left w:val="nil"/>
              <w:bottom w:val="single" w:color="auto" w:sz="4" w:space="0"/>
              <w:right w:val="single" w:color="auto" w:sz="4" w:space="0"/>
            </w:tcBorders>
            <w:shd w:val="clear" w:color="auto" w:fill="auto"/>
            <w:vAlign w:val="center"/>
          </w:tcPr>
          <w:p>
            <w:pPr>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7.5</w:t>
            </w:r>
          </w:p>
        </w:tc>
        <w:tc>
          <w:tcPr>
            <w:tcW w:w="202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完成及时率</w:t>
            </w:r>
          </w:p>
        </w:tc>
        <w:tc>
          <w:tcPr>
            <w:tcW w:w="917" w:type="dxa"/>
            <w:tcBorders>
              <w:top w:val="single" w:color="auto" w:sz="4" w:space="0"/>
              <w:left w:val="nil"/>
              <w:bottom w:val="single" w:color="auto" w:sz="4" w:space="0"/>
              <w:right w:val="single" w:color="auto" w:sz="4" w:space="0"/>
            </w:tcBorders>
            <w:shd w:val="clear" w:color="auto" w:fill="auto"/>
            <w:vAlign w:val="center"/>
          </w:tcPr>
          <w:p>
            <w:pPr>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7.5</w:t>
            </w:r>
          </w:p>
        </w:tc>
        <w:tc>
          <w:tcPr>
            <w:tcW w:w="12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7.5</w:t>
            </w:r>
          </w:p>
        </w:tc>
      </w:tr>
      <w:tr>
        <w:tblPrEx>
          <w:tblCellMar>
            <w:top w:w="0" w:type="dxa"/>
            <w:left w:w="108" w:type="dxa"/>
            <w:bottom w:w="0" w:type="dxa"/>
            <w:right w:w="108" w:type="dxa"/>
          </w:tblCellMar>
        </w:tblPrEx>
        <w:trPr>
          <w:trHeight w:val="624" w:hRule="exact"/>
          <w:jc w:val="center"/>
        </w:trPr>
        <w:tc>
          <w:tcPr>
            <w:tcW w:w="1211"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tcBorders>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产出质量</w:t>
            </w:r>
          </w:p>
        </w:tc>
        <w:tc>
          <w:tcPr>
            <w:tcW w:w="970" w:type="dxa"/>
            <w:tcBorders>
              <w:left w:val="nil"/>
              <w:bottom w:val="single" w:color="auto" w:sz="4" w:space="0"/>
              <w:right w:val="single" w:color="auto" w:sz="4" w:space="0"/>
            </w:tcBorders>
            <w:shd w:val="clear" w:color="auto" w:fill="auto"/>
            <w:vAlign w:val="center"/>
          </w:tcPr>
          <w:p>
            <w:pPr>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7.5</w:t>
            </w:r>
          </w:p>
        </w:tc>
        <w:tc>
          <w:tcPr>
            <w:tcW w:w="202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质量达标率</w:t>
            </w:r>
          </w:p>
        </w:tc>
        <w:tc>
          <w:tcPr>
            <w:tcW w:w="917" w:type="dxa"/>
            <w:tcBorders>
              <w:top w:val="single" w:color="auto" w:sz="4" w:space="0"/>
              <w:left w:val="nil"/>
              <w:bottom w:val="single" w:color="auto" w:sz="4" w:space="0"/>
              <w:right w:val="single" w:color="auto" w:sz="4" w:space="0"/>
            </w:tcBorders>
            <w:shd w:val="clear" w:color="auto" w:fill="auto"/>
            <w:vAlign w:val="center"/>
          </w:tcPr>
          <w:p>
            <w:pPr>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7.5</w:t>
            </w:r>
          </w:p>
        </w:tc>
        <w:tc>
          <w:tcPr>
            <w:tcW w:w="12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7.5</w:t>
            </w:r>
          </w:p>
        </w:tc>
      </w:tr>
      <w:tr>
        <w:tblPrEx>
          <w:tblCellMar>
            <w:top w:w="0" w:type="dxa"/>
            <w:left w:w="108" w:type="dxa"/>
            <w:bottom w:w="0" w:type="dxa"/>
            <w:right w:w="108" w:type="dxa"/>
          </w:tblCellMar>
        </w:tblPrEx>
        <w:trPr>
          <w:trHeight w:val="624"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产出成本</w:t>
            </w:r>
          </w:p>
        </w:tc>
        <w:tc>
          <w:tcPr>
            <w:tcW w:w="970" w:type="dxa"/>
            <w:tcBorders>
              <w:top w:val="nil"/>
              <w:left w:val="nil"/>
              <w:bottom w:val="single" w:color="auto" w:sz="4" w:space="0"/>
              <w:right w:val="single" w:color="auto" w:sz="4" w:space="0"/>
            </w:tcBorders>
            <w:shd w:val="clear" w:color="auto" w:fill="auto"/>
            <w:vAlign w:val="center"/>
          </w:tcPr>
          <w:p>
            <w:pPr>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7.5</w:t>
            </w: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成本节约率</w:t>
            </w:r>
          </w:p>
        </w:tc>
        <w:tc>
          <w:tcPr>
            <w:tcW w:w="917" w:type="dxa"/>
            <w:tcBorders>
              <w:top w:val="nil"/>
              <w:left w:val="nil"/>
              <w:bottom w:val="single" w:color="auto" w:sz="4" w:space="0"/>
              <w:right w:val="single" w:color="auto" w:sz="4" w:space="0"/>
            </w:tcBorders>
            <w:shd w:val="clear" w:color="auto" w:fill="auto"/>
            <w:vAlign w:val="center"/>
          </w:tcPr>
          <w:p>
            <w:pPr>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7.5</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7.5</w:t>
            </w:r>
          </w:p>
        </w:tc>
      </w:tr>
      <w:tr>
        <w:tblPrEx>
          <w:tblCellMar>
            <w:top w:w="0" w:type="dxa"/>
            <w:left w:w="108" w:type="dxa"/>
            <w:bottom w:w="0" w:type="dxa"/>
            <w:right w:w="108" w:type="dxa"/>
          </w:tblCellMar>
        </w:tblPrEx>
        <w:trPr>
          <w:trHeight w:val="624" w:hRule="exact"/>
          <w:jc w:val="center"/>
        </w:trPr>
        <w:tc>
          <w:tcPr>
            <w:tcW w:w="1211"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效 果</w:t>
            </w:r>
          </w:p>
        </w:tc>
        <w:tc>
          <w:tcPr>
            <w:tcW w:w="84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30</w:t>
            </w: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社会效益</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6</w:t>
            </w: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6</w:t>
            </w:r>
          </w:p>
        </w:tc>
      </w:tr>
      <w:tr>
        <w:tblPrEx>
          <w:tblCellMar>
            <w:top w:w="0" w:type="dxa"/>
            <w:left w:w="108" w:type="dxa"/>
            <w:bottom w:w="0" w:type="dxa"/>
            <w:right w:w="108" w:type="dxa"/>
          </w:tblCellMar>
        </w:tblPrEx>
        <w:trPr>
          <w:trHeight w:val="624"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生态效益</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6</w:t>
            </w: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6</w:t>
            </w:r>
          </w:p>
        </w:tc>
      </w:tr>
      <w:tr>
        <w:tblPrEx>
          <w:tblCellMar>
            <w:top w:w="0" w:type="dxa"/>
            <w:left w:w="108" w:type="dxa"/>
            <w:bottom w:w="0" w:type="dxa"/>
            <w:right w:w="108" w:type="dxa"/>
          </w:tblCellMar>
        </w:tblPrEx>
        <w:trPr>
          <w:trHeight w:val="624"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可持续影响</w:t>
            </w:r>
          </w:p>
        </w:tc>
        <w:tc>
          <w:tcPr>
            <w:tcW w:w="9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6</w:t>
            </w:r>
          </w:p>
        </w:tc>
        <w:tc>
          <w:tcPr>
            <w:tcW w:w="202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9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12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6</w:t>
            </w:r>
          </w:p>
        </w:tc>
      </w:tr>
      <w:tr>
        <w:tblPrEx>
          <w:tblCellMar>
            <w:top w:w="0" w:type="dxa"/>
            <w:left w:w="108" w:type="dxa"/>
            <w:bottom w:w="0" w:type="dxa"/>
            <w:right w:w="108" w:type="dxa"/>
          </w:tblCellMar>
        </w:tblPrEx>
        <w:trPr>
          <w:trHeight w:val="893"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1"/>
                <w:szCs w:val="21"/>
              </w:rPr>
            </w:pPr>
            <w:r>
              <w:rPr>
                <w:rFonts w:hint="eastAsia" w:ascii="仿宋" w:hAnsi="仿宋" w:eastAsia="仿宋" w:cs="仿宋"/>
                <w:color w:val="000000"/>
                <w:kern w:val="0"/>
                <w:sz w:val="24"/>
              </w:rPr>
              <w:t>社会公众满意度</w:t>
            </w:r>
          </w:p>
        </w:tc>
        <w:tc>
          <w:tcPr>
            <w:tcW w:w="970"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12</w:t>
            </w: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12</w:t>
            </w:r>
          </w:p>
        </w:tc>
      </w:tr>
      <w:tr>
        <w:tblPrEx>
          <w:tblCellMar>
            <w:top w:w="0" w:type="dxa"/>
            <w:left w:w="108" w:type="dxa"/>
            <w:bottom w:w="0" w:type="dxa"/>
            <w:right w:w="108" w:type="dxa"/>
          </w:tblCellMar>
        </w:tblPrEx>
        <w:trPr>
          <w:trHeight w:val="624" w:hRule="exact"/>
          <w:jc w:val="center"/>
        </w:trPr>
        <w:tc>
          <w:tcPr>
            <w:tcW w:w="12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b/>
                <w:bCs/>
                <w:color w:val="000000"/>
                <w:kern w:val="0"/>
                <w:sz w:val="24"/>
              </w:rPr>
            </w:pPr>
            <w:r>
              <w:rPr>
                <w:rFonts w:hint="eastAsia" w:ascii="仿宋" w:hAnsi="仿宋" w:eastAsia="仿宋" w:cs="仿宋"/>
                <w:b/>
                <w:bCs/>
                <w:color w:val="000000"/>
                <w:kern w:val="0"/>
                <w:sz w:val="24"/>
              </w:rPr>
              <w:t>整体评价</w:t>
            </w:r>
          </w:p>
        </w:tc>
        <w:tc>
          <w:tcPr>
            <w:tcW w:w="842"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b/>
                <w:bCs/>
                <w:color w:val="000000"/>
                <w:kern w:val="0"/>
                <w:sz w:val="24"/>
              </w:rPr>
            </w:pPr>
            <w:r>
              <w:rPr>
                <w:rFonts w:hint="eastAsia" w:ascii="仿宋" w:hAnsi="仿宋" w:eastAsia="仿宋" w:cs="仿宋"/>
                <w:b/>
                <w:bCs/>
                <w:color w:val="000000"/>
                <w:kern w:val="0"/>
                <w:sz w:val="24"/>
              </w:rPr>
              <w:t>100</w:t>
            </w:r>
          </w:p>
        </w:tc>
        <w:tc>
          <w:tcPr>
            <w:tcW w:w="4413"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ind w:left="0" w:leftChars="0" w:right="0" w:rightChars="0"/>
              <w:jc w:val="center"/>
              <w:rPr>
                <w:rFonts w:ascii="仿宋" w:hAnsi="仿宋" w:eastAsia="仿宋" w:cs="仿宋"/>
                <w:b/>
                <w:bCs/>
                <w:color w:val="000000"/>
                <w:kern w:val="0"/>
                <w:sz w:val="24"/>
              </w:rPr>
            </w:pPr>
            <w:r>
              <w:rPr>
                <w:rFonts w:hint="eastAsia" w:ascii="仿宋" w:hAnsi="仿宋" w:eastAsia="仿宋" w:cs="仿宋"/>
                <w:b/>
                <w:bCs/>
                <w:color w:val="000000"/>
                <w:kern w:val="0"/>
                <w:sz w:val="24"/>
              </w:rPr>
              <w:t>——</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b/>
                <w:bCs/>
                <w:color w:val="000000"/>
                <w:kern w:val="0"/>
                <w:sz w:val="24"/>
              </w:rPr>
            </w:pPr>
            <w:r>
              <w:rPr>
                <w:rFonts w:hint="eastAsia" w:ascii="仿宋" w:hAnsi="仿宋" w:eastAsia="仿宋" w:cs="仿宋"/>
                <w:b/>
                <w:bCs/>
                <w:color w:val="000000"/>
                <w:kern w:val="0"/>
                <w:sz w:val="24"/>
              </w:rPr>
              <w:t>——</w:t>
            </w:r>
          </w:p>
        </w:tc>
        <w:tc>
          <w:tcPr>
            <w:tcW w:w="1200" w:type="dxa"/>
            <w:tcBorders>
              <w:top w:val="nil"/>
              <w:left w:val="nil"/>
              <w:bottom w:val="single" w:color="auto" w:sz="4" w:space="0"/>
              <w:right w:val="single" w:color="auto" w:sz="4" w:space="0"/>
            </w:tcBorders>
            <w:shd w:val="clear" w:color="auto" w:fill="auto"/>
            <w:vAlign w:val="center"/>
          </w:tcPr>
          <w:p>
            <w:pPr>
              <w:widowControl/>
              <w:ind w:left="0" w:leftChars="0" w:right="0" w:rightChars="0"/>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rPr>
              <w:t>8</w:t>
            </w:r>
            <w:r>
              <w:rPr>
                <w:rFonts w:hint="eastAsia" w:ascii="仿宋" w:hAnsi="仿宋" w:eastAsia="仿宋" w:cs="仿宋"/>
                <w:b/>
                <w:bCs/>
                <w:color w:val="000000"/>
                <w:kern w:val="0"/>
                <w:sz w:val="24"/>
                <w:lang w:val="en-US" w:eastAsia="zh-CN"/>
              </w:rPr>
              <w:t>9</w:t>
            </w:r>
            <w:r>
              <w:rPr>
                <w:rFonts w:hint="eastAsia" w:ascii="仿宋" w:hAnsi="仿宋" w:eastAsia="仿宋" w:cs="仿宋"/>
                <w:b/>
                <w:bCs/>
                <w:color w:val="000000"/>
                <w:kern w:val="0"/>
                <w:sz w:val="24"/>
              </w:rPr>
              <w:t>.</w:t>
            </w:r>
            <w:r>
              <w:rPr>
                <w:rFonts w:hint="eastAsia" w:ascii="仿宋" w:hAnsi="仿宋" w:eastAsia="仿宋" w:cs="仿宋"/>
                <w:b/>
                <w:bCs/>
                <w:color w:val="000000"/>
                <w:kern w:val="0"/>
                <w:sz w:val="24"/>
                <w:lang w:val="en-US" w:eastAsia="zh-CN"/>
              </w:rPr>
              <w:t>2</w:t>
            </w:r>
            <w:r>
              <w:rPr>
                <w:rFonts w:hint="eastAsia" w:ascii="仿宋" w:hAnsi="仿宋" w:eastAsia="仿宋" w:cs="仿宋"/>
                <w:b/>
                <w:bCs/>
                <w:color w:val="000000"/>
                <w:kern w:val="0"/>
                <w:sz w:val="24"/>
              </w:rPr>
              <w:t>5</w:t>
            </w:r>
          </w:p>
        </w:tc>
      </w:tr>
    </w:tbl>
    <w:p>
      <w:pPr>
        <w:pStyle w:val="2"/>
        <w:ind w:firstLine="560"/>
        <w:rPr>
          <w:rFonts w:cs="Times New Roman"/>
        </w:rPr>
      </w:pPr>
      <w:r>
        <w:rPr>
          <w:rFonts w:hint="eastAsia" w:cs="Times New Roman"/>
        </w:rPr>
        <w:t>漯河经济技术开发区城市管理执法大队</w:t>
      </w:r>
      <w:r>
        <w:rPr>
          <w:rFonts w:cs="Times New Roman"/>
        </w:rPr>
        <w:t>“</w:t>
      </w:r>
      <w:r>
        <w:rPr>
          <w:rFonts w:hint="eastAsia" w:cs="Times New Roman"/>
        </w:rPr>
        <w:t>门头改造工程</w:t>
      </w:r>
      <w:r>
        <w:rPr>
          <w:rFonts w:cs="Times New Roman"/>
        </w:rPr>
        <w:t>”</w:t>
      </w:r>
      <w:r>
        <w:rPr>
          <w:rFonts w:hint="eastAsia" w:cs="Times New Roman"/>
        </w:rPr>
        <w:t>项目</w:t>
      </w:r>
      <w:r>
        <w:rPr>
          <w:rFonts w:cs="Times New Roman"/>
        </w:rPr>
        <w:t>支出绩效评价指标体系总分100分，评价得分</w:t>
      </w:r>
      <w:r>
        <w:rPr>
          <w:rFonts w:hint="eastAsia" w:cs="Times New Roman"/>
          <w:lang w:val="en-US" w:eastAsia="zh-CN"/>
        </w:rPr>
        <w:t>89.25</w:t>
      </w:r>
      <w:r>
        <w:rPr>
          <w:rFonts w:cs="Times New Roman"/>
        </w:rPr>
        <w:t>分，得分率为</w:t>
      </w:r>
      <w:r>
        <w:rPr>
          <w:rFonts w:hint="eastAsia" w:cs="Times New Roman"/>
          <w:lang w:val="en-US" w:eastAsia="zh-CN"/>
        </w:rPr>
        <w:t>89.25</w:t>
      </w:r>
      <w:r>
        <w:rPr>
          <w:rFonts w:cs="Times New Roman"/>
        </w:rPr>
        <w:t>%。各级评价指标得分情况详见附件3。</w:t>
      </w:r>
      <w:bookmarkStart w:id="70" w:name="_Toc67315588"/>
      <w:bookmarkStart w:id="71" w:name="_Toc23116"/>
    </w:p>
    <w:p>
      <w:pPr>
        <w:pStyle w:val="3"/>
      </w:pPr>
      <w:bookmarkStart w:id="72" w:name="_Toc32570"/>
      <w:r>
        <w:t>四、绩效评价指标分析</w:t>
      </w:r>
      <w:bookmarkEnd w:id="70"/>
      <w:bookmarkEnd w:id="71"/>
      <w:bookmarkEnd w:id="72"/>
    </w:p>
    <w:p>
      <w:pPr>
        <w:pStyle w:val="2"/>
        <w:ind w:firstLine="560"/>
        <w:rPr>
          <w:rFonts w:cs="Times New Roman"/>
        </w:rPr>
      </w:pPr>
      <w:r>
        <w:rPr>
          <w:rFonts w:cs="Times New Roman"/>
        </w:rPr>
        <w:t>本绩效评价指标体系包括项目决策情况、项目过程情况、项目产出情况及项目效果情况，具体分值分布情况如图1：</w:t>
      </w:r>
    </w:p>
    <w:p>
      <w:pPr>
        <w:pStyle w:val="2"/>
        <w:ind w:firstLine="560"/>
        <w:rPr>
          <w:rFonts w:cs="Times New Roman"/>
        </w:rPr>
      </w:pPr>
      <w:r>
        <w:rPr>
          <w:rFonts w:cs="Times New Roman"/>
        </w:rPr>
        <w:drawing>
          <wp:inline distT="0" distB="0" distL="0" distR="0">
            <wp:extent cx="4568190" cy="2889250"/>
            <wp:effectExtent l="19050" t="0" r="22645" b="5751"/>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4"/>
        <w:ind w:firstLine="602"/>
        <w:rPr>
          <w:rFonts w:cs="Times New Roman"/>
        </w:rPr>
      </w:pPr>
      <w:bookmarkStart w:id="73" w:name="_Toc9826"/>
      <w:bookmarkStart w:id="74" w:name="_Toc67315589"/>
      <w:bookmarkStart w:id="75" w:name="_Toc853"/>
      <w:r>
        <w:rPr>
          <w:rFonts w:cs="Times New Roman"/>
        </w:rPr>
        <w:t>（一）项目决策情况（权重15，得分</w:t>
      </w:r>
      <w:r>
        <w:rPr>
          <w:rFonts w:hint="eastAsia" w:cs="Times New Roman"/>
        </w:rPr>
        <w:t>12.25</w:t>
      </w:r>
      <w:r>
        <w:rPr>
          <w:rFonts w:cs="Times New Roman"/>
        </w:rPr>
        <w:t>）</w:t>
      </w:r>
      <w:bookmarkEnd w:id="73"/>
      <w:bookmarkEnd w:id="74"/>
      <w:bookmarkEnd w:id="75"/>
    </w:p>
    <w:p>
      <w:pPr>
        <w:pStyle w:val="5"/>
        <w:ind w:firstLine="562"/>
        <w:rPr>
          <w:rFonts w:cs="Times New Roman"/>
        </w:rPr>
      </w:pPr>
      <w:bookmarkStart w:id="76" w:name="_Toc9885"/>
      <w:bookmarkStart w:id="77" w:name="_Toc15901"/>
      <w:bookmarkStart w:id="78" w:name="_Toc67315590"/>
      <w:r>
        <w:rPr>
          <w:rFonts w:cs="Times New Roman"/>
        </w:rPr>
        <w:t>1.项目立项（权重5，得分4</w:t>
      </w:r>
      <w:r>
        <w:rPr>
          <w:rFonts w:hint="eastAsia" w:cs="Times New Roman"/>
        </w:rPr>
        <w:t>.5</w:t>
      </w:r>
      <w:r>
        <w:rPr>
          <w:rFonts w:cs="Times New Roman"/>
        </w:rPr>
        <w:t>）</w:t>
      </w:r>
      <w:bookmarkEnd w:id="76"/>
      <w:bookmarkEnd w:id="77"/>
      <w:bookmarkEnd w:id="78"/>
    </w:p>
    <w:p>
      <w:pPr>
        <w:pStyle w:val="2"/>
        <w:ind w:firstLine="560"/>
        <w:rPr>
          <w:rFonts w:cs="Times New Roman"/>
        </w:rPr>
      </w:pPr>
      <w:r>
        <w:rPr>
          <w:rFonts w:cs="Times New Roman"/>
        </w:rPr>
        <w:t>（1）立项依据充分性（权重2.5，得分2.5）</w:t>
      </w:r>
    </w:p>
    <w:p>
      <w:pPr>
        <w:pStyle w:val="2"/>
        <w:ind w:firstLine="562"/>
        <w:rPr>
          <w:rFonts w:cs="Times New Roman"/>
          <w:b/>
        </w:rPr>
      </w:pPr>
      <w:r>
        <w:rPr>
          <w:rFonts w:cs="Times New Roman"/>
          <w:b/>
        </w:rPr>
        <w:t>评分标准：</w:t>
      </w:r>
    </w:p>
    <w:p>
      <w:pPr>
        <w:pStyle w:val="2"/>
        <w:ind w:firstLine="560"/>
        <w:rPr>
          <w:rFonts w:cs="Times New Roman"/>
        </w:rPr>
      </w:pPr>
      <w:r>
        <w:rPr>
          <w:rFonts w:hint="eastAsia" w:ascii="宋体" w:hAnsi="宋体" w:eastAsia="宋体" w:cs="宋体"/>
        </w:rPr>
        <w:t>①</w:t>
      </w:r>
      <w:r>
        <w:rPr>
          <w:rFonts w:cs="Times New Roman"/>
        </w:rPr>
        <w:t>项目立项是否符合国家法律法规、国民经济发展规划和相关政策，0.5分；</w:t>
      </w:r>
    </w:p>
    <w:p>
      <w:pPr>
        <w:pStyle w:val="2"/>
        <w:ind w:firstLine="560"/>
        <w:rPr>
          <w:rFonts w:cs="Times New Roman"/>
        </w:rPr>
      </w:pPr>
      <w:r>
        <w:rPr>
          <w:rFonts w:hint="eastAsia" w:ascii="宋体" w:hAnsi="宋体" w:eastAsia="宋体" w:cs="宋体"/>
        </w:rPr>
        <w:t>②</w:t>
      </w:r>
      <w:r>
        <w:rPr>
          <w:rFonts w:cs="Times New Roman"/>
        </w:rPr>
        <w:t>项目立项是否符合行业发展规划和政策要求，0.5分；</w:t>
      </w:r>
    </w:p>
    <w:p>
      <w:pPr>
        <w:pStyle w:val="2"/>
        <w:ind w:firstLine="560"/>
        <w:rPr>
          <w:rFonts w:cs="Times New Roman"/>
        </w:rPr>
      </w:pPr>
      <w:r>
        <w:rPr>
          <w:rFonts w:hint="eastAsia" w:ascii="宋体" w:hAnsi="宋体" w:eastAsia="宋体" w:cs="宋体"/>
        </w:rPr>
        <w:t>③</w:t>
      </w:r>
      <w:r>
        <w:rPr>
          <w:rFonts w:cs="Times New Roman"/>
        </w:rPr>
        <w:t>项目立项是否与部门职责范围相符，属于部门履职所需，系能够充分支持项目立项所要解决的问题；0.5分；</w:t>
      </w:r>
    </w:p>
    <w:p>
      <w:pPr>
        <w:pStyle w:val="2"/>
        <w:ind w:firstLine="560"/>
        <w:rPr>
          <w:rFonts w:cs="Times New Roman"/>
        </w:rPr>
      </w:pPr>
      <w:r>
        <w:rPr>
          <w:rFonts w:hint="eastAsia" w:ascii="宋体" w:hAnsi="宋体" w:eastAsia="宋体" w:cs="宋体"/>
        </w:rPr>
        <w:t>④</w:t>
      </w:r>
      <w:r>
        <w:rPr>
          <w:rFonts w:cs="Times New Roman"/>
        </w:rPr>
        <w:t>项目是否属于公共财政支持范围，是否符合中央、地方事权支出责任划分原则，0.5分；</w:t>
      </w:r>
    </w:p>
    <w:p>
      <w:pPr>
        <w:pStyle w:val="2"/>
        <w:ind w:firstLine="560"/>
        <w:rPr>
          <w:rFonts w:cs="Times New Roman"/>
        </w:rPr>
      </w:pPr>
      <w:r>
        <w:rPr>
          <w:rFonts w:hint="eastAsia" w:ascii="宋体" w:hAnsi="宋体" w:eastAsia="宋体" w:cs="宋体"/>
        </w:rPr>
        <w:t>⑤</w:t>
      </w:r>
      <w:r>
        <w:rPr>
          <w:rFonts w:cs="Times New Roman"/>
        </w:rPr>
        <w:t>该项目是否与相关部门同类项目或者部门内部相关项目交叉重复，0.5分。</w:t>
      </w:r>
    </w:p>
    <w:p>
      <w:pPr>
        <w:pStyle w:val="2"/>
        <w:ind w:firstLine="562"/>
        <w:rPr>
          <w:rFonts w:cs="Times New Roman"/>
          <w:b/>
        </w:rPr>
      </w:pPr>
      <w:r>
        <w:rPr>
          <w:rFonts w:cs="Times New Roman"/>
          <w:b/>
        </w:rPr>
        <w:t>得分：</w:t>
      </w:r>
    </w:p>
    <w:p>
      <w:pPr>
        <w:pStyle w:val="2"/>
        <w:ind w:firstLine="560"/>
        <w:rPr>
          <w:rFonts w:cs="Times New Roman"/>
        </w:rPr>
      </w:pPr>
      <w:r>
        <w:rPr>
          <w:rFonts w:hint="eastAsia" w:ascii="仿宋" w:hAnsi="仿宋" w:cs="Times New Roman"/>
        </w:rPr>
        <w:t>①</w:t>
      </w:r>
      <w:r>
        <w:rPr>
          <w:rFonts w:hint="eastAsia" w:cs="Times New Roman"/>
        </w:rPr>
        <w:t>门头改造工程项目</w:t>
      </w:r>
      <w:r>
        <w:rPr>
          <w:rFonts w:cs="Times New Roman"/>
        </w:rPr>
        <w:t>立项申请经漯河经济技术开发区管委会审批通过</w:t>
      </w:r>
      <w:r>
        <w:rPr>
          <w:rFonts w:hint="eastAsia" w:cs="Times New Roman"/>
        </w:rPr>
        <w:t>，</w:t>
      </w:r>
      <w:r>
        <w:rPr>
          <w:rFonts w:cs="Times New Roman"/>
        </w:rPr>
        <w:t>符合国家法律法规、地方相关规定，符合国民经济发展规划和相关政策要求，得0.5分；</w:t>
      </w:r>
    </w:p>
    <w:p>
      <w:pPr>
        <w:pStyle w:val="2"/>
        <w:ind w:firstLine="560"/>
        <w:rPr>
          <w:rFonts w:cs="Times New Roman"/>
        </w:rPr>
      </w:pPr>
      <w:r>
        <w:rPr>
          <w:rFonts w:hint="eastAsia" w:ascii="宋体" w:hAnsi="宋体" w:eastAsia="宋体" w:cs="宋体"/>
        </w:rPr>
        <w:t>②</w:t>
      </w:r>
      <w:r>
        <w:rPr>
          <w:rFonts w:hint="eastAsia" w:ascii="仿宋" w:hAnsi="仿宋" w:cs="仿宋"/>
        </w:rPr>
        <w:t>门头改造工程</w:t>
      </w:r>
      <w:r>
        <w:rPr>
          <w:rFonts w:hint="eastAsia" w:cs="Times New Roman"/>
        </w:rPr>
        <w:t>项目有利于规范门头的设置行为，提升商业价值，让城市的方寸之间更具审美价值，</w:t>
      </w:r>
      <w:r>
        <w:rPr>
          <w:rFonts w:cs="Times New Roman"/>
        </w:rPr>
        <w:t>符合行业发展规划和政策</w:t>
      </w:r>
      <w:r>
        <w:rPr>
          <w:rFonts w:hint="eastAsia" w:cs="Times New Roman"/>
        </w:rPr>
        <w:t>，</w:t>
      </w:r>
      <w:r>
        <w:rPr>
          <w:rFonts w:cs="Times New Roman"/>
        </w:rPr>
        <w:t>得0.5分；</w:t>
      </w:r>
    </w:p>
    <w:p>
      <w:pPr>
        <w:pStyle w:val="2"/>
        <w:ind w:firstLine="560"/>
        <w:rPr>
          <w:rFonts w:cs="Times New Roman"/>
        </w:rPr>
      </w:pPr>
      <w:r>
        <w:rPr>
          <w:rFonts w:hint="eastAsia" w:cs="Times New Roman"/>
        </w:rPr>
        <w:t>③漯河市经济技术开发区城市管理执法大队的职责有“负责区内市容市镜的监察，以及城区门面房商户经营秩序的维护和占道经营查处”，门头改造</w:t>
      </w:r>
      <w:r>
        <w:rPr>
          <w:rFonts w:hint="eastAsia" w:ascii="仿宋" w:hAnsi="仿宋" w:cs="仿宋"/>
        </w:rPr>
        <w:t>工程项目</w:t>
      </w:r>
      <w:r>
        <w:rPr>
          <w:rFonts w:cs="Times New Roman"/>
        </w:rPr>
        <w:t>属于</w:t>
      </w:r>
      <w:r>
        <w:rPr>
          <w:rFonts w:hint="eastAsia" w:cs="Times New Roman"/>
        </w:rPr>
        <w:t>漯河经济技术开发区城市管理执法大队（单位）</w:t>
      </w:r>
      <w:r>
        <w:rPr>
          <w:rFonts w:cs="Times New Roman"/>
        </w:rPr>
        <w:t>部门履职所需，得0.5分；</w:t>
      </w:r>
    </w:p>
    <w:p>
      <w:pPr>
        <w:pStyle w:val="2"/>
        <w:ind w:firstLine="560"/>
        <w:rPr>
          <w:rFonts w:cs="Times New Roman"/>
        </w:rPr>
      </w:pPr>
      <w:r>
        <w:rPr>
          <w:rFonts w:hint="eastAsia" w:ascii="宋体" w:hAnsi="宋体" w:eastAsia="宋体" w:cs="宋体"/>
        </w:rPr>
        <w:t>④</w:t>
      </w:r>
      <w:r>
        <w:rPr>
          <w:rFonts w:hint="eastAsia" w:ascii="仿宋" w:hAnsi="仿宋" w:cs="仿宋"/>
        </w:rPr>
        <w:t>门头改造工程项目服务民生</w:t>
      </w:r>
      <w:r>
        <w:rPr>
          <w:rFonts w:hint="eastAsia" w:eastAsia="宋体" w:cs="Times New Roman"/>
        </w:rPr>
        <w:t>，</w:t>
      </w:r>
      <w:r>
        <w:rPr>
          <w:rFonts w:cs="Times New Roman"/>
        </w:rPr>
        <w:t>是财政部门贯彻落实党中央、国务院精神，坚持以人为本，支持加强基本公共服务的重要举措，是公共财政的重要职责，项目属于公共财政支持范围，符合中央、地方事权支出责任划分原则，得0.5分；</w:t>
      </w:r>
    </w:p>
    <w:p>
      <w:pPr>
        <w:pStyle w:val="2"/>
        <w:ind w:firstLine="560"/>
        <w:rPr>
          <w:rFonts w:cs="Times New Roman"/>
        </w:rPr>
      </w:pPr>
      <w:r>
        <w:rPr>
          <w:rFonts w:hint="eastAsia" w:ascii="宋体" w:hAnsi="宋体" w:eastAsia="宋体" w:cs="宋体"/>
        </w:rPr>
        <w:t>⑤</w:t>
      </w:r>
      <w:r>
        <w:rPr>
          <w:rFonts w:cs="Times New Roman"/>
        </w:rPr>
        <w:t>该项目由</w:t>
      </w:r>
      <w:r>
        <w:rPr>
          <w:rFonts w:hint="eastAsia" w:cs="Times New Roman"/>
        </w:rPr>
        <w:t>漯河经济技术开发区城市管理执法大队（单位）</w:t>
      </w:r>
      <w:r>
        <w:rPr>
          <w:rFonts w:cs="Times New Roman"/>
        </w:rPr>
        <w:t>独立立项项目，不存在与相关部门同类项目或者部门内部相关项目交叉重复交叉的情况，得0.5分。</w:t>
      </w:r>
    </w:p>
    <w:p>
      <w:pPr>
        <w:pStyle w:val="2"/>
        <w:ind w:firstLine="560"/>
        <w:rPr>
          <w:rFonts w:cs="Times New Roman"/>
        </w:rPr>
      </w:pPr>
      <w:r>
        <w:rPr>
          <w:rFonts w:cs="Times New Roman"/>
        </w:rPr>
        <w:t>（2）立项程序规范性（权重2.5，得分</w:t>
      </w:r>
      <w:r>
        <w:rPr>
          <w:rFonts w:hint="eastAsia" w:cs="Times New Roman"/>
        </w:rPr>
        <w:t>2</w:t>
      </w:r>
      <w:r>
        <w:rPr>
          <w:rFonts w:cs="Times New Roman"/>
        </w:rPr>
        <w:t>）</w:t>
      </w:r>
    </w:p>
    <w:p>
      <w:pPr>
        <w:pStyle w:val="2"/>
        <w:ind w:firstLine="562"/>
        <w:rPr>
          <w:rFonts w:cs="Times New Roman"/>
          <w:b/>
        </w:rPr>
      </w:pPr>
      <w:r>
        <w:rPr>
          <w:rFonts w:cs="Times New Roman"/>
          <w:b/>
        </w:rPr>
        <w:t>评分标准：</w:t>
      </w:r>
    </w:p>
    <w:p>
      <w:pPr>
        <w:pStyle w:val="2"/>
        <w:ind w:firstLine="560"/>
        <w:rPr>
          <w:rFonts w:cs="Times New Roman"/>
        </w:rPr>
      </w:pPr>
      <w:r>
        <w:rPr>
          <w:rFonts w:hint="eastAsia" w:ascii="宋体" w:hAnsi="宋体" w:eastAsia="宋体" w:cs="宋体"/>
        </w:rPr>
        <w:t>①</w:t>
      </w:r>
      <w:r>
        <w:rPr>
          <w:rFonts w:cs="Times New Roman"/>
        </w:rPr>
        <w:t>项目是否按照规定的程序申请设立，0.75分；</w:t>
      </w:r>
    </w:p>
    <w:p>
      <w:pPr>
        <w:pStyle w:val="2"/>
        <w:ind w:firstLine="560"/>
        <w:rPr>
          <w:rFonts w:cs="Times New Roman"/>
        </w:rPr>
      </w:pPr>
      <w:r>
        <w:rPr>
          <w:rFonts w:hint="eastAsia" w:ascii="宋体" w:hAnsi="宋体" w:eastAsia="宋体" w:cs="宋体"/>
        </w:rPr>
        <w:t>②</w:t>
      </w:r>
      <w:r>
        <w:rPr>
          <w:rFonts w:cs="Times New Roman"/>
        </w:rPr>
        <w:t>审批文件、材料是否符合相关要求，0.75分；</w:t>
      </w:r>
    </w:p>
    <w:p>
      <w:pPr>
        <w:pStyle w:val="2"/>
        <w:ind w:firstLine="560"/>
        <w:rPr>
          <w:rFonts w:cs="Times New Roman"/>
        </w:rPr>
      </w:pPr>
      <w:r>
        <w:rPr>
          <w:rFonts w:hint="eastAsia" w:ascii="宋体" w:hAnsi="宋体" w:eastAsia="宋体" w:cs="宋体"/>
        </w:rPr>
        <w:t>③</w:t>
      </w:r>
      <w:r>
        <w:rPr>
          <w:rFonts w:cs="Times New Roman"/>
        </w:rPr>
        <w:t>事前是否已经过必要的可行性研究、专家论证、风险评估、集体决策等，1分。</w:t>
      </w:r>
    </w:p>
    <w:p>
      <w:pPr>
        <w:pStyle w:val="2"/>
        <w:ind w:firstLine="562"/>
        <w:rPr>
          <w:rFonts w:cs="Times New Roman"/>
          <w:b/>
        </w:rPr>
      </w:pPr>
      <w:r>
        <w:rPr>
          <w:rFonts w:cs="Times New Roman"/>
          <w:b/>
        </w:rPr>
        <w:t>得分：</w:t>
      </w:r>
    </w:p>
    <w:p>
      <w:pPr>
        <w:pStyle w:val="2"/>
        <w:ind w:firstLine="560"/>
        <w:rPr>
          <w:rFonts w:cs="Times New Roman"/>
          <w:highlight w:val="yellow"/>
        </w:rPr>
      </w:pPr>
      <w:r>
        <w:rPr>
          <w:rFonts w:hint="eastAsia" w:ascii="宋体" w:hAnsi="宋体" w:eastAsia="宋体" w:cs="宋体"/>
        </w:rPr>
        <w:t>①</w:t>
      </w:r>
      <w:r>
        <w:rPr>
          <w:rFonts w:hint="eastAsia" w:cs="Times New Roman"/>
        </w:rPr>
        <w:t>漯河经济技术开发区城市管理执法大队（单位）</w:t>
      </w:r>
      <w:r>
        <w:rPr>
          <w:rFonts w:cs="Times New Roman"/>
        </w:rPr>
        <w:t>根据</w:t>
      </w:r>
      <w:r>
        <w:rPr>
          <w:rFonts w:hint="eastAsia" w:cs="Times New Roman"/>
        </w:rPr>
        <w:t>漯开纪要</w:t>
      </w:r>
      <w:r>
        <w:rPr>
          <w:rFonts w:hint="eastAsia" w:ascii="仿宋" w:hAnsi="仿宋" w:cs="仿宋"/>
        </w:rPr>
        <w:t>〔</w:t>
      </w:r>
      <w:r>
        <w:rPr>
          <w:rFonts w:hint="eastAsia" w:cs="Times New Roman"/>
        </w:rPr>
        <w:t>2020</w:t>
      </w:r>
      <w:r>
        <w:rPr>
          <w:rFonts w:hint="eastAsia" w:ascii="仿宋" w:hAnsi="仿宋" w:cs="仿宋"/>
        </w:rPr>
        <w:t>〕71号文件</w:t>
      </w:r>
      <w:r>
        <w:rPr>
          <w:rFonts w:cs="Times New Roman"/>
        </w:rPr>
        <w:t>，为</w:t>
      </w:r>
      <w:r>
        <w:rPr>
          <w:rFonts w:hint="eastAsia" w:cs="Times New Roman"/>
        </w:rPr>
        <w:t>开展门头改造工程项目进行了招投标、工程造价咨询、资金申请等相关手续</w:t>
      </w:r>
      <w:r>
        <w:rPr>
          <w:rFonts w:cs="Times New Roman"/>
        </w:rPr>
        <w:t>；该项目资金申请按照有关程序和规定依法执行，项目符合按照规定的程序申请设立要求，得0.75分；</w:t>
      </w:r>
    </w:p>
    <w:p>
      <w:pPr>
        <w:pStyle w:val="2"/>
        <w:ind w:firstLine="560"/>
        <w:rPr>
          <w:rFonts w:cs="Times New Roman"/>
        </w:rPr>
      </w:pPr>
      <w:r>
        <w:rPr>
          <w:rFonts w:hint="eastAsia" w:ascii="宋体" w:hAnsi="宋体" w:eastAsia="宋体" w:cs="宋体"/>
        </w:rPr>
        <w:t>②</w:t>
      </w:r>
      <w:r>
        <w:rPr>
          <w:rFonts w:cs="Times New Roman"/>
        </w:rPr>
        <w:t>由上述</w:t>
      </w:r>
      <w:r>
        <w:rPr>
          <w:rFonts w:hint="eastAsia" w:ascii="宋体" w:hAnsi="宋体" w:eastAsia="宋体" w:cs="宋体"/>
        </w:rPr>
        <w:t>①</w:t>
      </w:r>
      <w:r>
        <w:rPr>
          <w:rFonts w:cs="Times New Roman"/>
        </w:rPr>
        <w:t>中内容可得出结论，项目立项申请及方案、批复文件均按照相关程序出具，审批文件、材料均符合相关要求，得0.75分；</w:t>
      </w:r>
    </w:p>
    <w:p>
      <w:pPr>
        <w:pStyle w:val="2"/>
        <w:ind w:firstLine="560"/>
        <w:rPr>
          <w:rFonts w:cs="Times New Roman"/>
        </w:rPr>
      </w:pPr>
      <w:r>
        <w:rPr>
          <w:rFonts w:hint="eastAsia" w:cs="Times New Roman"/>
        </w:rPr>
        <w:t>③该</w:t>
      </w:r>
      <w:r>
        <w:rPr>
          <w:rFonts w:cs="Times New Roman"/>
        </w:rPr>
        <w:t>项目提供</w:t>
      </w:r>
      <w:r>
        <w:rPr>
          <w:rFonts w:hint="eastAsia" w:cs="Times New Roman"/>
        </w:rPr>
        <w:t>了</w:t>
      </w:r>
      <w:r>
        <w:rPr>
          <w:rFonts w:cs="Times New Roman"/>
        </w:rPr>
        <w:t>相关</w:t>
      </w:r>
      <w:r>
        <w:rPr>
          <w:rFonts w:hint="eastAsia" w:cs="Times New Roman"/>
        </w:rPr>
        <w:t>工程造价咨询、招投标、合同等资料</w:t>
      </w:r>
      <w:r>
        <w:rPr>
          <w:rFonts w:cs="Times New Roman"/>
        </w:rPr>
        <w:t>，</w:t>
      </w:r>
      <w:r>
        <w:rPr>
          <w:rFonts w:hint="eastAsia" w:cs="Times New Roman"/>
        </w:rPr>
        <w:t>但缺少立项所需的可研报告、相关论证及决策等资料，</w:t>
      </w:r>
      <w:r>
        <w:rPr>
          <w:rFonts w:cs="Times New Roman"/>
        </w:rPr>
        <w:t>得</w:t>
      </w:r>
      <w:r>
        <w:rPr>
          <w:rFonts w:hint="eastAsia" w:cs="Times New Roman"/>
        </w:rPr>
        <w:t>0.5</w:t>
      </w:r>
      <w:r>
        <w:rPr>
          <w:rFonts w:cs="Times New Roman"/>
        </w:rPr>
        <w:t>分。</w:t>
      </w:r>
    </w:p>
    <w:p>
      <w:pPr>
        <w:pStyle w:val="5"/>
        <w:ind w:firstLine="562"/>
        <w:rPr>
          <w:rFonts w:cs="Times New Roman"/>
        </w:rPr>
      </w:pPr>
      <w:bookmarkStart w:id="79" w:name="_Toc10963"/>
      <w:bookmarkStart w:id="80" w:name="_Toc67315591"/>
      <w:bookmarkStart w:id="81" w:name="_Toc32712"/>
      <w:r>
        <w:rPr>
          <w:rFonts w:cs="Times New Roman"/>
        </w:rPr>
        <w:t>2.绩效目标（权重5，得分</w:t>
      </w:r>
      <w:r>
        <w:rPr>
          <w:rFonts w:hint="eastAsia" w:cs="Times New Roman"/>
        </w:rPr>
        <w:t>4</w:t>
      </w:r>
      <w:r>
        <w:rPr>
          <w:rFonts w:cs="Times New Roman"/>
        </w:rPr>
        <w:t>）</w:t>
      </w:r>
      <w:bookmarkEnd w:id="79"/>
      <w:bookmarkEnd w:id="80"/>
      <w:bookmarkEnd w:id="81"/>
    </w:p>
    <w:p>
      <w:pPr>
        <w:pStyle w:val="2"/>
        <w:ind w:firstLine="560"/>
        <w:rPr>
          <w:rFonts w:cs="Times New Roman"/>
        </w:rPr>
      </w:pPr>
      <w:r>
        <w:rPr>
          <w:rFonts w:cs="Times New Roman"/>
        </w:rPr>
        <w:t>（1）绩效目标合理性（权重2.5，得分2.</w:t>
      </w:r>
      <w:r>
        <w:rPr>
          <w:rFonts w:hint="eastAsia" w:cs="Times New Roman"/>
        </w:rPr>
        <w:t>25</w:t>
      </w:r>
      <w:r>
        <w:rPr>
          <w:rFonts w:cs="Times New Roman"/>
        </w:rPr>
        <w:t>）</w:t>
      </w:r>
    </w:p>
    <w:p>
      <w:pPr>
        <w:pStyle w:val="2"/>
        <w:ind w:firstLine="562"/>
        <w:rPr>
          <w:rFonts w:cs="Times New Roman"/>
          <w:b/>
        </w:rPr>
      </w:pPr>
      <w:r>
        <w:rPr>
          <w:rFonts w:cs="Times New Roman"/>
          <w:b/>
        </w:rPr>
        <w:t>评分标准：</w:t>
      </w:r>
    </w:p>
    <w:p>
      <w:pPr>
        <w:pStyle w:val="2"/>
        <w:ind w:firstLine="560"/>
        <w:rPr>
          <w:rFonts w:cs="Times New Roman"/>
        </w:rPr>
      </w:pPr>
      <w:r>
        <w:rPr>
          <w:rFonts w:hint="eastAsia" w:ascii="宋体" w:hAnsi="宋体" w:eastAsia="宋体" w:cs="宋体"/>
        </w:rPr>
        <w:t>①</w:t>
      </w:r>
      <w:r>
        <w:rPr>
          <w:rFonts w:cs="Times New Roman"/>
        </w:rPr>
        <w:t>项目是否有绩效目标，0.5分；</w:t>
      </w:r>
    </w:p>
    <w:p>
      <w:pPr>
        <w:pStyle w:val="2"/>
        <w:ind w:firstLine="560"/>
        <w:rPr>
          <w:rFonts w:cs="Times New Roman"/>
        </w:rPr>
      </w:pPr>
      <w:r>
        <w:rPr>
          <w:rFonts w:hint="eastAsia" w:ascii="宋体" w:hAnsi="宋体" w:eastAsia="宋体" w:cs="宋体"/>
        </w:rPr>
        <w:t>②</w:t>
      </w:r>
      <w:r>
        <w:rPr>
          <w:rFonts w:cs="Times New Roman"/>
        </w:rPr>
        <w:t>是否与项目实施单位或委托单位职责密切相关，0.5分；</w:t>
      </w:r>
    </w:p>
    <w:p>
      <w:pPr>
        <w:pStyle w:val="2"/>
        <w:ind w:firstLine="560"/>
        <w:rPr>
          <w:rFonts w:cs="Times New Roman"/>
        </w:rPr>
      </w:pPr>
      <w:r>
        <w:rPr>
          <w:rFonts w:hint="eastAsia" w:ascii="宋体" w:hAnsi="宋体" w:eastAsia="宋体" w:cs="宋体"/>
        </w:rPr>
        <w:t>③</w:t>
      </w:r>
      <w:r>
        <w:rPr>
          <w:rFonts w:cs="Times New Roman"/>
        </w:rPr>
        <w:t>项目预期产出和效果是否符合正常的业绩水平，0.5分；</w:t>
      </w:r>
    </w:p>
    <w:p>
      <w:pPr>
        <w:pStyle w:val="2"/>
        <w:ind w:firstLine="560"/>
        <w:rPr>
          <w:rFonts w:cs="Times New Roman"/>
        </w:rPr>
      </w:pPr>
      <w:r>
        <w:rPr>
          <w:rFonts w:hint="eastAsia" w:ascii="宋体" w:hAnsi="宋体" w:eastAsia="宋体" w:cs="宋体"/>
        </w:rPr>
        <w:t>④</w:t>
      </w:r>
      <w:r>
        <w:rPr>
          <w:rFonts w:cs="Times New Roman"/>
        </w:rPr>
        <w:t>是否符合国家相关法律法规、国民经济发展规划和党委政府决策，0.5分；</w:t>
      </w:r>
    </w:p>
    <w:p>
      <w:pPr>
        <w:pStyle w:val="2"/>
        <w:ind w:firstLine="560"/>
        <w:rPr>
          <w:rFonts w:cs="Times New Roman"/>
        </w:rPr>
      </w:pPr>
      <w:r>
        <w:rPr>
          <w:rFonts w:hint="eastAsia" w:ascii="宋体" w:hAnsi="宋体" w:eastAsia="宋体" w:cs="宋体"/>
        </w:rPr>
        <w:t>⑤</w:t>
      </w:r>
      <w:r>
        <w:rPr>
          <w:rFonts w:cs="Times New Roman"/>
        </w:rPr>
        <w:t>项目是否为促进事业发展所必需，0.5分。</w:t>
      </w:r>
    </w:p>
    <w:p>
      <w:pPr>
        <w:pStyle w:val="2"/>
        <w:ind w:firstLine="560"/>
        <w:rPr>
          <w:rFonts w:cs="Times New Roman"/>
        </w:rPr>
      </w:pPr>
      <w:r>
        <w:rPr>
          <w:rFonts w:ascii="Segoe UI Symbol" w:hAnsi="Segoe UI Symbol" w:cs="Segoe UI Symbol"/>
        </w:rPr>
        <w:t>★</w:t>
      </w:r>
      <w:r>
        <w:rPr>
          <w:rFonts w:cs="Times New Roman"/>
        </w:rPr>
        <w:t>如未要求制定预算绩效目标，也可考核其他工作任务目标。</w:t>
      </w:r>
    </w:p>
    <w:p>
      <w:pPr>
        <w:pStyle w:val="2"/>
        <w:ind w:firstLine="562"/>
        <w:rPr>
          <w:rFonts w:cs="Times New Roman"/>
          <w:b/>
        </w:rPr>
      </w:pPr>
      <w:r>
        <w:rPr>
          <w:rFonts w:cs="Times New Roman"/>
          <w:b/>
        </w:rPr>
        <w:t>得分：</w:t>
      </w:r>
    </w:p>
    <w:p>
      <w:pPr>
        <w:pStyle w:val="2"/>
        <w:ind w:firstLine="560"/>
        <w:rPr>
          <w:rFonts w:cs="Times New Roman"/>
        </w:rPr>
      </w:pPr>
      <w:r>
        <w:rPr>
          <w:rFonts w:hint="eastAsia" w:cs="Times New Roman"/>
        </w:rPr>
        <w:t>①由“一、（二）”可知，</w:t>
      </w:r>
      <w:r>
        <w:rPr>
          <w:rFonts w:cs="Times New Roman"/>
        </w:rPr>
        <w:t>项目的整体绩效目标：</w:t>
      </w:r>
      <w:r>
        <w:rPr>
          <w:rFonts w:hint="eastAsia" w:cs="Times New Roman"/>
        </w:rPr>
        <w:t>对解放路南段及湘江路小学周边门头进行改造，项目全年预算数954400元，但缺少阶段性目标，</w:t>
      </w:r>
      <w:r>
        <w:rPr>
          <w:rFonts w:cs="Times New Roman"/>
        </w:rPr>
        <w:t>得0.</w:t>
      </w:r>
      <w:r>
        <w:rPr>
          <w:rFonts w:hint="eastAsia" w:cs="Times New Roman"/>
        </w:rPr>
        <w:t>2</w:t>
      </w:r>
      <w:r>
        <w:rPr>
          <w:rFonts w:cs="Times New Roman"/>
        </w:rPr>
        <w:t>5分；</w:t>
      </w:r>
    </w:p>
    <w:p>
      <w:pPr>
        <w:pStyle w:val="2"/>
        <w:ind w:firstLine="560"/>
        <w:rPr>
          <w:rFonts w:cs="Times New Roman"/>
        </w:rPr>
      </w:pPr>
      <w:r>
        <w:rPr>
          <w:rFonts w:hint="eastAsia" w:ascii="宋体" w:hAnsi="宋体" w:eastAsia="宋体" w:cs="宋体"/>
        </w:rPr>
        <w:t>②</w:t>
      </w:r>
      <w:r>
        <w:rPr>
          <w:rFonts w:cs="Times New Roman"/>
        </w:rPr>
        <w:t>该项目主要是为了</w:t>
      </w:r>
      <w:r>
        <w:rPr>
          <w:rFonts w:hint="eastAsia" w:cs="Times New Roman"/>
        </w:rPr>
        <w:t>对解放路南段及湘江路小学周边门头进行改造，提升城市形象</w:t>
      </w:r>
      <w:r>
        <w:rPr>
          <w:rFonts w:cs="Times New Roman"/>
        </w:rPr>
        <w:t>，与</w:t>
      </w:r>
      <w:r>
        <w:rPr>
          <w:rFonts w:hint="eastAsia" w:cs="Times New Roman"/>
        </w:rPr>
        <w:t>漯河经济技术开发区城市管理执法大队（单位）</w:t>
      </w:r>
      <w:r>
        <w:rPr>
          <w:rFonts w:cs="Times New Roman"/>
        </w:rPr>
        <w:t>部门职责密切相关，得0.5分；</w:t>
      </w:r>
    </w:p>
    <w:p>
      <w:pPr>
        <w:pStyle w:val="2"/>
        <w:ind w:firstLine="560"/>
        <w:rPr>
          <w:rFonts w:cs="Times New Roman"/>
        </w:rPr>
      </w:pPr>
      <w:r>
        <w:rPr>
          <w:rFonts w:hint="eastAsia" w:ascii="宋体" w:hAnsi="宋体" w:eastAsia="宋体" w:cs="宋体"/>
        </w:rPr>
        <w:t>③</w:t>
      </w:r>
      <w:r>
        <w:rPr>
          <w:rFonts w:hint="eastAsia" w:cs="Times New Roman"/>
        </w:rPr>
        <w:t>漯河经济技术开发区城市管理执法大队</w:t>
      </w:r>
      <w:r>
        <w:rPr>
          <w:rFonts w:cs="Times New Roman"/>
        </w:rPr>
        <w:t>提供的《</w:t>
      </w:r>
      <w:r>
        <w:rPr>
          <w:rFonts w:hint="eastAsia" w:cs="Times New Roman"/>
        </w:rPr>
        <w:t>工程结算审定签署表</w:t>
      </w:r>
      <w:r>
        <w:rPr>
          <w:rFonts w:cs="Times New Roman"/>
        </w:rPr>
        <w:t>》</w:t>
      </w:r>
      <w:r>
        <w:rPr>
          <w:rFonts w:hint="eastAsia" w:cs="Times New Roman"/>
        </w:rPr>
        <w:t>及费用请示</w:t>
      </w:r>
      <w:r>
        <w:rPr>
          <w:rFonts w:cs="Times New Roman"/>
        </w:rPr>
        <w:t>，对202</w:t>
      </w:r>
      <w:r>
        <w:rPr>
          <w:rFonts w:hint="eastAsia" w:cs="Times New Roman"/>
        </w:rPr>
        <w:t>1</w:t>
      </w:r>
      <w:r>
        <w:rPr>
          <w:rFonts w:cs="Times New Roman"/>
        </w:rPr>
        <w:t>年度</w:t>
      </w:r>
      <w:r>
        <w:rPr>
          <w:rFonts w:hint="eastAsia" w:cs="Times New Roman"/>
        </w:rPr>
        <w:t>漯河经济技术开发区城市管理执法大队95.44</w:t>
      </w:r>
      <w:r>
        <w:rPr>
          <w:rFonts w:cs="Times New Roman"/>
        </w:rPr>
        <w:t>万元的预算支出做出了说明，</w:t>
      </w:r>
      <w:r>
        <w:rPr>
          <w:rFonts w:cs="Times New Roman"/>
          <w:szCs w:val="40"/>
        </w:rPr>
        <w:t>相关活动和项目的开展全部按照计划执行和完成，</w:t>
      </w:r>
      <w:r>
        <w:rPr>
          <w:rFonts w:cs="Times New Roman"/>
        </w:rPr>
        <w:t>预期产出和效果全部符合正常的业绩水平，得0.</w:t>
      </w:r>
      <w:r>
        <w:rPr>
          <w:rFonts w:hint="eastAsia" w:cs="Times New Roman"/>
        </w:rPr>
        <w:t>5</w:t>
      </w:r>
      <w:r>
        <w:rPr>
          <w:rFonts w:cs="Times New Roman"/>
        </w:rPr>
        <w:t>分；</w:t>
      </w:r>
    </w:p>
    <w:p>
      <w:pPr>
        <w:pStyle w:val="2"/>
        <w:ind w:firstLine="560"/>
        <w:rPr>
          <w:rFonts w:cs="Times New Roman"/>
        </w:rPr>
      </w:pPr>
      <w:r>
        <w:rPr>
          <w:rFonts w:hint="eastAsia" w:ascii="宋体" w:hAnsi="宋体" w:eastAsia="宋体" w:cs="宋体"/>
        </w:rPr>
        <w:t>④</w:t>
      </w:r>
      <w:r>
        <w:rPr>
          <w:rFonts w:cs="Times New Roman"/>
        </w:rPr>
        <w:t>项目绩效制定符合国家相关法律法规、国民经济发展规划和党委政府决策，得0.5分；</w:t>
      </w:r>
    </w:p>
    <w:p>
      <w:pPr>
        <w:pStyle w:val="2"/>
        <w:ind w:firstLine="560"/>
        <w:rPr>
          <w:rFonts w:cs="Times New Roman"/>
        </w:rPr>
      </w:pPr>
      <w:r>
        <w:rPr>
          <w:rFonts w:hint="eastAsia" w:ascii="宋体" w:hAnsi="宋体" w:eastAsia="宋体" w:cs="宋体"/>
        </w:rPr>
        <w:t>⑤</w:t>
      </w:r>
      <w:r>
        <w:rPr>
          <w:rFonts w:cs="Times New Roman"/>
        </w:rPr>
        <w:t>该项目的实施有效提高</w:t>
      </w:r>
      <w:r>
        <w:rPr>
          <w:rFonts w:hint="eastAsia" w:cs="Times New Roman"/>
        </w:rPr>
        <w:t>城市形象，实现城市环境</w:t>
      </w:r>
      <w:r>
        <w:rPr>
          <w:rFonts w:cs="Times New Roman"/>
        </w:rPr>
        <w:t>的可持续开展。项目为促进</w:t>
      </w:r>
      <w:r>
        <w:rPr>
          <w:rFonts w:hint="eastAsia" w:cs="Times New Roman"/>
        </w:rPr>
        <w:t>城市</w:t>
      </w:r>
      <w:r>
        <w:rPr>
          <w:rFonts w:cs="Times New Roman"/>
        </w:rPr>
        <w:t>发展所必需，得0.5分。</w:t>
      </w:r>
    </w:p>
    <w:p>
      <w:pPr>
        <w:pStyle w:val="2"/>
        <w:ind w:firstLine="560"/>
        <w:rPr>
          <w:rFonts w:cs="Times New Roman"/>
        </w:rPr>
      </w:pPr>
      <w:r>
        <w:rPr>
          <w:rFonts w:cs="Times New Roman"/>
        </w:rPr>
        <w:t>（2）绩效指标明确性（权重2.5，得分</w:t>
      </w:r>
      <w:r>
        <w:rPr>
          <w:rFonts w:hint="eastAsia" w:cs="Times New Roman"/>
        </w:rPr>
        <w:t>1.75</w:t>
      </w:r>
      <w:r>
        <w:rPr>
          <w:rFonts w:cs="Times New Roman"/>
        </w:rPr>
        <w:t>分）</w:t>
      </w:r>
    </w:p>
    <w:p>
      <w:pPr>
        <w:pStyle w:val="2"/>
        <w:ind w:firstLine="562"/>
        <w:rPr>
          <w:rFonts w:cs="Times New Roman"/>
          <w:b/>
        </w:rPr>
      </w:pPr>
      <w:r>
        <w:rPr>
          <w:rFonts w:cs="Times New Roman"/>
          <w:b/>
        </w:rPr>
        <w:t>评分标准：</w:t>
      </w:r>
    </w:p>
    <w:p>
      <w:pPr>
        <w:pStyle w:val="2"/>
        <w:ind w:firstLine="560"/>
        <w:rPr>
          <w:rFonts w:cs="Times New Roman"/>
        </w:rPr>
      </w:pPr>
      <w:r>
        <w:rPr>
          <w:rFonts w:hint="eastAsia" w:ascii="宋体" w:hAnsi="宋体" w:eastAsia="宋体" w:cs="宋体"/>
        </w:rPr>
        <w:t>①</w:t>
      </w:r>
      <w:r>
        <w:rPr>
          <w:rFonts w:cs="Times New Roman"/>
        </w:rPr>
        <w:t>是否将项目绩效目标细化分解为具体的绩效指标，1分；</w:t>
      </w:r>
    </w:p>
    <w:p>
      <w:pPr>
        <w:pStyle w:val="2"/>
        <w:ind w:firstLine="560"/>
        <w:rPr>
          <w:rFonts w:cs="Times New Roman"/>
        </w:rPr>
      </w:pPr>
      <w:r>
        <w:rPr>
          <w:rFonts w:hint="eastAsia" w:ascii="宋体" w:hAnsi="宋体" w:eastAsia="宋体" w:cs="宋体"/>
        </w:rPr>
        <w:t>②</w:t>
      </w:r>
      <w:r>
        <w:rPr>
          <w:rFonts w:cs="Times New Roman"/>
        </w:rPr>
        <w:t>是否通过清晰、可衡量的指标值予以体现，0.5分；</w:t>
      </w:r>
    </w:p>
    <w:p>
      <w:pPr>
        <w:pStyle w:val="2"/>
        <w:ind w:firstLine="560"/>
        <w:rPr>
          <w:rFonts w:cs="Times New Roman"/>
        </w:rPr>
      </w:pPr>
      <w:r>
        <w:rPr>
          <w:rFonts w:hint="eastAsia" w:ascii="宋体" w:hAnsi="宋体" w:eastAsia="宋体" w:cs="宋体"/>
        </w:rPr>
        <w:t>③</w:t>
      </w:r>
      <w:r>
        <w:rPr>
          <w:rFonts w:cs="Times New Roman"/>
        </w:rPr>
        <w:t>是否与项目目标任务数或计划数相对应，0.5分；</w:t>
      </w:r>
    </w:p>
    <w:p>
      <w:pPr>
        <w:pStyle w:val="2"/>
        <w:ind w:firstLine="560"/>
        <w:rPr>
          <w:rFonts w:cs="Times New Roman"/>
        </w:rPr>
      </w:pPr>
      <w:r>
        <w:rPr>
          <w:rFonts w:hint="eastAsia" w:ascii="宋体" w:hAnsi="宋体" w:eastAsia="宋体" w:cs="宋体"/>
        </w:rPr>
        <w:t>④</w:t>
      </w:r>
      <w:r>
        <w:rPr>
          <w:rFonts w:cs="Times New Roman"/>
        </w:rPr>
        <w:t>是否与预算确定的项目投资额或资金量相匹配，0.5分。</w:t>
      </w:r>
    </w:p>
    <w:p>
      <w:pPr>
        <w:pStyle w:val="2"/>
        <w:ind w:firstLine="562"/>
        <w:rPr>
          <w:rFonts w:cs="Times New Roman"/>
          <w:b/>
        </w:rPr>
      </w:pPr>
      <w:r>
        <w:rPr>
          <w:rFonts w:cs="Times New Roman"/>
          <w:b/>
        </w:rPr>
        <w:t>得分：</w:t>
      </w:r>
    </w:p>
    <w:p>
      <w:pPr>
        <w:pStyle w:val="2"/>
        <w:ind w:firstLine="560"/>
        <w:rPr>
          <w:rFonts w:cs="Times New Roman"/>
        </w:rPr>
      </w:pPr>
      <w:r>
        <w:rPr>
          <w:rFonts w:hint="eastAsia" w:ascii="宋体" w:hAnsi="宋体" w:eastAsia="宋体" w:cs="宋体"/>
        </w:rPr>
        <w:t>①</w:t>
      </w:r>
      <w:r>
        <w:rPr>
          <w:rFonts w:cs="Times New Roman"/>
        </w:rPr>
        <w:t>项目绩效目标进行了细化分解，细分为</w:t>
      </w:r>
      <w:r>
        <w:rPr>
          <w:rFonts w:hint="eastAsia" w:cs="Times New Roman"/>
        </w:rPr>
        <w:t>门头改造次数、门头改造数量、门头改造完成率、工程合格率、工程完成时间、监理费、设计费、工程费用等指标且设置指标值，但是成本费用指标不完整，缺少造价费、结算审核费等费用指标，对项目施工中可量化的部分，未设置具体的指标值，如缺少</w:t>
      </w:r>
      <w:r>
        <w:rPr>
          <w:rFonts w:cs="Times New Roman"/>
        </w:rPr>
        <w:t>原门头龙骨及饰面拆除</w:t>
      </w:r>
      <w:r>
        <w:rPr>
          <w:rFonts w:hint="eastAsia" w:cs="Times New Roman"/>
        </w:rPr>
        <w:t>、</w:t>
      </w:r>
      <w:r>
        <w:rPr>
          <w:rFonts w:cs="Times New Roman"/>
        </w:rPr>
        <w:t>门头装饰板</w:t>
      </w:r>
      <w:r>
        <w:rPr>
          <w:rFonts w:hint="eastAsia" w:cs="Times New Roman"/>
        </w:rPr>
        <w:t>、门头下龙骨、彩钢瓦保护层、PVC门头字</w:t>
      </w:r>
      <w:r>
        <w:rPr>
          <w:rFonts w:cs="Times New Roman"/>
        </w:rPr>
        <w:t>等</w:t>
      </w:r>
      <w:r>
        <w:rPr>
          <w:rFonts w:hint="eastAsia" w:cs="Times New Roman"/>
        </w:rPr>
        <w:t>量化指标</w:t>
      </w:r>
      <w:r>
        <w:rPr>
          <w:rFonts w:cs="Times New Roman"/>
        </w:rPr>
        <w:t>，</w:t>
      </w:r>
      <w:r>
        <w:rPr>
          <w:rFonts w:hint="eastAsia" w:cs="Times New Roman"/>
        </w:rPr>
        <w:t>无法全面反映绩效目标的完成情况，</w:t>
      </w:r>
      <w:r>
        <w:rPr>
          <w:rFonts w:cs="Times New Roman"/>
        </w:rPr>
        <w:t>得</w:t>
      </w:r>
      <w:r>
        <w:rPr>
          <w:rFonts w:hint="eastAsia" w:cs="Times New Roman"/>
        </w:rPr>
        <w:t>0.5</w:t>
      </w:r>
      <w:r>
        <w:rPr>
          <w:rFonts w:cs="Times New Roman"/>
        </w:rPr>
        <w:t>分；</w:t>
      </w:r>
    </w:p>
    <w:p>
      <w:pPr>
        <w:pStyle w:val="2"/>
        <w:ind w:firstLine="560"/>
        <w:rPr>
          <w:rFonts w:cs="Times New Roman"/>
        </w:rPr>
      </w:pPr>
      <w:r>
        <w:rPr>
          <w:rFonts w:hint="eastAsia" w:ascii="宋体" w:hAnsi="宋体" w:eastAsia="宋体" w:cs="宋体"/>
        </w:rPr>
        <w:t>②</w:t>
      </w:r>
      <w:r>
        <w:rPr>
          <w:rFonts w:cs="Times New Roman"/>
        </w:rPr>
        <w:t>上述绩效目标的指标值分别为：</w:t>
      </w:r>
      <w:r>
        <w:rPr>
          <w:rFonts w:hint="eastAsia" w:cs="Times New Roman"/>
        </w:rPr>
        <w:t>门头改造次数≥1次、门头改造数量≥171间、门头改造完成率≥100％、工程合格率≥100％、工程完成时间20天、监理费1.8万、设计费3.6万、工程费用89.5万，但如①所述，指标设置不完整，</w:t>
      </w:r>
      <w:r>
        <w:rPr>
          <w:rFonts w:cs="Times New Roman"/>
        </w:rPr>
        <w:t>项目绩效目标</w:t>
      </w:r>
      <w:r>
        <w:rPr>
          <w:rFonts w:hint="eastAsia" w:cs="Times New Roman"/>
        </w:rPr>
        <w:t>无法得到全面体现</w:t>
      </w:r>
      <w:r>
        <w:rPr>
          <w:rFonts w:cs="Times New Roman"/>
        </w:rPr>
        <w:t>，得0.</w:t>
      </w:r>
      <w:r>
        <w:rPr>
          <w:rFonts w:hint="eastAsia" w:cs="Times New Roman"/>
        </w:rPr>
        <w:t>2</w:t>
      </w:r>
      <w:r>
        <w:rPr>
          <w:rFonts w:cs="Times New Roman"/>
        </w:rPr>
        <w:t>5分；</w:t>
      </w:r>
    </w:p>
    <w:p>
      <w:pPr>
        <w:pStyle w:val="2"/>
        <w:ind w:firstLine="560"/>
        <w:rPr>
          <w:rFonts w:cs="Times New Roman"/>
        </w:rPr>
      </w:pPr>
      <w:r>
        <w:rPr>
          <w:rFonts w:hint="eastAsia" w:ascii="宋体" w:hAnsi="宋体" w:eastAsia="宋体" w:cs="宋体"/>
        </w:rPr>
        <w:t>③</w:t>
      </w:r>
      <w:r>
        <w:rPr>
          <w:rFonts w:cs="Times New Roman"/>
        </w:rPr>
        <w:t>绩效目标为</w:t>
      </w:r>
      <w:r>
        <w:rPr>
          <w:rFonts w:hint="eastAsia" w:cs="Times New Roman"/>
        </w:rPr>
        <w:t>对解放路南段及湘江路小学周边门头进行改造，</w:t>
      </w:r>
      <w:r>
        <w:rPr>
          <w:rFonts w:cs="Times New Roman"/>
        </w:rPr>
        <w:t>与项目任务数相对应，得0.5分；</w:t>
      </w:r>
    </w:p>
    <w:p>
      <w:pPr>
        <w:pStyle w:val="2"/>
        <w:ind w:firstLine="560"/>
        <w:rPr>
          <w:rFonts w:eastAsia="楷体_GB2312" w:cs="Times New Roman"/>
          <w:highlight w:val="yellow"/>
        </w:rPr>
      </w:pPr>
      <w:r>
        <w:rPr>
          <w:rFonts w:hint="eastAsia" w:ascii="宋体" w:hAnsi="宋体" w:eastAsia="宋体" w:cs="宋体"/>
        </w:rPr>
        <w:t>④</w:t>
      </w:r>
      <w:r>
        <w:rPr>
          <w:rFonts w:hint="eastAsia" w:cs="Times New Roman"/>
        </w:rPr>
        <w:t>本项目总目标为对解放路南段及湘江路小学周边门头进行改造，申请预算为</w:t>
      </w:r>
      <w:r>
        <w:rPr>
          <w:rFonts w:cs="Times New Roman"/>
        </w:rPr>
        <w:t>954400</w:t>
      </w:r>
      <w:r>
        <w:rPr>
          <w:rFonts w:hint="eastAsia" w:cs="Times New Roman"/>
        </w:rPr>
        <w:t>元，实际执行</w:t>
      </w:r>
      <w:r>
        <w:rPr>
          <w:rFonts w:cs="Times New Roman"/>
        </w:rPr>
        <w:t>954340.05</w:t>
      </w:r>
      <w:r>
        <w:rPr>
          <w:rFonts w:hint="eastAsia" w:cs="Times New Roman"/>
        </w:rPr>
        <w:t>元，预算执行率99.99</w:t>
      </w:r>
      <w:r>
        <w:rPr>
          <w:rFonts w:hint="eastAsia" w:cs="Times New Roman"/>
          <w:lang w:val="en-US" w:eastAsia="zh-CN"/>
        </w:rPr>
        <w:t>%</w:t>
      </w:r>
      <w:r>
        <w:rPr>
          <w:rFonts w:hint="eastAsia" w:cs="Times New Roman"/>
        </w:rPr>
        <w:t>；总目标和总任务相符合，得</w:t>
      </w:r>
      <w:r>
        <w:rPr>
          <w:rFonts w:cs="Times New Roman"/>
        </w:rPr>
        <w:t>0.5</w:t>
      </w:r>
      <w:r>
        <w:rPr>
          <w:rFonts w:hint="eastAsia" w:cs="Times New Roman"/>
        </w:rPr>
        <w:t>分。</w:t>
      </w:r>
    </w:p>
    <w:p>
      <w:pPr>
        <w:pStyle w:val="5"/>
        <w:ind w:firstLine="562"/>
        <w:rPr>
          <w:rFonts w:cs="Times New Roman"/>
        </w:rPr>
      </w:pPr>
      <w:bookmarkStart w:id="82" w:name="_Toc67315592"/>
      <w:bookmarkStart w:id="83" w:name="_Toc20194"/>
      <w:bookmarkStart w:id="84" w:name="_Toc14453"/>
      <w:r>
        <w:rPr>
          <w:rFonts w:cs="Times New Roman"/>
        </w:rPr>
        <w:t>3.资金安排（权重5，得分</w:t>
      </w:r>
      <w:r>
        <w:rPr>
          <w:rFonts w:hint="eastAsia" w:cs="Times New Roman"/>
        </w:rPr>
        <w:t>4.5</w:t>
      </w:r>
      <w:r>
        <w:rPr>
          <w:rFonts w:cs="Times New Roman"/>
        </w:rPr>
        <w:t>）</w:t>
      </w:r>
      <w:bookmarkEnd w:id="82"/>
      <w:bookmarkEnd w:id="83"/>
      <w:bookmarkEnd w:id="84"/>
    </w:p>
    <w:p>
      <w:pPr>
        <w:pStyle w:val="2"/>
        <w:ind w:firstLine="560"/>
        <w:rPr>
          <w:rFonts w:cs="Times New Roman"/>
        </w:rPr>
      </w:pPr>
      <w:r>
        <w:rPr>
          <w:rFonts w:cs="Times New Roman"/>
        </w:rPr>
        <w:t>（1）预算编制合理性（权重3，得分</w:t>
      </w:r>
      <w:r>
        <w:rPr>
          <w:rFonts w:hint="eastAsia" w:cs="Times New Roman"/>
        </w:rPr>
        <w:t>2.5</w:t>
      </w:r>
      <w:r>
        <w:rPr>
          <w:rFonts w:cs="Times New Roman"/>
        </w:rPr>
        <w:t>）</w:t>
      </w:r>
    </w:p>
    <w:p>
      <w:pPr>
        <w:pStyle w:val="2"/>
        <w:ind w:firstLine="562"/>
        <w:rPr>
          <w:rFonts w:cs="Times New Roman"/>
          <w:b/>
        </w:rPr>
      </w:pPr>
      <w:r>
        <w:rPr>
          <w:rFonts w:cs="Times New Roman"/>
          <w:b/>
        </w:rPr>
        <w:t>评分标准：</w:t>
      </w:r>
    </w:p>
    <w:p>
      <w:pPr>
        <w:pStyle w:val="2"/>
        <w:ind w:firstLine="560"/>
        <w:rPr>
          <w:rFonts w:cs="Times New Roman"/>
        </w:rPr>
      </w:pPr>
      <w:r>
        <w:rPr>
          <w:rFonts w:hint="eastAsia" w:ascii="宋体" w:hAnsi="宋体" w:eastAsia="宋体" w:cs="宋体"/>
        </w:rPr>
        <w:t>①</w:t>
      </w:r>
      <w:r>
        <w:rPr>
          <w:rFonts w:cs="Times New Roman"/>
        </w:rPr>
        <w:t>预算编制是否经过论证，0.75分；</w:t>
      </w:r>
    </w:p>
    <w:p>
      <w:pPr>
        <w:pStyle w:val="2"/>
        <w:ind w:firstLine="560"/>
        <w:rPr>
          <w:rFonts w:cs="Times New Roman"/>
        </w:rPr>
      </w:pPr>
      <w:r>
        <w:rPr>
          <w:rFonts w:hint="eastAsia" w:ascii="宋体" w:hAnsi="宋体" w:eastAsia="宋体" w:cs="宋体"/>
        </w:rPr>
        <w:t>②</w:t>
      </w:r>
      <w:r>
        <w:rPr>
          <w:rFonts w:cs="Times New Roman"/>
        </w:rPr>
        <w:t>预算内容与项目实际内容是否匹配，0.75分；</w:t>
      </w:r>
    </w:p>
    <w:p>
      <w:pPr>
        <w:pStyle w:val="2"/>
        <w:ind w:firstLine="560"/>
        <w:rPr>
          <w:rFonts w:cs="Times New Roman"/>
        </w:rPr>
      </w:pPr>
      <w:r>
        <w:rPr>
          <w:rFonts w:hint="eastAsia" w:ascii="宋体" w:hAnsi="宋体" w:eastAsia="宋体" w:cs="宋体"/>
        </w:rPr>
        <w:t>③</w:t>
      </w:r>
      <w:r>
        <w:rPr>
          <w:rFonts w:cs="Times New Roman"/>
        </w:rPr>
        <w:t>预算额度测算依据是否充分，是否按标准编制，0.75分；</w:t>
      </w:r>
    </w:p>
    <w:p>
      <w:pPr>
        <w:pStyle w:val="2"/>
        <w:ind w:firstLine="560"/>
        <w:rPr>
          <w:rFonts w:cs="Times New Roman"/>
        </w:rPr>
      </w:pPr>
      <w:r>
        <w:rPr>
          <w:rFonts w:hint="eastAsia" w:ascii="宋体" w:hAnsi="宋体" w:eastAsia="宋体" w:cs="宋体"/>
        </w:rPr>
        <w:t>④</w:t>
      </w:r>
      <w:r>
        <w:rPr>
          <w:rFonts w:cs="Times New Roman"/>
        </w:rPr>
        <w:t>预算确定的项目投资额或资金量是否与年度工作任务相匹配，0.75分。</w:t>
      </w:r>
    </w:p>
    <w:p>
      <w:pPr>
        <w:pStyle w:val="2"/>
        <w:ind w:firstLine="562"/>
        <w:rPr>
          <w:rFonts w:cs="Times New Roman"/>
          <w:b/>
        </w:rPr>
      </w:pPr>
      <w:r>
        <w:rPr>
          <w:rFonts w:cs="Times New Roman"/>
          <w:b/>
        </w:rPr>
        <w:t>得分：</w:t>
      </w:r>
    </w:p>
    <w:p>
      <w:pPr>
        <w:pStyle w:val="2"/>
        <w:ind w:firstLine="560" w:firstLineChars="200"/>
        <w:rPr>
          <w:rFonts w:cs="Times New Roman"/>
        </w:rPr>
      </w:pPr>
      <w:r>
        <w:rPr>
          <w:rFonts w:hint="eastAsia" w:ascii="仿宋" w:hAnsi="仿宋" w:cs="仿宋"/>
        </w:rPr>
        <w:t>①该单位部门</w:t>
      </w:r>
      <w:r>
        <w:rPr>
          <w:rFonts w:cs="Times New Roman"/>
        </w:rPr>
        <w:t>预算编制经过内部审批和上级批复，</w:t>
      </w:r>
      <w:r>
        <w:rPr>
          <w:rFonts w:hint="eastAsia" w:cs="Times New Roman"/>
        </w:rPr>
        <w:t>但缺少项目预算明细及依据；</w:t>
      </w:r>
      <w:r>
        <w:rPr>
          <w:rFonts w:cs="Times New Roman"/>
        </w:rPr>
        <w:t>但在资料整理分析中发现，</w:t>
      </w:r>
      <w:r>
        <w:rPr>
          <w:rFonts w:hint="eastAsia" w:ascii="仿宋" w:hAnsi="仿宋" w:cs="仿宋"/>
        </w:rPr>
        <w:t>漯河</w:t>
      </w:r>
      <w:r>
        <w:rPr>
          <w:rFonts w:cs="Times New Roman"/>
        </w:rPr>
        <w:t>市</w:t>
      </w:r>
      <w:r>
        <w:rPr>
          <w:rFonts w:hint="eastAsia" w:cs="Times New Roman"/>
        </w:rPr>
        <w:t>门头改造工程项目虽</w:t>
      </w:r>
      <w:r>
        <w:rPr>
          <w:rFonts w:cs="Times New Roman"/>
        </w:rPr>
        <w:t>编制</w:t>
      </w:r>
      <w:r>
        <w:rPr>
          <w:rFonts w:hint="eastAsia" w:cs="Times New Roman"/>
        </w:rPr>
        <w:t>了</w:t>
      </w:r>
      <w:r>
        <w:rPr>
          <w:rFonts w:cs="Times New Roman"/>
        </w:rPr>
        <w:t>《</w:t>
      </w:r>
      <w:r>
        <w:rPr>
          <w:rFonts w:hint="eastAsia" w:cs="Times New Roman"/>
        </w:rPr>
        <w:t>招标控制价</w:t>
      </w:r>
      <w:r>
        <w:rPr>
          <w:rFonts w:cs="Times New Roman"/>
        </w:rPr>
        <w:t>》，</w:t>
      </w:r>
      <w:r>
        <w:rPr>
          <w:rFonts w:hint="eastAsia" w:cs="Times New Roman"/>
        </w:rPr>
        <w:t>但存在项目先施工后变更的情况，即2020年8月10日项目已竣工，2020年12月份进行的变更申请，</w:t>
      </w:r>
      <w:r>
        <w:rPr>
          <w:rFonts w:cs="Times New Roman"/>
        </w:rPr>
        <w:t>得0.25分；</w:t>
      </w:r>
      <w:r>
        <w:rPr>
          <w:rFonts w:hint="eastAsia" w:ascii="宋体" w:hAnsi="宋体" w:eastAsia="宋体" w:cs="宋体"/>
        </w:rPr>
        <w:t>②</w:t>
      </w:r>
      <w:r>
        <w:rPr>
          <w:rFonts w:hint="eastAsia" w:cs="Times New Roman"/>
        </w:rPr>
        <w:t>漯河经济技术开发区城市管理执法大队门头改造工程项目总预算资金</w:t>
      </w:r>
      <w:r>
        <w:rPr>
          <w:rFonts w:cs="Times New Roman"/>
        </w:rPr>
        <w:t>954400</w:t>
      </w:r>
      <w:r>
        <w:rPr>
          <w:rFonts w:hint="eastAsia" w:cs="Times New Roman"/>
        </w:rPr>
        <w:t>元，实际总支出为</w:t>
      </w:r>
      <w:r>
        <w:rPr>
          <w:rFonts w:cs="Times New Roman"/>
        </w:rPr>
        <w:t>954340.05</w:t>
      </w:r>
      <w:r>
        <w:rPr>
          <w:rFonts w:hint="eastAsia" w:cs="Times New Roman"/>
        </w:rPr>
        <w:t>元，预算内容与项目实际内容相匹配，得</w:t>
      </w:r>
      <w:r>
        <w:rPr>
          <w:rFonts w:cs="Times New Roman"/>
        </w:rPr>
        <w:t>0.75</w:t>
      </w:r>
      <w:r>
        <w:rPr>
          <w:rFonts w:hint="eastAsia" w:cs="Times New Roman"/>
        </w:rPr>
        <w:t>分；</w:t>
      </w:r>
    </w:p>
    <w:p>
      <w:pPr>
        <w:pStyle w:val="2"/>
        <w:ind w:firstLine="560"/>
        <w:rPr>
          <w:rFonts w:cs="Times New Roman"/>
        </w:rPr>
      </w:pPr>
      <w:r>
        <w:rPr>
          <w:rFonts w:hint="eastAsia" w:ascii="宋体" w:hAnsi="宋体" w:eastAsia="宋体" w:cs="宋体"/>
        </w:rPr>
        <w:t>③</w:t>
      </w:r>
      <w:r>
        <w:rPr>
          <w:rFonts w:hint="eastAsia" w:cs="Times New Roman"/>
        </w:rPr>
        <w:t>该项目总预算是根据工程量的统计和预测、整体工作</w:t>
      </w:r>
      <w:r>
        <w:rPr>
          <w:rFonts w:cs="Times New Roman"/>
        </w:rPr>
        <w:t>计划和要求进行编制，预算额度测算依据充分，按标准编制</w:t>
      </w:r>
      <w:r>
        <w:rPr>
          <w:rFonts w:hint="eastAsia" w:cs="Times New Roman"/>
        </w:rPr>
        <w:t>，</w:t>
      </w:r>
      <w:r>
        <w:rPr>
          <w:rFonts w:cs="Times New Roman"/>
        </w:rPr>
        <w:t>得0.</w:t>
      </w:r>
      <w:r>
        <w:rPr>
          <w:rFonts w:hint="eastAsia" w:cs="Times New Roman"/>
        </w:rPr>
        <w:t>7</w:t>
      </w:r>
      <w:r>
        <w:rPr>
          <w:rFonts w:cs="Times New Roman"/>
        </w:rPr>
        <w:t>5分；</w:t>
      </w:r>
    </w:p>
    <w:p>
      <w:pPr>
        <w:pStyle w:val="2"/>
        <w:ind w:firstLine="560"/>
        <w:rPr>
          <w:rFonts w:cs="Times New Roman"/>
        </w:rPr>
      </w:pPr>
      <w:r>
        <w:rPr>
          <w:rFonts w:hint="eastAsia" w:cs="Times New Roman"/>
        </w:rPr>
        <w:t>④漯河经济技术开发区城市管理执法大队</w:t>
      </w:r>
      <w:r>
        <w:rPr>
          <w:rFonts w:cs="Times New Roman"/>
        </w:rPr>
        <w:t>2021</w:t>
      </w:r>
      <w:r>
        <w:rPr>
          <w:rFonts w:hint="eastAsia" w:cs="Times New Roman"/>
        </w:rPr>
        <w:t>年总预算资金</w:t>
      </w:r>
      <w:r>
        <w:rPr>
          <w:rFonts w:cs="Times New Roman"/>
        </w:rPr>
        <w:t>954400</w:t>
      </w:r>
      <w:r>
        <w:rPr>
          <w:rFonts w:hint="eastAsia" w:cs="Times New Roman"/>
        </w:rPr>
        <w:t>元，实际总支出为</w:t>
      </w:r>
      <w:r>
        <w:rPr>
          <w:rFonts w:cs="Times New Roman"/>
        </w:rPr>
        <w:t>954340.05</w:t>
      </w:r>
      <w:r>
        <w:rPr>
          <w:rFonts w:hint="eastAsia" w:cs="Times New Roman"/>
        </w:rPr>
        <w:t>元，预算执行率为</w:t>
      </w:r>
      <w:r>
        <w:rPr>
          <w:rFonts w:cs="Times New Roman"/>
        </w:rPr>
        <w:t>99.99%</w:t>
      </w:r>
      <w:r>
        <w:rPr>
          <w:rFonts w:hint="eastAsia" w:cs="Times New Roman"/>
        </w:rPr>
        <w:t>，实际支出额与预算资金的基本一致，得</w:t>
      </w:r>
      <w:r>
        <w:rPr>
          <w:rFonts w:cs="Times New Roman"/>
        </w:rPr>
        <w:t>0.75</w:t>
      </w:r>
      <w:r>
        <w:rPr>
          <w:rFonts w:hint="eastAsia" w:cs="Times New Roman"/>
        </w:rPr>
        <w:t>分。</w:t>
      </w:r>
    </w:p>
    <w:p>
      <w:pPr>
        <w:pStyle w:val="2"/>
        <w:ind w:firstLine="560"/>
        <w:rPr>
          <w:rFonts w:cs="Times New Roman"/>
        </w:rPr>
      </w:pPr>
      <w:r>
        <w:rPr>
          <w:rFonts w:cs="Times New Roman"/>
        </w:rPr>
        <w:t>（2）资金分配合理性（权重2，得分</w:t>
      </w:r>
      <w:r>
        <w:rPr>
          <w:rFonts w:hint="eastAsia" w:cs="Times New Roman"/>
        </w:rPr>
        <w:t>2</w:t>
      </w:r>
      <w:r>
        <w:rPr>
          <w:rFonts w:cs="Times New Roman"/>
        </w:rPr>
        <w:t>）</w:t>
      </w:r>
    </w:p>
    <w:p>
      <w:pPr>
        <w:pStyle w:val="2"/>
        <w:ind w:firstLine="562"/>
        <w:rPr>
          <w:rFonts w:cs="Times New Roman"/>
          <w:b/>
        </w:rPr>
      </w:pPr>
      <w:r>
        <w:rPr>
          <w:rFonts w:cs="Times New Roman"/>
          <w:b/>
        </w:rPr>
        <w:t>评分标准：</w:t>
      </w:r>
    </w:p>
    <w:p>
      <w:pPr>
        <w:pStyle w:val="2"/>
        <w:ind w:firstLine="560"/>
        <w:rPr>
          <w:rFonts w:cs="Times New Roman"/>
        </w:rPr>
      </w:pPr>
      <w:r>
        <w:rPr>
          <w:rFonts w:hint="eastAsia" w:ascii="宋体" w:hAnsi="宋体" w:eastAsia="宋体" w:cs="宋体"/>
        </w:rPr>
        <w:t>①</w:t>
      </w:r>
      <w:r>
        <w:rPr>
          <w:rFonts w:cs="Times New Roman"/>
        </w:rPr>
        <w:t>预算资金分配依据是否充分，1分；</w:t>
      </w:r>
    </w:p>
    <w:p>
      <w:pPr>
        <w:pStyle w:val="2"/>
        <w:ind w:firstLine="560"/>
        <w:rPr>
          <w:rFonts w:cs="Times New Roman"/>
        </w:rPr>
      </w:pPr>
      <w:r>
        <w:rPr>
          <w:rFonts w:hint="eastAsia" w:ascii="宋体" w:hAnsi="宋体" w:eastAsia="宋体" w:cs="宋体"/>
        </w:rPr>
        <w:t>②</w:t>
      </w:r>
      <w:r>
        <w:rPr>
          <w:rFonts w:cs="Times New Roman"/>
        </w:rPr>
        <w:t>资金分配额度是否合理，与补助单位或地方实际是否相适应，1分。</w:t>
      </w:r>
    </w:p>
    <w:p>
      <w:pPr>
        <w:pStyle w:val="2"/>
        <w:ind w:firstLine="562"/>
        <w:rPr>
          <w:rFonts w:cs="Times New Roman"/>
          <w:b/>
        </w:rPr>
      </w:pPr>
      <w:r>
        <w:rPr>
          <w:rFonts w:cs="Times New Roman"/>
          <w:b/>
        </w:rPr>
        <w:t>得分：</w:t>
      </w:r>
    </w:p>
    <w:p>
      <w:pPr>
        <w:pStyle w:val="2"/>
        <w:ind w:firstLine="565" w:firstLineChars="202"/>
        <w:rPr>
          <w:rFonts w:cs="Times New Roman"/>
        </w:rPr>
      </w:pPr>
      <w:r>
        <w:rPr>
          <w:rFonts w:hint="eastAsia" w:ascii="仿宋" w:hAnsi="仿宋" w:cs="Times New Roman"/>
        </w:rPr>
        <w:t>①</w:t>
      </w:r>
      <w:r>
        <w:rPr>
          <w:rFonts w:cs="Times New Roman"/>
        </w:rPr>
        <w:t>根据</w:t>
      </w:r>
      <w:r>
        <w:rPr>
          <w:rFonts w:hint="eastAsia" w:cs="Times New Roman"/>
        </w:rPr>
        <w:t>漯河经济技术开发区城市管理执法大队</w:t>
      </w:r>
      <w:r>
        <w:rPr>
          <w:rFonts w:cs="Times New Roman"/>
        </w:rPr>
        <w:t>日常运营和项目开展情况，项目资金主要运用于</w:t>
      </w:r>
      <w:r>
        <w:rPr>
          <w:rFonts w:hint="eastAsia" w:cs="Times New Roman"/>
        </w:rPr>
        <w:t>工程款、设计费、监理费</w:t>
      </w:r>
      <w:r>
        <w:rPr>
          <w:rFonts w:cs="Times New Roman"/>
        </w:rPr>
        <w:t>等，该项目制定了详细的工程清单，</w:t>
      </w:r>
      <w:r>
        <w:rPr>
          <w:rFonts w:hint="eastAsia" w:cs="Times New Roman"/>
        </w:rPr>
        <w:t>资金分配主要依据工程清单及造价，</w:t>
      </w:r>
      <w:r>
        <w:rPr>
          <w:rFonts w:cs="Times New Roman"/>
        </w:rPr>
        <w:t>主要分配依据较充分</w:t>
      </w:r>
      <w:r>
        <w:rPr>
          <w:rFonts w:hint="eastAsia" w:cs="Times New Roman"/>
        </w:rPr>
        <w:t>，</w:t>
      </w:r>
      <w:r>
        <w:rPr>
          <w:rFonts w:cs="Times New Roman"/>
        </w:rPr>
        <w:t>得</w:t>
      </w:r>
      <w:r>
        <w:rPr>
          <w:rFonts w:hint="eastAsia" w:cs="Times New Roman"/>
        </w:rPr>
        <w:t>1</w:t>
      </w:r>
      <w:r>
        <w:rPr>
          <w:rFonts w:cs="Times New Roman"/>
        </w:rPr>
        <w:t>分；</w:t>
      </w:r>
    </w:p>
    <w:p>
      <w:pPr>
        <w:pStyle w:val="2"/>
        <w:ind w:firstLine="560"/>
        <w:rPr>
          <w:rFonts w:cs="Times New Roman"/>
        </w:rPr>
      </w:pPr>
      <w:r>
        <w:rPr>
          <w:rFonts w:hint="eastAsia" w:ascii="宋体" w:hAnsi="宋体" w:eastAsia="宋体" w:cs="宋体"/>
        </w:rPr>
        <w:t>②</w:t>
      </w:r>
      <w:r>
        <w:rPr>
          <w:rFonts w:hint="eastAsia" w:ascii="仿宋" w:hAnsi="仿宋" w:cs="仿宋"/>
        </w:rPr>
        <w:t>门头改造工程</w:t>
      </w:r>
      <w:r>
        <w:rPr>
          <w:rFonts w:cs="Times New Roman"/>
        </w:rPr>
        <w:t>资金根据国家法律法规、地方相关规定和</w:t>
      </w:r>
      <w:r>
        <w:rPr>
          <w:rFonts w:hint="eastAsia" w:cs="Times New Roman"/>
        </w:rPr>
        <w:t>漯河经济技术开发区城市管理执法大队</w:t>
      </w:r>
      <w:r>
        <w:rPr>
          <w:rFonts w:cs="Times New Roman"/>
        </w:rPr>
        <w:t>实际</w:t>
      </w:r>
      <w:r>
        <w:rPr>
          <w:rFonts w:hint="eastAsia" w:cs="Times New Roman"/>
        </w:rPr>
        <w:t>支出</w:t>
      </w:r>
      <w:r>
        <w:rPr>
          <w:rFonts w:cs="Times New Roman"/>
        </w:rPr>
        <w:t>进行分配，与地方实际相适应，</w:t>
      </w:r>
      <w:r>
        <w:rPr>
          <w:rFonts w:hint="eastAsia" w:cs="Times New Roman"/>
        </w:rPr>
        <w:t>各分项费用预算执行率基本都达到100%，资金分配额度合理，</w:t>
      </w:r>
      <w:r>
        <w:rPr>
          <w:rFonts w:cs="Times New Roman"/>
        </w:rPr>
        <w:t>得</w:t>
      </w:r>
      <w:r>
        <w:rPr>
          <w:rFonts w:hint="eastAsia" w:cs="Times New Roman"/>
        </w:rPr>
        <w:t>1</w:t>
      </w:r>
      <w:r>
        <w:rPr>
          <w:rFonts w:cs="Times New Roman"/>
        </w:rPr>
        <w:t>分。</w:t>
      </w:r>
    </w:p>
    <w:p>
      <w:pPr>
        <w:pStyle w:val="4"/>
        <w:ind w:firstLine="602"/>
        <w:rPr>
          <w:rFonts w:eastAsia="仿宋_GB2312" w:cs="Times New Roman"/>
        </w:rPr>
      </w:pPr>
      <w:bookmarkStart w:id="85" w:name="_Toc22832"/>
      <w:bookmarkStart w:id="86" w:name="_Toc21359"/>
      <w:bookmarkStart w:id="87" w:name="_Toc67315593"/>
      <w:r>
        <w:rPr>
          <w:rFonts w:cs="Times New Roman"/>
        </w:rPr>
        <w:t>（二）项目过程情况（权重</w:t>
      </w:r>
      <w:r>
        <w:rPr>
          <w:rFonts w:cs="Times New Roman"/>
          <w:color w:val="000000" w:themeColor="text1"/>
        </w:rPr>
        <w:t>25，得分</w:t>
      </w:r>
      <w:r>
        <w:rPr>
          <w:rFonts w:hint="eastAsia" w:cs="Times New Roman"/>
          <w:color w:val="000000" w:themeColor="text1"/>
        </w:rPr>
        <w:t>15.75</w:t>
      </w:r>
      <w:r>
        <w:rPr>
          <w:rFonts w:cs="Times New Roman"/>
          <w:color w:val="000000" w:themeColor="text1"/>
        </w:rPr>
        <w:t>）</w:t>
      </w:r>
      <w:bookmarkEnd w:id="85"/>
      <w:bookmarkEnd w:id="86"/>
      <w:bookmarkEnd w:id="87"/>
    </w:p>
    <w:p>
      <w:pPr>
        <w:pStyle w:val="5"/>
        <w:ind w:firstLine="562"/>
        <w:rPr>
          <w:rFonts w:cs="Times New Roman"/>
        </w:rPr>
      </w:pPr>
      <w:bookmarkStart w:id="88" w:name="_Toc67315594"/>
      <w:bookmarkStart w:id="89" w:name="_Toc16079"/>
      <w:bookmarkStart w:id="90" w:name="_Toc30628"/>
      <w:r>
        <w:rPr>
          <w:rFonts w:cs="Times New Roman"/>
        </w:rPr>
        <w:t>1.业务管理（权重10，得分</w:t>
      </w:r>
      <w:r>
        <w:rPr>
          <w:rFonts w:hint="eastAsia" w:cs="Times New Roman"/>
        </w:rPr>
        <w:t>5</w:t>
      </w:r>
      <w:r>
        <w:rPr>
          <w:rFonts w:cs="Times New Roman"/>
        </w:rPr>
        <w:t>）</w:t>
      </w:r>
      <w:bookmarkEnd w:id="88"/>
      <w:bookmarkEnd w:id="89"/>
      <w:bookmarkEnd w:id="90"/>
    </w:p>
    <w:p>
      <w:pPr>
        <w:pStyle w:val="2"/>
        <w:ind w:firstLine="560"/>
        <w:rPr>
          <w:rFonts w:cs="Times New Roman"/>
        </w:rPr>
      </w:pPr>
      <w:r>
        <w:rPr>
          <w:rFonts w:cs="Times New Roman"/>
        </w:rPr>
        <w:t>（1）管理制度健全性（权重2，得分</w:t>
      </w:r>
      <w:r>
        <w:rPr>
          <w:rFonts w:hint="eastAsia" w:cs="Times New Roman"/>
        </w:rPr>
        <w:t>0</w:t>
      </w:r>
      <w:r>
        <w:rPr>
          <w:rFonts w:cs="Times New Roman"/>
        </w:rPr>
        <w:t>）</w:t>
      </w:r>
    </w:p>
    <w:p>
      <w:pPr>
        <w:pStyle w:val="2"/>
        <w:ind w:firstLine="562"/>
        <w:rPr>
          <w:rFonts w:cs="Times New Roman"/>
          <w:b/>
        </w:rPr>
      </w:pPr>
      <w:r>
        <w:rPr>
          <w:rFonts w:cs="Times New Roman"/>
          <w:b/>
        </w:rPr>
        <w:t>评分标准：</w:t>
      </w:r>
    </w:p>
    <w:p>
      <w:pPr>
        <w:pStyle w:val="2"/>
        <w:ind w:firstLine="560"/>
        <w:rPr>
          <w:rFonts w:cs="Times New Roman"/>
        </w:rPr>
      </w:pPr>
      <w:r>
        <w:rPr>
          <w:rFonts w:hint="eastAsia" w:ascii="宋体" w:hAnsi="宋体" w:eastAsia="宋体" w:cs="宋体"/>
        </w:rPr>
        <w:t>①</w:t>
      </w:r>
      <w:r>
        <w:rPr>
          <w:rFonts w:cs="Times New Roman"/>
        </w:rPr>
        <w:t>是否已制定或具有相应的业务管理制度,1分；</w:t>
      </w:r>
    </w:p>
    <w:p>
      <w:pPr>
        <w:pStyle w:val="2"/>
        <w:ind w:firstLine="560"/>
        <w:rPr>
          <w:rFonts w:cs="Times New Roman"/>
        </w:rPr>
      </w:pPr>
      <w:r>
        <w:rPr>
          <w:rFonts w:hint="eastAsia" w:ascii="宋体" w:hAnsi="宋体" w:eastAsia="宋体" w:cs="宋体"/>
        </w:rPr>
        <w:t>②</w:t>
      </w:r>
      <w:r>
        <w:rPr>
          <w:rFonts w:cs="Times New Roman"/>
        </w:rPr>
        <w:t>业务管理制度是否合法、合规、完整,1分。</w:t>
      </w:r>
    </w:p>
    <w:p>
      <w:pPr>
        <w:pStyle w:val="2"/>
        <w:ind w:firstLine="562"/>
        <w:rPr>
          <w:rFonts w:cs="Times New Roman"/>
          <w:b/>
        </w:rPr>
      </w:pPr>
      <w:r>
        <w:rPr>
          <w:rFonts w:cs="Times New Roman"/>
          <w:b/>
        </w:rPr>
        <w:t>得分：</w:t>
      </w:r>
    </w:p>
    <w:p>
      <w:pPr>
        <w:pStyle w:val="2"/>
        <w:ind w:firstLine="560"/>
        <w:rPr>
          <w:rFonts w:cs="Times New Roman"/>
        </w:rPr>
      </w:pPr>
      <w:r>
        <w:rPr>
          <w:rFonts w:hint="eastAsia" w:ascii="宋体" w:hAnsi="宋体" w:eastAsia="宋体" w:cs="宋体"/>
        </w:rPr>
        <w:t>①</w:t>
      </w:r>
      <w:r>
        <w:rPr>
          <w:rFonts w:cs="Times New Roman"/>
        </w:rPr>
        <w:t>为加强</w:t>
      </w:r>
      <w:r>
        <w:rPr>
          <w:rFonts w:hint="eastAsia" w:cs="Times New Roman"/>
        </w:rPr>
        <w:t>漯河经济技术开发区城市管理执法大队</w:t>
      </w:r>
      <w:r>
        <w:rPr>
          <w:rFonts w:cs="Times New Roman"/>
        </w:rPr>
        <w:t>内部管理，提高工作效能，确保各项工作规范化、制度化，</w:t>
      </w:r>
      <w:r>
        <w:rPr>
          <w:rFonts w:hint="eastAsia" w:cs="Times New Roman"/>
        </w:rPr>
        <w:t>漯河经济技术开发区城市管理执法大队应</w:t>
      </w:r>
      <w:r>
        <w:rPr>
          <w:rFonts w:cs="Times New Roman"/>
        </w:rPr>
        <w:t>制定</w:t>
      </w:r>
      <w:r>
        <w:rPr>
          <w:rFonts w:hint="eastAsia" w:cs="Times New Roman"/>
        </w:rPr>
        <w:t>预算</w:t>
      </w:r>
      <w:r>
        <w:rPr>
          <w:rFonts w:cs="Times New Roman"/>
        </w:rPr>
        <w:t>管理</w:t>
      </w:r>
      <w:r>
        <w:rPr>
          <w:rFonts w:hint="eastAsia" w:cs="Times New Roman"/>
        </w:rPr>
        <w:t>、</w:t>
      </w:r>
      <w:r>
        <w:rPr>
          <w:rFonts w:cs="Times New Roman"/>
        </w:rPr>
        <w:t>财务管理</w:t>
      </w:r>
      <w:r>
        <w:rPr>
          <w:rFonts w:hint="eastAsia" w:cs="Times New Roman"/>
        </w:rPr>
        <w:t>、资金管理、业务</w:t>
      </w:r>
      <w:r>
        <w:rPr>
          <w:rFonts w:cs="Times New Roman"/>
        </w:rPr>
        <w:t>管理等多项部门规章制度，但在其提供的全部资料中未找到</w:t>
      </w:r>
      <w:r>
        <w:rPr>
          <w:rFonts w:hint="eastAsia" w:cs="Times New Roman"/>
          <w:lang w:eastAsia="zh-CN"/>
        </w:rPr>
        <w:t>业务管理的</w:t>
      </w:r>
      <w:r>
        <w:rPr>
          <w:rFonts w:cs="Times New Roman"/>
        </w:rPr>
        <w:t>相关制度</w:t>
      </w:r>
      <w:r>
        <w:rPr>
          <w:rFonts w:hint="eastAsia" w:cs="Times New Roman"/>
        </w:rPr>
        <w:t>，</w:t>
      </w:r>
      <w:r>
        <w:rPr>
          <w:rFonts w:cs="Times New Roman"/>
        </w:rPr>
        <w:t>得0分；</w:t>
      </w:r>
    </w:p>
    <w:p>
      <w:pPr>
        <w:pStyle w:val="2"/>
        <w:ind w:firstLine="560"/>
        <w:rPr>
          <w:rFonts w:cs="Times New Roman"/>
        </w:rPr>
      </w:pPr>
      <w:r>
        <w:rPr>
          <w:rFonts w:hint="eastAsia" w:ascii="宋体" w:hAnsi="宋体" w:eastAsia="宋体" w:cs="宋体"/>
        </w:rPr>
        <w:t>②</w:t>
      </w:r>
      <w:r>
        <w:rPr>
          <w:rFonts w:hint="eastAsia" w:ascii="仿宋" w:hAnsi="仿宋" w:cs="仿宋"/>
        </w:rPr>
        <w:t>漯河经济技术开发区城市管理执法大队未提供</w:t>
      </w:r>
      <w:r>
        <w:rPr>
          <w:rFonts w:cs="Times New Roman"/>
        </w:rPr>
        <w:t>相关业务管理制度，得0分。</w:t>
      </w:r>
    </w:p>
    <w:p>
      <w:pPr>
        <w:pStyle w:val="2"/>
        <w:ind w:firstLine="560"/>
        <w:rPr>
          <w:rFonts w:eastAsia="楷体_GB2312" w:cs="Times New Roman"/>
        </w:rPr>
      </w:pPr>
      <w:r>
        <w:rPr>
          <w:rFonts w:cs="Times New Roman"/>
        </w:rPr>
        <w:t>（2）制度执行有效性（权重3，得分</w:t>
      </w:r>
      <w:r>
        <w:rPr>
          <w:rFonts w:hint="eastAsia" w:cs="Times New Roman"/>
        </w:rPr>
        <w:t>1.5</w:t>
      </w:r>
      <w:r>
        <w:rPr>
          <w:rFonts w:cs="Times New Roman"/>
        </w:rPr>
        <w:t>）</w:t>
      </w:r>
    </w:p>
    <w:p>
      <w:pPr>
        <w:pStyle w:val="2"/>
        <w:ind w:firstLine="562"/>
        <w:rPr>
          <w:rFonts w:cs="Times New Roman"/>
          <w:b/>
        </w:rPr>
      </w:pPr>
      <w:r>
        <w:rPr>
          <w:rFonts w:cs="Times New Roman"/>
          <w:b/>
        </w:rPr>
        <w:t>评分标准：</w:t>
      </w:r>
    </w:p>
    <w:p>
      <w:pPr>
        <w:pStyle w:val="2"/>
        <w:ind w:firstLine="560"/>
        <w:rPr>
          <w:rFonts w:cs="Times New Roman"/>
        </w:rPr>
      </w:pPr>
      <w:r>
        <w:rPr>
          <w:rFonts w:hint="eastAsia" w:ascii="宋体" w:hAnsi="宋体" w:eastAsia="宋体" w:cs="宋体"/>
        </w:rPr>
        <w:t>①</w:t>
      </w:r>
      <w:r>
        <w:rPr>
          <w:rFonts w:cs="Times New Roman"/>
        </w:rPr>
        <w:t>是否遵守相关法律法规和业务管理规定,0.75分；</w:t>
      </w:r>
    </w:p>
    <w:p>
      <w:pPr>
        <w:pStyle w:val="2"/>
        <w:ind w:firstLine="560"/>
        <w:rPr>
          <w:rFonts w:cs="Times New Roman"/>
        </w:rPr>
      </w:pPr>
      <w:r>
        <w:rPr>
          <w:rFonts w:hint="eastAsia" w:ascii="宋体" w:hAnsi="宋体" w:eastAsia="宋体" w:cs="宋体"/>
        </w:rPr>
        <w:t>②</w:t>
      </w:r>
      <w:r>
        <w:rPr>
          <w:rFonts w:cs="Times New Roman"/>
        </w:rPr>
        <w:t>项目调整及支出调整手续是否完备，0.75分；</w:t>
      </w:r>
    </w:p>
    <w:p>
      <w:pPr>
        <w:pStyle w:val="2"/>
        <w:ind w:firstLine="560"/>
        <w:rPr>
          <w:rFonts w:cs="Times New Roman"/>
        </w:rPr>
      </w:pPr>
      <w:r>
        <w:rPr>
          <w:rFonts w:hint="eastAsia" w:ascii="宋体" w:hAnsi="宋体" w:eastAsia="宋体" w:cs="宋体"/>
        </w:rPr>
        <w:t>③</w:t>
      </w:r>
      <w:r>
        <w:rPr>
          <w:rFonts w:cs="Times New Roman"/>
        </w:rPr>
        <w:t>项目合同书、确认书、协议书等资料是否齐全并及时归档，0.75分；</w:t>
      </w:r>
    </w:p>
    <w:p>
      <w:pPr>
        <w:pStyle w:val="2"/>
        <w:ind w:firstLine="560"/>
        <w:rPr>
          <w:rFonts w:cs="Times New Roman"/>
        </w:rPr>
      </w:pPr>
      <w:r>
        <w:rPr>
          <w:rFonts w:hint="eastAsia" w:ascii="宋体" w:hAnsi="宋体" w:eastAsia="宋体" w:cs="宋体"/>
        </w:rPr>
        <w:t>④</w:t>
      </w:r>
      <w:r>
        <w:rPr>
          <w:rFonts w:cs="Times New Roman"/>
        </w:rPr>
        <w:t>项目实施的人员条件、场地设备、信息支撑等是否落实到位，0.75分。</w:t>
      </w:r>
    </w:p>
    <w:p>
      <w:pPr>
        <w:pStyle w:val="2"/>
        <w:ind w:firstLine="562"/>
        <w:rPr>
          <w:rFonts w:cs="Times New Roman"/>
          <w:b/>
        </w:rPr>
      </w:pPr>
      <w:r>
        <w:rPr>
          <w:rFonts w:cs="Times New Roman"/>
          <w:b/>
        </w:rPr>
        <w:t>得分：</w:t>
      </w:r>
    </w:p>
    <w:p>
      <w:pPr>
        <w:pStyle w:val="2"/>
        <w:ind w:firstLine="560"/>
        <w:rPr>
          <w:rFonts w:cs="Times New Roman"/>
        </w:rPr>
      </w:pPr>
      <w:r>
        <w:rPr>
          <w:rFonts w:hint="eastAsia" w:ascii="仿宋" w:hAnsi="仿宋" w:cs="Times New Roman"/>
        </w:rPr>
        <w:t>①</w:t>
      </w:r>
      <w:r>
        <w:rPr>
          <w:rFonts w:cs="Times New Roman"/>
        </w:rPr>
        <w:t>在</w:t>
      </w:r>
      <w:r>
        <w:rPr>
          <w:rFonts w:hint="eastAsia" w:cs="Times New Roman"/>
        </w:rPr>
        <w:t>门头改造工程项目</w:t>
      </w:r>
      <w:r>
        <w:rPr>
          <w:rFonts w:cs="Times New Roman"/>
        </w:rPr>
        <w:t>实施和执行过程中，</w:t>
      </w:r>
      <w:r>
        <w:rPr>
          <w:rFonts w:hint="eastAsia" w:cs="Times New Roman"/>
        </w:rPr>
        <w:t>漯河经济技术开发区城市管理执法大队多数业务和工程的开展未出现违法</w:t>
      </w:r>
      <w:r>
        <w:rPr>
          <w:rFonts w:cs="Times New Roman"/>
        </w:rPr>
        <w:t>相关法律法规</w:t>
      </w:r>
      <w:r>
        <w:rPr>
          <w:rFonts w:hint="eastAsia" w:cs="Times New Roman"/>
        </w:rPr>
        <w:t>的情况，但因缺少部门内部相关</w:t>
      </w:r>
      <w:r>
        <w:rPr>
          <w:rFonts w:cs="Times New Roman"/>
        </w:rPr>
        <w:t>规章制度</w:t>
      </w:r>
      <w:r>
        <w:rPr>
          <w:rFonts w:hint="eastAsia" w:cs="Times New Roman"/>
        </w:rPr>
        <w:t>，无法评判其工作是否完全符合相关流程并</w:t>
      </w:r>
      <w:r>
        <w:rPr>
          <w:rFonts w:cs="Times New Roman"/>
        </w:rPr>
        <w:t>履行</w:t>
      </w:r>
      <w:r>
        <w:rPr>
          <w:rFonts w:hint="eastAsia" w:cs="Times New Roman"/>
        </w:rPr>
        <w:t>完整的内部审批</w:t>
      </w:r>
      <w:r>
        <w:rPr>
          <w:rFonts w:cs="Times New Roman"/>
        </w:rPr>
        <w:t>手续，</w:t>
      </w:r>
      <w:r>
        <w:rPr>
          <w:rFonts w:hint="eastAsia" w:cs="Times New Roman"/>
        </w:rPr>
        <w:t>同时</w:t>
      </w:r>
      <w:r>
        <w:rPr>
          <w:rFonts w:cs="Times New Roman"/>
        </w:rPr>
        <w:t>在</w:t>
      </w:r>
      <w:r>
        <w:rPr>
          <w:rFonts w:hint="eastAsia" w:cs="Times New Roman"/>
        </w:rPr>
        <w:t>工程</w:t>
      </w:r>
      <w:r>
        <w:rPr>
          <w:rFonts w:cs="Times New Roman"/>
        </w:rPr>
        <w:t>变更上存在先施工后补手续的情况，得0.</w:t>
      </w:r>
      <w:r>
        <w:rPr>
          <w:rFonts w:hint="eastAsia" w:cs="Times New Roman"/>
        </w:rPr>
        <w:t>2</w:t>
      </w:r>
      <w:r>
        <w:rPr>
          <w:rFonts w:cs="Times New Roman"/>
        </w:rPr>
        <w:t>5分；</w:t>
      </w:r>
    </w:p>
    <w:p>
      <w:pPr>
        <w:pStyle w:val="2"/>
        <w:ind w:firstLine="560"/>
        <w:rPr>
          <w:rFonts w:cs="Times New Roman"/>
        </w:rPr>
      </w:pPr>
      <w:r>
        <w:rPr>
          <w:rFonts w:hint="eastAsia" w:ascii="宋体" w:hAnsi="宋体" w:eastAsia="宋体" w:cs="宋体"/>
        </w:rPr>
        <w:t>②</w:t>
      </w:r>
      <w:r>
        <w:rPr>
          <w:rFonts w:hint="eastAsia" w:cs="Times New Roman"/>
        </w:rPr>
        <w:t>项目变更存在先施工后补手续的情况，</w:t>
      </w:r>
      <w:r>
        <w:rPr>
          <w:rFonts w:cs="Times New Roman"/>
        </w:rPr>
        <w:t>得0分；</w:t>
      </w:r>
    </w:p>
    <w:p>
      <w:pPr>
        <w:pStyle w:val="2"/>
        <w:ind w:firstLine="560"/>
        <w:rPr>
          <w:rFonts w:cs="Times New Roman"/>
        </w:rPr>
      </w:pPr>
      <w:r>
        <w:rPr>
          <w:rFonts w:hint="eastAsia" w:cs="Times New Roman"/>
        </w:rPr>
        <w:t>③除工程变更流程存在倒签手续的情况外，漯河经济技术开发区城市管理执法大队其他工作的开展均能</w:t>
      </w:r>
      <w:r>
        <w:rPr>
          <w:rFonts w:cs="Times New Roman"/>
        </w:rPr>
        <w:t>按照相关法律法规要求开展相关工作，项目合同书等资料能及时归档，但存在</w:t>
      </w:r>
      <w:r>
        <w:rPr>
          <w:rFonts w:hint="eastAsia" w:cs="Times New Roman"/>
        </w:rPr>
        <w:t>竣工验收报告缺少日期、</w:t>
      </w:r>
      <w:r>
        <w:rPr>
          <w:rFonts w:cs="Times New Roman"/>
        </w:rPr>
        <w:t>合同要素不完整、缺少收款账户信息、</w:t>
      </w:r>
      <w:r>
        <w:rPr>
          <w:rFonts w:hint="eastAsia" w:cs="Times New Roman"/>
        </w:rPr>
        <w:t>实际</w:t>
      </w:r>
      <w:r>
        <w:rPr>
          <w:rFonts w:cs="Times New Roman"/>
        </w:rPr>
        <w:t>支付节点</w:t>
      </w:r>
      <w:r>
        <w:rPr>
          <w:rFonts w:hint="eastAsia" w:cs="Times New Roman"/>
        </w:rPr>
        <w:t>与</w:t>
      </w:r>
      <w:r>
        <w:rPr>
          <w:rFonts w:cs="Times New Roman"/>
        </w:rPr>
        <w:t>批复不</w:t>
      </w:r>
      <w:r>
        <w:rPr>
          <w:rFonts w:hint="eastAsia" w:cs="Times New Roman"/>
        </w:rPr>
        <w:t>一致</w:t>
      </w:r>
      <w:r>
        <w:rPr>
          <w:rFonts w:cs="Times New Roman"/>
        </w:rPr>
        <w:t>等问题，得0.5分；</w:t>
      </w:r>
    </w:p>
    <w:p>
      <w:pPr>
        <w:pStyle w:val="2"/>
        <w:ind w:firstLine="560"/>
        <w:rPr>
          <w:rFonts w:eastAsia="楷体_GB2312" w:cs="Times New Roman"/>
        </w:rPr>
      </w:pPr>
      <w:r>
        <w:rPr>
          <w:rFonts w:hint="eastAsia" w:ascii="宋体" w:hAnsi="宋体" w:eastAsia="宋体" w:cs="宋体"/>
        </w:rPr>
        <w:t>④</w:t>
      </w:r>
      <w:r>
        <w:rPr>
          <w:rFonts w:cs="Times New Roman"/>
        </w:rPr>
        <w:t>经与</w:t>
      </w:r>
      <w:r>
        <w:rPr>
          <w:rFonts w:hint="eastAsia" w:cs="Times New Roman"/>
        </w:rPr>
        <w:t>漯河经济技术开发区城市管理执法大队</w:t>
      </w:r>
      <w:r>
        <w:rPr>
          <w:rFonts w:cs="Times New Roman"/>
        </w:rPr>
        <w:t>相关负责人访谈及现场专访和调查，该项目由专人专管，负责人是</w:t>
      </w:r>
      <w:r>
        <w:rPr>
          <w:rFonts w:hint="eastAsia" w:cs="Times New Roman"/>
        </w:rPr>
        <w:t>刘培杰</w:t>
      </w:r>
      <w:r>
        <w:rPr>
          <w:rFonts w:cs="Times New Roman"/>
        </w:rPr>
        <w:t>，项目实施的人员条件、场地设备、信息支撑等落实到位，得0.75分。</w:t>
      </w:r>
    </w:p>
    <w:p>
      <w:pPr>
        <w:pStyle w:val="2"/>
        <w:ind w:firstLine="560"/>
        <w:rPr>
          <w:rFonts w:eastAsia="楷体_GB2312" w:cs="Times New Roman"/>
        </w:rPr>
      </w:pPr>
      <w:r>
        <w:rPr>
          <w:rFonts w:cs="Times New Roman"/>
        </w:rPr>
        <w:t>（3）档案管理规范性（权重2，得分</w:t>
      </w:r>
      <w:r>
        <w:rPr>
          <w:rFonts w:hint="eastAsia" w:cs="Times New Roman"/>
        </w:rPr>
        <w:t>1.5</w:t>
      </w:r>
      <w:r>
        <w:rPr>
          <w:rFonts w:cs="Times New Roman"/>
        </w:rPr>
        <w:t>）</w:t>
      </w:r>
    </w:p>
    <w:p>
      <w:pPr>
        <w:pStyle w:val="2"/>
        <w:ind w:firstLine="562"/>
        <w:rPr>
          <w:rFonts w:cs="Times New Roman"/>
          <w:b/>
        </w:rPr>
      </w:pPr>
      <w:r>
        <w:rPr>
          <w:rFonts w:cs="Times New Roman"/>
          <w:b/>
        </w:rPr>
        <w:t>评分标准：</w:t>
      </w:r>
    </w:p>
    <w:p>
      <w:pPr>
        <w:pStyle w:val="2"/>
        <w:ind w:firstLine="560"/>
        <w:rPr>
          <w:rFonts w:cs="Times New Roman"/>
        </w:rPr>
      </w:pPr>
      <w:r>
        <w:rPr>
          <w:rFonts w:hint="eastAsia" w:ascii="宋体" w:hAnsi="宋体" w:eastAsia="宋体" w:cs="宋体"/>
        </w:rPr>
        <w:t>①</w:t>
      </w:r>
      <w:r>
        <w:rPr>
          <w:rFonts w:cs="Times New Roman"/>
        </w:rPr>
        <w:t>是否指定专人负责项目档案专门管理，1分；</w:t>
      </w:r>
    </w:p>
    <w:p>
      <w:pPr>
        <w:pStyle w:val="2"/>
        <w:ind w:firstLine="560"/>
        <w:rPr>
          <w:rFonts w:cs="Times New Roman"/>
        </w:rPr>
      </w:pPr>
      <w:r>
        <w:rPr>
          <w:rFonts w:hint="eastAsia" w:ascii="宋体" w:hAnsi="宋体" w:eastAsia="宋体" w:cs="宋体"/>
        </w:rPr>
        <w:t>②</w:t>
      </w:r>
      <w:r>
        <w:rPr>
          <w:rFonts w:cs="Times New Roman"/>
        </w:rPr>
        <w:t>项目档案资料是否完整、齐全、规范，1分。</w:t>
      </w:r>
    </w:p>
    <w:p>
      <w:pPr>
        <w:pStyle w:val="2"/>
        <w:ind w:firstLine="562"/>
        <w:rPr>
          <w:rFonts w:cs="Times New Roman"/>
          <w:b/>
        </w:rPr>
      </w:pPr>
      <w:r>
        <w:rPr>
          <w:rFonts w:cs="Times New Roman"/>
          <w:b/>
        </w:rPr>
        <w:t>得分：</w:t>
      </w:r>
    </w:p>
    <w:p>
      <w:pPr>
        <w:pStyle w:val="2"/>
        <w:ind w:firstLine="560"/>
        <w:rPr>
          <w:rFonts w:cs="Times New Roman"/>
        </w:rPr>
      </w:pPr>
      <w:r>
        <w:rPr>
          <w:rFonts w:hint="eastAsia" w:ascii="宋体" w:hAnsi="宋体" w:eastAsia="宋体" w:cs="宋体"/>
        </w:rPr>
        <w:t>①</w:t>
      </w:r>
      <w:r>
        <w:rPr>
          <w:rFonts w:cs="Times New Roman"/>
        </w:rPr>
        <w:t>为加强档案管理规范性，</w:t>
      </w:r>
      <w:r>
        <w:rPr>
          <w:rFonts w:hint="eastAsia" w:cs="Times New Roman"/>
        </w:rPr>
        <w:t>漯河经济技术开发区城市管理执法大队</w:t>
      </w:r>
      <w:r>
        <w:rPr>
          <w:rFonts w:cs="Times New Roman"/>
        </w:rPr>
        <w:t>指定专人负责项目档案专门管理，得</w:t>
      </w:r>
      <w:r>
        <w:rPr>
          <w:rFonts w:hint="eastAsia" w:cs="Times New Roman"/>
        </w:rPr>
        <w:t>1</w:t>
      </w:r>
      <w:r>
        <w:rPr>
          <w:rFonts w:cs="Times New Roman"/>
        </w:rPr>
        <w:t>分；</w:t>
      </w:r>
    </w:p>
    <w:p>
      <w:pPr>
        <w:pStyle w:val="2"/>
        <w:ind w:firstLine="560"/>
        <w:rPr>
          <w:rFonts w:cs="Times New Roman"/>
        </w:rPr>
      </w:pPr>
      <w:r>
        <w:rPr>
          <w:rFonts w:hint="eastAsia" w:ascii="宋体" w:hAnsi="宋体" w:eastAsia="宋体" w:cs="宋体"/>
        </w:rPr>
        <w:t>②</w:t>
      </w:r>
      <w:r>
        <w:rPr>
          <w:rFonts w:cs="Times New Roman"/>
        </w:rPr>
        <w:t>经现场走访和档案资料调查查阅情况来看，对本次调研所需档案，</w:t>
      </w:r>
      <w:r>
        <w:rPr>
          <w:rFonts w:hint="eastAsia" w:cs="Times New Roman"/>
        </w:rPr>
        <w:t>漯河经济技术开发区城市管理执法大队</w:t>
      </w:r>
      <w:r>
        <w:rPr>
          <w:rFonts w:cs="Times New Roman"/>
        </w:rPr>
        <w:t>均能及时、全面的提供，档案管理规范、保存完整、保管得当，</w:t>
      </w:r>
      <w:r>
        <w:rPr>
          <w:rFonts w:hint="eastAsia" w:cs="Times New Roman"/>
        </w:rPr>
        <w:t>但是</w:t>
      </w:r>
      <w:r>
        <w:rPr>
          <w:rFonts w:cs="Times New Roman"/>
        </w:rPr>
        <w:t>项目档案资料</w:t>
      </w:r>
      <w:r>
        <w:rPr>
          <w:rFonts w:hint="eastAsia" w:cs="Times New Roman"/>
        </w:rPr>
        <w:t>缺少工程变更明细、金额变动相关申请与审批资料，部分资料缺少日期或要素不完整，</w:t>
      </w:r>
      <w:r>
        <w:rPr>
          <w:rFonts w:cs="Times New Roman"/>
        </w:rPr>
        <w:t>得</w:t>
      </w:r>
      <w:r>
        <w:rPr>
          <w:rFonts w:hint="eastAsia" w:cs="Times New Roman"/>
        </w:rPr>
        <w:t>0.5</w:t>
      </w:r>
      <w:r>
        <w:rPr>
          <w:rFonts w:cs="Times New Roman"/>
        </w:rPr>
        <w:t>分。</w:t>
      </w:r>
    </w:p>
    <w:p>
      <w:pPr>
        <w:pStyle w:val="2"/>
        <w:ind w:firstLine="560"/>
        <w:rPr>
          <w:rFonts w:eastAsia="楷体_GB2312" w:cs="Times New Roman"/>
        </w:rPr>
      </w:pPr>
      <w:r>
        <w:rPr>
          <w:rFonts w:cs="Times New Roman"/>
        </w:rPr>
        <w:t>（4）项目质量可控性（权重3，得分</w:t>
      </w:r>
      <w:r>
        <w:rPr>
          <w:rFonts w:hint="eastAsia" w:cs="Times New Roman"/>
        </w:rPr>
        <w:t>2</w:t>
      </w:r>
      <w:r>
        <w:rPr>
          <w:rFonts w:cs="Times New Roman"/>
        </w:rPr>
        <w:t>）</w:t>
      </w:r>
    </w:p>
    <w:p>
      <w:pPr>
        <w:pStyle w:val="2"/>
        <w:ind w:firstLine="562"/>
        <w:rPr>
          <w:rFonts w:cs="Times New Roman"/>
          <w:b/>
        </w:rPr>
      </w:pPr>
      <w:r>
        <w:rPr>
          <w:rFonts w:cs="Times New Roman"/>
          <w:b/>
        </w:rPr>
        <w:t>评分标准：</w:t>
      </w:r>
    </w:p>
    <w:p>
      <w:pPr>
        <w:pStyle w:val="2"/>
        <w:ind w:firstLine="560"/>
        <w:rPr>
          <w:rFonts w:cs="Times New Roman"/>
        </w:rPr>
      </w:pPr>
      <w:r>
        <w:rPr>
          <w:rFonts w:hint="eastAsia" w:ascii="宋体" w:hAnsi="宋体" w:eastAsia="宋体" w:cs="宋体"/>
        </w:rPr>
        <w:t>①</w:t>
      </w:r>
      <w:r>
        <w:rPr>
          <w:rFonts w:cs="Times New Roman"/>
        </w:rPr>
        <w:t>是否已制定或具有相应的项目质量要求或标准，1.5分；</w:t>
      </w:r>
    </w:p>
    <w:p>
      <w:pPr>
        <w:pStyle w:val="2"/>
        <w:ind w:firstLine="560"/>
        <w:rPr>
          <w:rFonts w:cs="Times New Roman"/>
        </w:rPr>
      </w:pPr>
      <w:r>
        <w:rPr>
          <w:rFonts w:hint="eastAsia" w:ascii="宋体" w:hAnsi="宋体" w:eastAsia="宋体" w:cs="宋体"/>
        </w:rPr>
        <w:t>②</w:t>
      </w:r>
      <w:r>
        <w:rPr>
          <w:rFonts w:cs="Times New Roman"/>
        </w:rPr>
        <w:t>是否采取了相应的项目质量检查、验收等必需的控制措施或手段，1.5分。</w:t>
      </w:r>
    </w:p>
    <w:p>
      <w:pPr>
        <w:pStyle w:val="2"/>
        <w:ind w:firstLine="562"/>
        <w:rPr>
          <w:rFonts w:cs="Times New Roman"/>
          <w:b/>
        </w:rPr>
      </w:pPr>
      <w:r>
        <w:rPr>
          <w:rFonts w:cs="Times New Roman"/>
          <w:b/>
        </w:rPr>
        <w:t>得分：</w:t>
      </w:r>
    </w:p>
    <w:p>
      <w:pPr>
        <w:pStyle w:val="2"/>
        <w:ind w:firstLine="560"/>
        <w:rPr>
          <w:rFonts w:cs="Times New Roman"/>
        </w:rPr>
      </w:pPr>
      <w:r>
        <w:rPr>
          <w:rFonts w:hint="eastAsia" w:cs="Times New Roman"/>
        </w:rPr>
        <w:t>①工程变更前：门头改造项工程项目采取政府采购的形式，通过招投标的方式，制定严格的项目质量和数量标准，同时对投标单位的资质进行了严格的限制，最终择优录取；同时，项目完工后，漯河经济技术开发区城市管理执法大队制定了详细的验收标准并组织有关单位进行验收，出具有关方验收报告、质量评估报告等，确保了工程质量；</w:t>
      </w:r>
    </w:p>
    <w:p>
      <w:pPr>
        <w:pStyle w:val="2"/>
        <w:ind w:firstLine="560"/>
        <w:rPr>
          <w:rFonts w:cs="Times New Roman"/>
        </w:rPr>
      </w:pPr>
      <w:r>
        <w:rPr>
          <w:rFonts w:hint="eastAsia" w:cs="Times New Roman"/>
        </w:rPr>
        <w:t>工程变更后，未提供相关工程变更的资料，无法评判其质量控制措施的完善性和有效性，</w:t>
      </w:r>
      <w:r>
        <w:rPr>
          <w:rFonts w:cs="Times New Roman"/>
        </w:rPr>
        <w:t>得1分；</w:t>
      </w:r>
    </w:p>
    <w:p>
      <w:pPr>
        <w:pStyle w:val="2"/>
        <w:ind w:firstLine="560"/>
        <w:rPr>
          <w:rFonts w:cs="Times New Roman"/>
        </w:rPr>
      </w:pPr>
      <w:r>
        <w:rPr>
          <w:rFonts w:hint="eastAsia" w:ascii="宋体" w:hAnsi="宋体" w:eastAsia="宋体" w:cs="宋体"/>
        </w:rPr>
        <w:t>②</w:t>
      </w:r>
      <w:r>
        <w:rPr>
          <w:rFonts w:hint="eastAsia" w:cs="Times New Roman"/>
        </w:rPr>
        <w:t>工程变更前：</w:t>
      </w:r>
      <w:r>
        <w:rPr>
          <w:rFonts w:cs="Times New Roman"/>
        </w:rPr>
        <w:t>在项目的实施过程中，</w:t>
      </w:r>
      <w:r>
        <w:rPr>
          <w:rFonts w:hint="eastAsia" w:cs="Times New Roman"/>
        </w:rPr>
        <w:t>漯河经济技术开发区城市管理执法大队</w:t>
      </w:r>
      <w:r>
        <w:rPr>
          <w:rFonts w:cs="Times New Roman"/>
        </w:rPr>
        <w:t>通过招标采购等方式，控制成本，选取优质</w:t>
      </w:r>
      <w:r>
        <w:rPr>
          <w:rFonts w:hint="eastAsia" w:cs="Times New Roman"/>
        </w:rPr>
        <w:t>施工单位</w:t>
      </w:r>
      <w:r>
        <w:rPr>
          <w:rFonts w:cs="Times New Roman"/>
        </w:rPr>
        <w:t>；签订服务合同书，明确工程质量等的要求，把控项目质量；定期进行</w:t>
      </w:r>
      <w:r>
        <w:rPr>
          <w:rFonts w:hint="eastAsia" w:cs="Times New Roman"/>
        </w:rPr>
        <w:t>现场</w:t>
      </w:r>
      <w:r>
        <w:rPr>
          <w:rFonts w:cs="Times New Roman"/>
        </w:rPr>
        <w:t>检查，不断提高</w:t>
      </w:r>
      <w:r>
        <w:rPr>
          <w:rFonts w:hint="eastAsia" w:cs="Times New Roman"/>
        </w:rPr>
        <w:t>工程项目</w:t>
      </w:r>
      <w:r>
        <w:rPr>
          <w:rFonts w:cs="Times New Roman"/>
        </w:rPr>
        <w:t>的质量，项目整体开展采取了相应的项目进度、预算支出管控和监督等必需的控制措施或手段</w:t>
      </w:r>
      <w:r>
        <w:rPr>
          <w:rFonts w:hint="eastAsia" w:cs="Times New Roman"/>
        </w:rPr>
        <w:t>；</w:t>
      </w:r>
    </w:p>
    <w:p>
      <w:pPr>
        <w:pStyle w:val="2"/>
        <w:ind w:firstLine="560"/>
        <w:rPr>
          <w:rFonts w:eastAsia="楷体_GB2312" w:cs="Times New Roman"/>
        </w:rPr>
      </w:pPr>
      <w:r>
        <w:rPr>
          <w:rFonts w:hint="eastAsia" w:cs="Times New Roman"/>
        </w:rPr>
        <w:t>工程变更后，未提供相关工程变更的资料，无法评判其是否对变更部分采取了必要的质量控制措施或手段，</w:t>
      </w:r>
      <w:r>
        <w:rPr>
          <w:rFonts w:cs="Times New Roman"/>
        </w:rPr>
        <w:t>得1分</w:t>
      </w:r>
      <w:r>
        <w:rPr>
          <w:rFonts w:hint="eastAsia" w:cs="Times New Roman"/>
        </w:rPr>
        <w:t>。</w:t>
      </w:r>
    </w:p>
    <w:p>
      <w:pPr>
        <w:pStyle w:val="5"/>
        <w:ind w:firstLine="562"/>
        <w:rPr>
          <w:rFonts w:cs="Times New Roman"/>
        </w:rPr>
      </w:pPr>
      <w:bookmarkStart w:id="91" w:name="_Toc67315595"/>
      <w:bookmarkStart w:id="92" w:name="_Toc28664"/>
      <w:bookmarkStart w:id="93" w:name="_Toc14239"/>
      <w:r>
        <w:rPr>
          <w:rFonts w:cs="Times New Roman"/>
        </w:rPr>
        <w:t>2.预算管理（权重15，得分</w:t>
      </w:r>
      <w:r>
        <w:rPr>
          <w:rFonts w:hint="eastAsia" w:cs="Times New Roman"/>
        </w:rPr>
        <w:t>1</w:t>
      </w:r>
      <w:r>
        <w:rPr>
          <w:rFonts w:hint="eastAsia" w:cs="Times New Roman"/>
          <w:lang w:val="en-US" w:eastAsia="zh-CN"/>
        </w:rPr>
        <w:t>1.25</w:t>
      </w:r>
      <w:r>
        <w:rPr>
          <w:rFonts w:cs="Times New Roman"/>
        </w:rPr>
        <w:t>）</w:t>
      </w:r>
      <w:bookmarkEnd w:id="91"/>
      <w:bookmarkEnd w:id="92"/>
      <w:bookmarkEnd w:id="93"/>
    </w:p>
    <w:p>
      <w:pPr>
        <w:pStyle w:val="2"/>
        <w:ind w:firstLine="560"/>
        <w:rPr>
          <w:rFonts w:cs="Times New Roman"/>
        </w:rPr>
      </w:pPr>
      <w:r>
        <w:rPr>
          <w:rFonts w:cs="Times New Roman"/>
        </w:rPr>
        <w:t>（1）资金</w:t>
      </w:r>
      <w:r>
        <w:rPr>
          <w:rFonts w:hint="eastAsia" w:cs="Times New Roman"/>
        </w:rPr>
        <w:t>拨付率</w:t>
      </w:r>
      <w:r>
        <w:rPr>
          <w:rFonts w:cs="Times New Roman"/>
        </w:rPr>
        <w:t>（权重2.5，得分2.</w:t>
      </w:r>
      <w:r>
        <w:rPr>
          <w:rFonts w:hint="eastAsia" w:cs="Times New Roman"/>
        </w:rPr>
        <w:t>5</w:t>
      </w:r>
      <w:r>
        <w:rPr>
          <w:rFonts w:cs="Times New Roman"/>
        </w:rPr>
        <w:t>）</w:t>
      </w:r>
    </w:p>
    <w:p>
      <w:pPr>
        <w:pStyle w:val="2"/>
        <w:ind w:firstLine="562"/>
        <w:rPr>
          <w:rFonts w:cs="Times New Roman"/>
          <w:b/>
        </w:rPr>
      </w:pPr>
      <w:r>
        <w:rPr>
          <w:rFonts w:cs="Times New Roman"/>
          <w:b/>
        </w:rPr>
        <w:t>评分标准：</w:t>
      </w:r>
    </w:p>
    <w:p>
      <w:pPr>
        <w:pStyle w:val="2"/>
        <w:ind w:firstLine="560"/>
        <w:rPr>
          <w:rFonts w:cs="Times New Roman"/>
        </w:rPr>
      </w:pPr>
      <w:r>
        <w:rPr>
          <w:rFonts w:hint="eastAsia" w:cs="Times New Roman"/>
        </w:rPr>
        <w:t>①工程费资金拨付率；</w:t>
      </w:r>
    </w:p>
    <w:p>
      <w:pPr>
        <w:pStyle w:val="2"/>
        <w:ind w:firstLine="560"/>
        <w:rPr>
          <w:rFonts w:cs="Times New Roman"/>
        </w:rPr>
      </w:pPr>
      <w:r>
        <w:rPr>
          <w:rFonts w:hint="eastAsia" w:ascii="宋体" w:hAnsi="宋体" w:eastAsia="宋体" w:cs="宋体"/>
        </w:rPr>
        <w:t>②</w:t>
      </w:r>
      <w:r>
        <w:rPr>
          <w:rFonts w:hint="eastAsia" w:cs="Times New Roman"/>
        </w:rPr>
        <w:t>设计费资金拨付率；</w:t>
      </w:r>
    </w:p>
    <w:p>
      <w:pPr>
        <w:pStyle w:val="2"/>
        <w:ind w:firstLine="560"/>
        <w:rPr>
          <w:rFonts w:cs="Times New Roman"/>
        </w:rPr>
      </w:pPr>
      <w:r>
        <w:rPr>
          <w:rFonts w:hint="eastAsia" w:cs="Times New Roman"/>
        </w:rPr>
        <w:t>③造价费资金拨付率；</w:t>
      </w:r>
    </w:p>
    <w:p>
      <w:pPr>
        <w:pStyle w:val="2"/>
        <w:ind w:firstLine="560"/>
        <w:rPr>
          <w:rFonts w:cs="Times New Roman"/>
        </w:rPr>
      </w:pPr>
      <w:r>
        <w:rPr>
          <w:rFonts w:hint="eastAsia" w:cs="Times New Roman"/>
        </w:rPr>
        <w:t>④监理费资金拨付率；</w:t>
      </w:r>
    </w:p>
    <w:p>
      <w:pPr>
        <w:pStyle w:val="2"/>
        <w:ind w:firstLine="560"/>
        <w:rPr>
          <w:rFonts w:cs="Times New Roman"/>
        </w:rPr>
      </w:pPr>
      <w:r>
        <w:rPr>
          <w:rFonts w:hint="eastAsia" w:cs="Times New Roman"/>
        </w:rPr>
        <w:t>⑤结算审核费资金拨付率；</w:t>
      </w:r>
    </w:p>
    <w:p>
      <w:pPr>
        <w:pStyle w:val="2"/>
        <w:ind w:firstLine="560"/>
        <w:rPr>
          <w:rFonts w:cs="Times New Roman"/>
        </w:rPr>
      </w:pPr>
      <w:r>
        <w:rPr>
          <w:rFonts w:hint="eastAsia" w:cs="Times New Roman"/>
        </w:rPr>
        <w:t>⑥工程变更增加费用资金拨付率。</w:t>
      </w:r>
    </w:p>
    <w:p>
      <w:pPr>
        <w:pStyle w:val="2"/>
        <w:ind w:firstLine="560"/>
        <w:rPr>
          <w:rFonts w:ascii="宋体" w:hAnsi="宋体" w:eastAsia="宋体" w:cs="宋体"/>
        </w:rPr>
      </w:pPr>
      <w:r>
        <w:rPr>
          <w:rFonts w:cs="Times New Roman"/>
        </w:rPr>
        <w:t>资金</w:t>
      </w:r>
      <w:r>
        <w:rPr>
          <w:rFonts w:hint="eastAsia" w:cs="Times New Roman"/>
        </w:rPr>
        <w:t>拨付率</w:t>
      </w:r>
      <w:r>
        <w:rPr>
          <w:rFonts w:cs="Times New Roman"/>
        </w:rPr>
        <w:t>=（实际</w:t>
      </w:r>
      <w:r>
        <w:rPr>
          <w:rFonts w:hint="eastAsia" w:cs="Times New Roman"/>
        </w:rPr>
        <w:t>拨付</w:t>
      </w:r>
      <w:r>
        <w:rPr>
          <w:rFonts w:cs="Times New Roman"/>
        </w:rPr>
        <w:t>资金/</w:t>
      </w:r>
      <w:r>
        <w:rPr>
          <w:rFonts w:hint="eastAsia" w:cs="Times New Roman"/>
        </w:rPr>
        <w:t>财政划拨</w:t>
      </w:r>
      <w:r>
        <w:rPr>
          <w:rFonts w:cs="Times New Roman"/>
        </w:rPr>
        <w:t>资金）×100%。</w:t>
      </w:r>
    </w:p>
    <w:p>
      <w:pPr>
        <w:pStyle w:val="2"/>
        <w:ind w:firstLine="560"/>
        <w:rPr>
          <w:rFonts w:cs="Times New Roman"/>
        </w:rPr>
      </w:pPr>
      <w:r>
        <w:rPr>
          <w:rFonts w:hint="eastAsia" w:ascii="宋体" w:hAnsi="宋体" w:eastAsia="宋体" w:cs="宋体"/>
        </w:rPr>
        <w:t>①</w:t>
      </w:r>
      <w:r>
        <w:rPr>
          <w:rFonts w:cs="Times New Roman"/>
        </w:rPr>
        <w:t>实际</w:t>
      </w:r>
      <w:r>
        <w:rPr>
          <w:rFonts w:hint="eastAsia" w:cs="Times New Roman"/>
        </w:rPr>
        <w:t>拨付</w:t>
      </w:r>
      <w:r>
        <w:rPr>
          <w:rFonts w:cs="Times New Roman"/>
        </w:rPr>
        <w:t>资金：一定时期（本年度或项目期）内实际落实到具体项目的资金。</w:t>
      </w:r>
    </w:p>
    <w:p>
      <w:pPr>
        <w:pStyle w:val="2"/>
        <w:ind w:firstLine="560"/>
        <w:rPr>
          <w:rFonts w:cs="Times New Roman"/>
        </w:rPr>
      </w:pPr>
      <w:r>
        <w:rPr>
          <w:rFonts w:hint="eastAsia" w:ascii="宋体" w:hAnsi="宋体" w:eastAsia="宋体" w:cs="宋体"/>
        </w:rPr>
        <w:t>②</w:t>
      </w:r>
      <w:r>
        <w:rPr>
          <w:rFonts w:hint="eastAsia" w:cs="Times New Roman"/>
        </w:rPr>
        <w:t>财政划拨</w:t>
      </w:r>
      <w:r>
        <w:rPr>
          <w:rFonts w:cs="Times New Roman"/>
        </w:rPr>
        <w:t>资金：一定时期（本年度或项目期）内</w:t>
      </w:r>
      <w:r>
        <w:rPr>
          <w:rFonts w:hint="eastAsia" w:cs="Times New Roman"/>
        </w:rPr>
        <w:t>财政划拨</w:t>
      </w:r>
      <w:r>
        <w:rPr>
          <w:rFonts w:cs="Times New Roman"/>
        </w:rPr>
        <w:t>到具体项目的资金。</w:t>
      </w:r>
    </w:p>
    <w:p>
      <w:pPr>
        <w:pStyle w:val="2"/>
        <w:ind w:firstLine="560"/>
        <w:rPr>
          <w:rFonts w:cs="Times New Roman"/>
        </w:rPr>
      </w:pPr>
      <w:r>
        <w:rPr>
          <w:rFonts w:cs="Times New Roman"/>
        </w:rPr>
        <w:t>实际得分=资金</w:t>
      </w:r>
      <w:r>
        <w:rPr>
          <w:rFonts w:hint="eastAsia" w:cs="Times New Roman"/>
        </w:rPr>
        <w:t>拨付率（最低）</w:t>
      </w:r>
      <w:r>
        <w:rPr>
          <w:rFonts w:cs="Times New Roman"/>
        </w:rPr>
        <w:t>×2.5。</w:t>
      </w:r>
    </w:p>
    <w:p>
      <w:pPr>
        <w:pStyle w:val="2"/>
        <w:ind w:firstLine="562"/>
        <w:rPr>
          <w:rFonts w:cs="Times New Roman"/>
          <w:b/>
        </w:rPr>
      </w:pPr>
      <w:r>
        <w:rPr>
          <w:rFonts w:cs="Times New Roman"/>
          <w:b/>
        </w:rPr>
        <w:t>得分：</w:t>
      </w:r>
    </w:p>
    <w:p>
      <w:pPr>
        <w:pStyle w:val="2"/>
        <w:ind w:firstLine="560"/>
        <w:rPr>
          <w:rFonts w:cs="Times New Roman"/>
        </w:rPr>
      </w:pPr>
      <w:r>
        <w:rPr>
          <w:rFonts w:hint="eastAsia" w:cs="Times New Roman"/>
        </w:rPr>
        <w:t>由“一、（一）</w:t>
      </w:r>
      <w:r>
        <w:rPr>
          <w:rFonts w:cs="Times New Roman"/>
        </w:rPr>
        <w:t>5.</w:t>
      </w:r>
      <w:r>
        <w:rPr>
          <w:rFonts w:hint="eastAsia" w:cs="Times New Roman"/>
        </w:rPr>
        <w:t>资金投入及使用情况”可知，实际得分=99.99%</w:t>
      </w:r>
      <w:r>
        <w:rPr>
          <w:rFonts w:cs="Times New Roman"/>
        </w:rPr>
        <w:t>×2.5</w:t>
      </w:r>
      <w:r>
        <w:rPr>
          <w:rFonts w:ascii="Arial" w:hAnsi="Arial" w:cs="Arial"/>
        </w:rPr>
        <w:t>≈</w:t>
      </w:r>
      <w:r>
        <w:rPr>
          <w:rFonts w:hint="eastAsia" w:cs="Times New Roman"/>
        </w:rPr>
        <w:t>2.5，</w:t>
      </w:r>
      <w:r>
        <w:rPr>
          <w:rFonts w:cs="Times New Roman"/>
        </w:rPr>
        <w:t>得2.</w:t>
      </w:r>
      <w:r>
        <w:rPr>
          <w:rFonts w:hint="eastAsia" w:cs="Times New Roman"/>
        </w:rPr>
        <w:t>5</w:t>
      </w:r>
      <w:r>
        <w:rPr>
          <w:rFonts w:cs="Times New Roman"/>
        </w:rPr>
        <w:t>分。</w:t>
      </w:r>
    </w:p>
    <w:p>
      <w:pPr>
        <w:pStyle w:val="2"/>
        <w:numPr>
          <w:ilvl w:val="0"/>
          <w:numId w:val="1"/>
        </w:numPr>
        <w:ind w:firstLine="560"/>
      </w:pPr>
      <w:r>
        <w:rPr>
          <w:rFonts w:hint="eastAsia" w:cs="Times New Roman"/>
        </w:rPr>
        <w:t>拨付</w:t>
      </w:r>
      <w:r>
        <w:rPr>
          <w:rFonts w:cs="Times New Roman"/>
        </w:rPr>
        <w:t>及时率（权重2.5，得分2.5）</w:t>
      </w:r>
    </w:p>
    <w:p>
      <w:pPr>
        <w:pStyle w:val="2"/>
        <w:ind w:firstLine="560"/>
        <w:rPr>
          <w:rFonts w:cs="Times New Roman"/>
        </w:rPr>
      </w:pPr>
      <w:r>
        <w:rPr>
          <w:rFonts w:hint="eastAsia" w:cs="Times New Roman"/>
        </w:rPr>
        <w:t>①工程费资金拨付及时率；</w:t>
      </w:r>
    </w:p>
    <w:p>
      <w:pPr>
        <w:pStyle w:val="2"/>
        <w:ind w:firstLine="560"/>
        <w:rPr>
          <w:rFonts w:cs="Times New Roman"/>
        </w:rPr>
      </w:pPr>
      <w:r>
        <w:rPr>
          <w:rFonts w:hint="eastAsia" w:ascii="宋体" w:hAnsi="宋体" w:eastAsia="宋体" w:cs="宋体"/>
        </w:rPr>
        <w:t>②</w:t>
      </w:r>
      <w:r>
        <w:rPr>
          <w:rFonts w:hint="eastAsia" w:cs="Times New Roman"/>
        </w:rPr>
        <w:t>设计费资金拨付及时率；</w:t>
      </w:r>
    </w:p>
    <w:p>
      <w:pPr>
        <w:pStyle w:val="2"/>
        <w:ind w:firstLine="560"/>
        <w:rPr>
          <w:rFonts w:cs="Times New Roman"/>
        </w:rPr>
      </w:pPr>
      <w:r>
        <w:rPr>
          <w:rFonts w:hint="eastAsia" w:cs="Times New Roman"/>
        </w:rPr>
        <w:t>③造价费资金拨付及时率；</w:t>
      </w:r>
    </w:p>
    <w:p>
      <w:pPr>
        <w:pStyle w:val="2"/>
        <w:ind w:firstLine="560"/>
        <w:rPr>
          <w:rFonts w:cs="Times New Roman"/>
        </w:rPr>
      </w:pPr>
      <w:r>
        <w:rPr>
          <w:rFonts w:hint="eastAsia" w:cs="Times New Roman"/>
        </w:rPr>
        <w:t>④监理费资金拨付及时率；</w:t>
      </w:r>
    </w:p>
    <w:p>
      <w:pPr>
        <w:pStyle w:val="2"/>
        <w:ind w:firstLine="560"/>
        <w:rPr>
          <w:rFonts w:cs="Times New Roman"/>
        </w:rPr>
      </w:pPr>
      <w:r>
        <w:rPr>
          <w:rFonts w:hint="eastAsia" w:cs="Times New Roman"/>
        </w:rPr>
        <w:t>⑤结算审核费资金拨付及时率；</w:t>
      </w:r>
    </w:p>
    <w:p>
      <w:pPr>
        <w:pStyle w:val="2"/>
        <w:ind w:firstLine="560"/>
      </w:pPr>
      <w:r>
        <w:rPr>
          <w:rFonts w:hint="eastAsia" w:cs="Times New Roman"/>
        </w:rPr>
        <w:t>⑥工程变更费用资金拨付及时率。</w:t>
      </w:r>
    </w:p>
    <w:p>
      <w:pPr>
        <w:pStyle w:val="2"/>
        <w:ind w:firstLine="562"/>
        <w:rPr>
          <w:rFonts w:cs="Times New Roman"/>
          <w:b/>
        </w:rPr>
      </w:pPr>
      <w:r>
        <w:rPr>
          <w:rFonts w:cs="Times New Roman"/>
          <w:b/>
        </w:rPr>
        <w:t>评分标准：</w:t>
      </w:r>
    </w:p>
    <w:p>
      <w:pPr>
        <w:pStyle w:val="2"/>
        <w:ind w:firstLine="560"/>
        <w:rPr>
          <w:rFonts w:cs="Times New Roman"/>
        </w:rPr>
      </w:pPr>
      <w:r>
        <w:rPr>
          <w:rFonts w:hint="eastAsia" w:cs="Times New Roman"/>
        </w:rPr>
        <w:t>拨付</w:t>
      </w:r>
      <w:r>
        <w:rPr>
          <w:rFonts w:cs="Times New Roman"/>
        </w:rPr>
        <w:t>及时率=（及时</w:t>
      </w:r>
      <w:r>
        <w:rPr>
          <w:rFonts w:hint="eastAsia" w:cs="Times New Roman"/>
        </w:rPr>
        <w:t>拨付</w:t>
      </w:r>
      <w:r>
        <w:rPr>
          <w:rFonts w:cs="Times New Roman"/>
        </w:rPr>
        <w:t>资金/应</w:t>
      </w:r>
      <w:r>
        <w:rPr>
          <w:rFonts w:hint="eastAsia" w:cs="Times New Roman"/>
        </w:rPr>
        <w:t>拨付</w:t>
      </w:r>
      <w:r>
        <w:rPr>
          <w:rFonts w:cs="Times New Roman"/>
        </w:rPr>
        <w:t>资金）×100%。</w:t>
      </w:r>
    </w:p>
    <w:p>
      <w:pPr>
        <w:pStyle w:val="2"/>
        <w:ind w:firstLine="560"/>
        <w:rPr>
          <w:rFonts w:cs="Times New Roman"/>
        </w:rPr>
      </w:pPr>
      <w:r>
        <w:rPr>
          <w:rFonts w:cs="Times New Roman"/>
        </w:rPr>
        <w:t>应</w:t>
      </w:r>
      <w:r>
        <w:rPr>
          <w:rFonts w:hint="eastAsia" w:cs="Times New Roman"/>
        </w:rPr>
        <w:t>拨付</w:t>
      </w:r>
      <w:r>
        <w:rPr>
          <w:rFonts w:cs="Times New Roman"/>
        </w:rPr>
        <w:t>资金：按照绩效办法、合同或项目进度要求截至规定时点应落实到具体项目的资金。</w:t>
      </w:r>
    </w:p>
    <w:p>
      <w:pPr>
        <w:pStyle w:val="2"/>
        <w:ind w:firstLine="560"/>
        <w:rPr>
          <w:rFonts w:cs="Times New Roman"/>
        </w:rPr>
      </w:pPr>
      <w:r>
        <w:rPr>
          <w:rFonts w:cs="Times New Roman"/>
        </w:rPr>
        <w:t>实际得分=</w:t>
      </w:r>
      <w:r>
        <w:rPr>
          <w:rFonts w:hint="eastAsia" w:cs="Times New Roman"/>
        </w:rPr>
        <w:t>拨付</w:t>
      </w:r>
      <w:r>
        <w:rPr>
          <w:rFonts w:cs="Times New Roman"/>
        </w:rPr>
        <w:t>及时率</w:t>
      </w:r>
      <w:r>
        <w:rPr>
          <w:rFonts w:hint="eastAsia" w:cs="Times New Roman"/>
        </w:rPr>
        <w:t>（最低）</w:t>
      </w:r>
      <w:r>
        <w:rPr>
          <w:rFonts w:cs="Times New Roman"/>
        </w:rPr>
        <w:t>×2.5。</w:t>
      </w:r>
    </w:p>
    <w:p>
      <w:pPr>
        <w:pStyle w:val="2"/>
        <w:ind w:firstLine="562"/>
        <w:rPr>
          <w:rFonts w:cs="Times New Roman"/>
          <w:b/>
        </w:rPr>
      </w:pPr>
      <w:r>
        <w:rPr>
          <w:rFonts w:cs="Times New Roman"/>
          <w:b/>
        </w:rPr>
        <w:t>得分：</w:t>
      </w:r>
    </w:p>
    <w:p>
      <w:pPr>
        <w:pStyle w:val="2"/>
        <w:ind w:firstLine="560"/>
        <w:rPr>
          <w:rFonts w:cs="Times New Roman"/>
        </w:rPr>
      </w:pPr>
      <w:r>
        <w:rPr>
          <w:rFonts w:hint="eastAsia" w:cs="Times New Roman"/>
        </w:rPr>
        <w:t>①工程费资金拨付及时率=837480.05/837480.05</w:t>
      </w:r>
      <w:r>
        <w:rPr>
          <w:rFonts w:cs="Times New Roman"/>
        </w:rPr>
        <w:t>×100%</w:t>
      </w:r>
      <w:r>
        <w:rPr>
          <w:rFonts w:hint="eastAsia" w:cs="Times New Roman"/>
        </w:rPr>
        <w:t>=</w:t>
      </w:r>
      <w:r>
        <w:rPr>
          <w:rFonts w:cs="Times New Roman"/>
        </w:rPr>
        <w:t>100%</w:t>
      </w:r>
      <w:r>
        <w:rPr>
          <w:rFonts w:hint="eastAsia" w:cs="Times New Roman"/>
        </w:rPr>
        <w:t>；</w:t>
      </w:r>
    </w:p>
    <w:p>
      <w:pPr>
        <w:pStyle w:val="2"/>
        <w:ind w:firstLine="560"/>
        <w:rPr>
          <w:rFonts w:cs="Times New Roman"/>
        </w:rPr>
      </w:pPr>
      <w:r>
        <w:rPr>
          <w:rFonts w:hint="eastAsia" w:ascii="宋体" w:hAnsi="宋体" w:eastAsia="宋体" w:cs="宋体"/>
        </w:rPr>
        <w:t>②</w:t>
      </w:r>
      <w:r>
        <w:rPr>
          <w:rFonts w:hint="eastAsia" w:cs="Times New Roman"/>
        </w:rPr>
        <w:t>设计费资金拨付及时率=36000/36000</w:t>
      </w:r>
      <w:r>
        <w:rPr>
          <w:rFonts w:cs="Times New Roman"/>
        </w:rPr>
        <w:t>×100%</w:t>
      </w:r>
      <w:r>
        <w:rPr>
          <w:rFonts w:hint="eastAsia" w:cs="Times New Roman"/>
        </w:rPr>
        <w:t>=</w:t>
      </w:r>
      <w:r>
        <w:rPr>
          <w:rFonts w:cs="Times New Roman"/>
        </w:rPr>
        <w:t>100%</w:t>
      </w:r>
      <w:r>
        <w:rPr>
          <w:rFonts w:hint="eastAsia" w:cs="Times New Roman"/>
        </w:rPr>
        <w:t>；</w:t>
      </w:r>
    </w:p>
    <w:p>
      <w:pPr>
        <w:pStyle w:val="2"/>
        <w:ind w:firstLine="560"/>
        <w:rPr>
          <w:rFonts w:cs="Times New Roman"/>
        </w:rPr>
      </w:pPr>
      <w:r>
        <w:rPr>
          <w:rFonts w:hint="eastAsia" w:cs="Times New Roman"/>
        </w:rPr>
        <w:t>③造价费资金拨付及时率=2560/2560</w:t>
      </w:r>
      <w:r>
        <w:rPr>
          <w:rFonts w:cs="Times New Roman"/>
        </w:rPr>
        <w:t>×100%</w:t>
      </w:r>
      <w:r>
        <w:rPr>
          <w:rFonts w:hint="eastAsia" w:cs="Times New Roman"/>
        </w:rPr>
        <w:t>=</w:t>
      </w:r>
      <w:r>
        <w:rPr>
          <w:rFonts w:cs="Times New Roman"/>
        </w:rPr>
        <w:t>100%</w:t>
      </w:r>
      <w:r>
        <w:rPr>
          <w:rFonts w:hint="eastAsia" w:cs="Times New Roman"/>
        </w:rPr>
        <w:t>；</w:t>
      </w:r>
    </w:p>
    <w:p>
      <w:pPr>
        <w:pStyle w:val="2"/>
        <w:ind w:firstLine="560"/>
        <w:rPr>
          <w:rFonts w:cs="Times New Roman"/>
        </w:rPr>
      </w:pPr>
      <w:r>
        <w:rPr>
          <w:rFonts w:hint="eastAsia" w:cs="Times New Roman"/>
        </w:rPr>
        <w:t>④监理费资金拨付及时率=18000/18000</w:t>
      </w:r>
      <w:r>
        <w:rPr>
          <w:rFonts w:cs="Times New Roman"/>
        </w:rPr>
        <w:t>×100%</w:t>
      </w:r>
      <w:r>
        <w:rPr>
          <w:rFonts w:hint="eastAsia" w:cs="Times New Roman"/>
        </w:rPr>
        <w:t>=</w:t>
      </w:r>
      <w:r>
        <w:rPr>
          <w:rFonts w:cs="Times New Roman"/>
        </w:rPr>
        <w:t>100%</w:t>
      </w:r>
      <w:r>
        <w:rPr>
          <w:rFonts w:hint="eastAsia" w:cs="Times New Roman"/>
        </w:rPr>
        <w:t>；</w:t>
      </w:r>
    </w:p>
    <w:p>
      <w:pPr>
        <w:pStyle w:val="2"/>
        <w:ind w:firstLine="560"/>
        <w:rPr>
          <w:rFonts w:cs="Times New Roman"/>
        </w:rPr>
      </w:pPr>
      <w:r>
        <w:rPr>
          <w:rFonts w:hint="eastAsia" w:cs="Times New Roman"/>
        </w:rPr>
        <w:t>⑤结算审核费资金拨付及时率=2600/2600</w:t>
      </w:r>
      <w:r>
        <w:rPr>
          <w:rFonts w:cs="Times New Roman"/>
        </w:rPr>
        <w:t>×100%</w:t>
      </w:r>
      <w:r>
        <w:rPr>
          <w:rFonts w:hint="eastAsia" w:cs="Times New Roman"/>
        </w:rPr>
        <w:t>=</w:t>
      </w:r>
      <w:r>
        <w:rPr>
          <w:rFonts w:cs="Times New Roman"/>
        </w:rPr>
        <w:t>100%</w:t>
      </w:r>
      <w:r>
        <w:rPr>
          <w:rFonts w:hint="eastAsia" w:cs="Times New Roman"/>
        </w:rPr>
        <w:t>；</w:t>
      </w:r>
    </w:p>
    <w:p>
      <w:pPr>
        <w:pStyle w:val="2"/>
        <w:ind w:firstLine="560"/>
        <w:rPr>
          <w:rFonts w:cs="Times New Roman"/>
        </w:rPr>
      </w:pPr>
      <w:r>
        <w:rPr>
          <w:rFonts w:hint="eastAsia" w:cs="Times New Roman"/>
        </w:rPr>
        <w:t>⑥工程变更费用资金拨付及时率=57700/57700</w:t>
      </w:r>
      <w:r>
        <w:rPr>
          <w:rFonts w:cs="Times New Roman"/>
        </w:rPr>
        <w:t>×100%</w:t>
      </w:r>
      <w:r>
        <w:rPr>
          <w:rFonts w:hint="eastAsia" w:cs="Times New Roman"/>
        </w:rPr>
        <w:t>=</w:t>
      </w:r>
      <w:r>
        <w:rPr>
          <w:rFonts w:cs="Times New Roman"/>
        </w:rPr>
        <w:t>100%</w:t>
      </w:r>
      <w:r>
        <w:rPr>
          <w:rFonts w:hint="eastAsia" w:cs="Times New Roman"/>
        </w:rPr>
        <w:t>。</w:t>
      </w:r>
    </w:p>
    <w:p>
      <w:pPr>
        <w:pStyle w:val="2"/>
        <w:ind w:firstLine="560"/>
        <w:rPr>
          <w:rFonts w:cs="Times New Roman"/>
        </w:rPr>
      </w:pPr>
      <w:r>
        <w:rPr>
          <w:rFonts w:cs="Times New Roman"/>
        </w:rPr>
        <w:t>实际得分=</w:t>
      </w:r>
      <w:r>
        <w:rPr>
          <w:rFonts w:hint="eastAsia" w:cs="Times New Roman"/>
        </w:rPr>
        <w:t>100%</w:t>
      </w:r>
      <w:r>
        <w:rPr>
          <w:rFonts w:cs="Times New Roman"/>
        </w:rPr>
        <w:t>×2.5</w:t>
      </w:r>
      <w:r>
        <w:rPr>
          <w:rFonts w:hint="eastAsia" w:cs="Times New Roman"/>
        </w:rPr>
        <w:t>=2.5</w:t>
      </w:r>
      <w:r>
        <w:rPr>
          <w:rFonts w:cs="Times New Roman"/>
        </w:rPr>
        <w:t>，得2.5分。</w:t>
      </w:r>
    </w:p>
    <w:p>
      <w:pPr>
        <w:pStyle w:val="2"/>
        <w:ind w:firstLine="560"/>
        <w:rPr>
          <w:rFonts w:eastAsia="楷体_GB2312" w:cs="Times New Roman"/>
        </w:rPr>
      </w:pPr>
      <w:r>
        <w:rPr>
          <w:rFonts w:cs="Times New Roman"/>
        </w:rPr>
        <w:t>（3）预算执行率（权重2.5，得分</w:t>
      </w:r>
      <w:r>
        <w:rPr>
          <w:rFonts w:hint="eastAsia" w:cs="Times New Roman"/>
        </w:rPr>
        <w:t>2.</w:t>
      </w:r>
      <w:r>
        <w:rPr>
          <w:rFonts w:hint="eastAsia" w:cs="Times New Roman"/>
          <w:lang w:val="en-US" w:eastAsia="zh-CN"/>
        </w:rPr>
        <w:t>5</w:t>
      </w:r>
      <w:r>
        <w:rPr>
          <w:rFonts w:cs="Times New Roman"/>
        </w:rPr>
        <w:t>）</w:t>
      </w:r>
    </w:p>
    <w:p>
      <w:pPr>
        <w:pStyle w:val="2"/>
        <w:ind w:firstLine="562"/>
        <w:rPr>
          <w:rFonts w:cs="Times New Roman"/>
          <w:b/>
        </w:rPr>
      </w:pPr>
      <w:r>
        <w:rPr>
          <w:rFonts w:cs="Times New Roman"/>
          <w:b/>
        </w:rPr>
        <w:t>评分标准：</w:t>
      </w:r>
    </w:p>
    <w:p>
      <w:pPr>
        <w:pStyle w:val="2"/>
        <w:ind w:firstLine="560"/>
        <w:rPr>
          <w:rFonts w:cs="Times New Roman"/>
        </w:rPr>
      </w:pPr>
      <w:r>
        <w:rPr>
          <w:rFonts w:hint="eastAsia" w:cs="Times New Roman"/>
        </w:rPr>
        <w:t>①工程费资金拨付资金预算执行率；</w:t>
      </w:r>
    </w:p>
    <w:p>
      <w:pPr>
        <w:pStyle w:val="2"/>
        <w:ind w:firstLine="560"/>
        <w:rPr>
          <w:rFonts w:cs="Times New Roman"/>
        </w:rPr>
      </w:pPr>
      <w:r>
        <w:rPr>
          <w:rFonts w:hint="eastAsia" w:cs="Times New Roman"/>
        </w:rPr>
        <w:t>②设计费用资金预算执行率；</w:t>
      </w:r>
    </w:p>
    <w:p>
      <w:pPr>
        <w:pStyle w:val="2"/>
        <w:ind w:firstLine="560"/>
        <w:rPr>
          <w:rFonts w:cs="Times New Roman"/>
        </w:rPr>
      </w:pPr>
      <w:r>
        <w:rPr>
          <w:rFonts w:hint="eastAsia" w:cs="Times New Roman"/>
        </w:rPr>
        <w:t>③造价费用资金预算执行率；</w:t>
      </w:r>
    </w:p>
    <w:p>
      <w:pPr>
        <w:pStyle w:val="2"/>
        <w:ind w:firstLine="560"/>
        <w:rPr>
          <w:rFonts w:cs="Times New Roman"/>
        </w:rPr>
      </w:pPr>
      <w:r>
        <w:rPr>
          <w:rFonts w:hint="eastAsia" w:cs="Times New Roman"/>
        </w:rPr>
        <w:t>④结算审核费用资金预算执行率；</w:t>
      </w:r>
    </w:p>
    <w:p>
      <w:pPr>
        <w:pStyle w:val="2"/>
        <w:ind w:firstLine="560"/>
        <w:rPr>
          <w:rFonts w:cs="Times New Roman"/>
        </w:rPr>
      </w:pPr>
      <w:r>
        <w:rPr>
          <w:rFonts w:hint="eastAsia" w:cs="Times New Roman"/>
        </w:rPr>
        <w:t>⑤监理费用资金预算执行率；</w:t>
      </w:r>
    </w:p>
    <w:p>
      <w:pPr>
        <w:pStyle w:val="2"/>
        <w:ind w:firstLine="560"/>
        <w:rPr>
          <w:rFonts w:cs="Times New Roman"/>
        </w:rPr>
      </w:pPr>
      <w:r>
        <w:rPr>
          <w:rFonts w:hint="eastAsia" w:cs="Times New Roman"/>
        </w:rPr>
        <w:t>⑥工程变更费用资金预算执行率。</w:t>
      </w:r>
    </w:p>
    <w:p>
      <w:pPr>
        <w:pStyle w:val="2"/>
        <w:ind w:firstLine="560"/>
        <w:rPr>
          <w:rFonts w:cs="Times New Roman"/>
        </w:rPr>
      </w:pPr>
      <w:r>
        <w:rPr>
          <w:rFonts w:cs="Times New Roman"/>
        </w:rPr>
        <w:t>预算执行率=（实际支出资金/实际到位资金）×100%。</w:t>
      </w:r>
    </w:p>
    <w:p>
      <w:pPr>
        <w:pStyle w:val="2"/>
        <w:ind w:firstLine="560"/>
        <w:rPr>
          <w:rFonts w:cs="Times New Roman"/>
        </w:rPr>
      </w:pPr>
      <w:r>
        <w:rPr>
          <w:rFonts w:cs="Times New Roman"/>
        </w:rPr>
        <w:t>实际支出资金：一定时期（本年度或项目期）内项目实际拨付的资金；</w:t>
      </w:r>
    </w:p>
    <w:p>
      <w:pPr>
        <w:pStyle w:val="2"/>
        <w:ind w:firstLine="560"/>
        <w:rPr>
          <w:rFonts w:cs="Times New Roman"/>
        </w:rPr>
      </w:pPr>
      <w:r>
        <w:rPr>
          <w:rFonts w:cs="Times New Roman"/>
        </w:rPr>
        <w:t>实际到位资金：一定时期（本年度或项目期）内实际落实到具体项目的资金。</w:t>
      </w:r>
    </w:p>
    <w:p>
      <w:pPr>
        <w:pStyle w:val="2"/>
        <w:ind w:firstLine="560"/>
        <w:rPr>
          <w:rFonts w:cs="Times New Roman"/>
        </w:rPr>
      </w:pPr>
      <w:r>
        <w:rPr>
          <w:rFonts w:cs="Times New Roman"/>
        </w:rPr>
        <w:t>实际得分</w:t>
      </w:r>
      <w:r>
        <w:rPr>
          <w:rFonts w:hint="eastAsia" w:cs="Times New Roman"/>
        </w:rPr>
        <w:t>=</w:t>
      </w:r>
      <w:r>
        <w:rPr>
          <w:rFonts w:cs="Times New Roman"/>
        </w:rPr>
        <w:t>预算执行率</w:t>
      </w:r>
      <w:r>
        <w:rPr>
          <w:rFonts w:hint="eastAsia" w:cs="Times New Roman"/>
        </w:rPr>
        <w:t>（最低）</w:t>
      </w:r>
      <w:r>
        <w:rPr>
          <w:rFonts w:cs="Times New Roman"/>
        </w:rPr>
        <w:t>×</w:t>
      </w:r>
      <w:r>
        <w:rPr>
          <w:rFonts w:hint="eastAsia" w:cs="Times New Roman"/>
        </w:rPr>
        <w:t>2.5</w:t>
      </w:r>
    </w:p>
    <w:p>
      <w:pPr>
        <w:pStyle w:val="2"/>
        <w:ind w:firstLine="562"/>
        <w:rPr>
          <w:rFonts w:cs="Times New Roman"/>
          <w:b/>
        </w:rPr>
      </w:pPr>
      <w:r>
        <w:rPr>
          <w:rFonts w:cs="Times New Roman"/>
          <w:b/>
        </w:rPr>
        <w:t>得分：</w:t>
      </w:r>
    </w:p>
    <w:p>
      <w:pPr>
        <w:pStyle w:val="2"/>
        <w:ind w:firstLine="560"/>
        <w:rPr>
          <w:rFonts w:cs="Times New Roman"/>
        </w:rPr>
      </w:pPr>
      <w:r>
        <w:rPr>
          <w:rFonts w:hint="eastAsia" w:cs="Times New Roman"/>
        </w:rPr>
        <w:t>由“一、（一）</w:t>
      </w:r>
      <w:r>
        <w:rPr>
          <w:rFonts w:cs="Times New Roman"/>
        </w:rPr>
        <w:t>5.</w:t>
      </w:r>
      <w:r>
        <w:rPr>
          <w:rFonts w:hint="eastAsia" w:cs="Times New Roman"/>
        </w:rPr>
        <w:t>资金投入及使用情况”得知，实际得分</w:t>
      </w:r>
      <w:r>
        <w:rPr>
          <w:rFonts w:cs="Times New Roman"/>
        </w:rPr>
        <w:t>=99.99%×2.5=2.5</w:t>
      </w:r>
      <w:r>
        <w:rPr>
          <w:rFonts w:hint="eastAsia" w:cs="Times New Roman"/>
        </w:rPr>
        <w:t>，得2.5分。</w:t>
      </w:r>
    </w:p>
    <w:p>
      <w:pPr>
        <w:pStyle w:val="2"/>
        <w:ind w:firstLine="560"/>
        <w:rPr>
          <w:rFonts w:eastAsia="楷体_GB2312" w:cs="Times New Roman"/>
        </w:rPr>
      </w:pPr>
      <w:r>
        <w:rPr>
          <w:rFonts w:cs="Times New Roman"/>
        </w:rPr>
        <w:t>（4）管理制度健全性（权重2.5，得分0）</w:t>
      </w:r>
      <w:r>
        <w:rPr>
          <w:rFonts w:cs="Times New Roman"/>
        </w:rPr>
        <w:tab/>
      </w:r>
    </w:p>
    <w:p>
      <w:pPr>
        <w:pStyle w:val="2"/>
        <w:ind w:firstLine="562"/>
        <w:rPr>
          <w:rFonts w:cs="Times New Roman"/>
          <w:b/>
        </w:rPr>
      </w:pPr>
      <w:r>
        <w:rPr>
          <w:rFonts w:cs="Times New Roman"/>
          <w:b/>
        </w:rPr>
        <w:t>评分标准：</w:t>
      </w:r>
    </w:p>
    <w:p>
      <w:pPr>
        <w:pStyle w:val="2"/>
        <w:ind w:firstLine="560"/>
        <w:rPr>
          <w:rFonts w:cs="Times New Roman"/>
        </w:rPr>
      </w:pPr>
      <w:r>
        <w:rPr>
          <w:rFonts w:hint="eastAsia" w:ascii="宋体" w:hAnsi="宋体" w:eastAsia="宋体" w:cs="宋体"/>
        </w:rPr>
        <w:t>①</w:t>
      </w:r>
      <w:r>
        <w:rPr>
          <w:rFonts w:cs="Times New Roman"/>
        </w:rPr>
        <w:t>是否已制定或具有相应项目资金管理办法，1分；</w:t>
      </w:r>
    </w:p>
    <w:p>
      <w:pPr>
        <w:pStyle w:val="2"/>
        <w:ind w:firstLine="560"/>
        <w:rPr>
          <w:rFonts w:cs="Times New Roman"/>
        </w:rPr>
      </w:pPr>
      <w:r>
        <w:rPr>
          <w:rFonts w:hint="eastAsia" w:ascii="宋体" w:hAnsi="宋体" w:eastAsia="宋体" w:cs="宋体"/>
        </w:rPr>
        <w:t>②</w:t>
      </w:r>
      <w:r>
        <w:rPr>
          <w:rFonts w:cs="Times New Roman"/>
        </w:rPr>
        <w:t>项目资金管理办法是否符合相关财务会计制度的规定，1分；</w:t>
      </w:r>
    </w:p>
    <w:p>
      <w:pPr>
        <w:pStyle w:val="2"/>
        <w:ind w:firstLine="560"/>
        <w:rPr>
          <w:rFonts w:cs="Times New Roman"/>
        </w:rPr>
      </w:pPr>
      <w:r>
        <w:rPr>
          <w:rFonts w:hint="eastAsia" w:ascii="宋体" w:hAnsi="宋体" w:eastAsia="宋体" w:cs="宋体"/>
        </w:rPr>
        <w:t>③</w:t>
      </w:r>
      <w:r>
        <w:rPr>
          <w:rFonts w:cs="Times New Roman"/>
        </w:rPr>
        <w:t>管理制度是否健全、完整，0.5分。</w:t>
      </w:r>
    </w:p>
    <w:p>
      <w:pPr>
        <w:pStyle w:val="2"/>
        <w:ind w:firstLine="562"/>
        <w:rPr>
          <w:rFonts w:cs="Times New Roman"/>
          <w:b/>
        </w:rPr>
      </w:pPr>
      <w:r>
        <w:rPr>
          <w:rFonts w:cs="Times New Roman"/>
          <w:b/>
        </w:rPr>
        <w:t>得分：</w:t>
      </w:r>
    </w:p>
    <w:p>
      <w:pPr>
        <w:pStyle w:val="2"/>
        <w:ind w:firstLine="560"/>
        <w:rPr>
          <w:rFonts w:cs="Times New Roman"/>
        </w:rPr>
      </w:pPr>
      <w:r>
        <w:rPr>
          <w:rFonts w:hint="eastAsia" w:ascii="宋体" w:hAnsi="宋体" w:eastAsia="宋体" w:cs="宋体"/>
        </w:rPr>
        <w:t>①</w:t>
      </w:r>
      <w:r>
        <w:rPr>
          <w:rFonts w:hint="eastAsia" w:ascii="仿宋" w:hAnsi="仿宋" w:cs="仿宋"/>
        </w:rPr>
        <w:t>漯河经济技术开发区城市管理执法大队</w:t>
      </w:r>
      <w:r>
        <w:rPr>
          <w:rFonts w:cs="Times New Roman"/>
        </w:rPr>
        <w:t>未</w:t>
      </w:r>
      <w:r>
        <w:rPr>
          <w:rFonts w:hint="eastAsia" w:cs="Times New Roman"/>
        </w:rPr>
        <w:t>提供</w:t>
      </w:r>
      <w:r>
        <w:rPr>
          <w:rFonts w:cs="Times New Roman"/>
        </w:rPr>
        <w:t>项目资金管理相关制度或办法，得0分；</w:t>
      </w:r>
    </w:p>
    <w:p>
      <w:pPr>
        <w:pStyle w:val="2"/>
        <w:ind w:firstLine="560"/>
        <w:rPr>
          <w:rFonts w:eastAsia="楷体_GB2312" w:cs="Times New Roman"/>
        </w:rPr>
      </w:pPr>
      <w:r>
        <w:rPr>
          <w:rFonts w:hint="eastAsia" w:ascii="宋体" w:hAnsi="宋体" w:eastAsia="宋体" w:cs="宋体"/>
        </w:rPr>
        <w:t>②</w:t>
      </w:r>
      <w:r>
        <w:rPr>
          <w:rFonts w:cs="Times New Roman"/>
        </w:rPr>
        <w:t>未提供项目资金管理办法，得0分；</w:t>
      </w:r>
    </w:p>
    <w:p>
      <w:pPr>
        <w:pStyle w:val="2"/>
        <w:ind w:firstLine="560"/>
        <w:rPr>
          <w:rFonts w:eastAsia="楷体_GB2312" w:cs="Times New Roman"/>
        </w:rPr>
      </w:pPr>
      <w:r>
        <w:rPr>
          <w:rFonts w:hint="eastAsia" w:ascii="宋体" w:hAnsi="宋体" w:eastAsia="宋体" w:cs="宋体"/>
        </w:rPr>
        <w:t>③</w:t>
      </w:r>
      <w:r>
        <w:rPr>
          <w:rFonts w:cs="Times New Roman"/>
        </w:rPr>
        <w:t>未提供</w:t>
      </w:r>
      <w:r>
        <w:rPr>
          <w:rFonts w:hint="eastAsia" w:cs="Times New Roman"/>
        </w:rPr>
        <w:t>项目</w:t>
      </w:r>
      <w:r>
        <w:rPr>
          <w:rFonts w:cs="Times New Roman"/>
        </w:rPr>
        <w:t>资金管理办法，0分。</w:t>
      </w:r>
    </w:p>
    <w:p>
      <w:pPr>
        <w:pStyle w:val="2"/>
        <w:ind w:firstLine="560"/>
        <w:rPr>
          <w:rFonts w:eastAsia="楷体_GB2312" w:cs="Times New Roman"/>
        </w:rPr>
      </w:pPr>
      <w:r>
        <w:rPr>
          <w:rFonts w:cs="Times New Roman"/>
        </w:rPr>
        <w:t>（5）资金使用合规性（权重2.5，得分</w:t>
      </w:r>
      <w:r>
        <w:rPr>
          <w:rFonts w:hint="eastAsia" w:cs="Times New Roman"/>
          <w:lang w:val="en-US" w:eastAsia="zh-CN"/>
        </w:rPr>
        <w:t>2.25</w:t>
      </w:r>
      <w:r>
        <w:rPr>
          <w:rFonts w:cs="Times New Roman"/>
        </w:rPr>
        <w:t>）</w:t>
      </w:r>
    </w:p>
    <w:p>
      <w:pPr>
        <w:pStyle w:val="2"/>
        <w:ind w:firstLine="562"/>
        <w:rPr>
          <w:rFonts w:cs="Times New Roman"/>
          <w:b/>
        </w:rPr>
      </w:pPr>
      <w:r>
        <w:rPr>
          <w:rFonts w:cs="Times New Roman"/>
          <w:b/>
        </w:rPr>
        <w:t>评分标准：</w:t>
      </w:r>
    </w:p>
    <w:p>
      <w:pPr>
        <w:pStyle w:val="2"/>
        <w:ind w:firstLine="560"/>
        <w:rPr>
          <w:rFonts w:cs="Times New Roman"/>
        </w:rPr>
      </w:pPr>
      <w:r>
        <w:rPr>
          <w:rFonts w:hint="eastAsia" w:ascii="宋体" w:hAnsi="宋体" w:eastAsia="宋体" w:cs="宋体"/>
        </w:rPr>
        <w:t>①</w:t>
      </w:r>
      <w:r>
        <w:rPr>
          <w:rFonts w:cs="Times New Roman"/>
        </w:rPr>
        <w:t>资金使用是否符合国家财经法规和财务管理制度以及有关专项资金管理办法的规定,0.5分；</w:t>
      </w:r>
    </w:p>
    <w:p>
      <w:pPr>
        <w:pStyle w:val="2"/>
        <w:ind w:firstLine="560"/>
        <w:rPr>
          <w:rFonts w:cs="Times New Roman"/>
        </w:rPr>
      </w:pPr>
      <w:r>
        <w:rPr>
          <w:rFonts w:hint="eastAsia" w:ascii="宋体" w:hAnsi="宋体" w:eastAsia="宋体" w:cs="宋体"/>
        </w:rPr>
        <w:t>②</w:t>
      </w:r>
      <w:r>
        <w:rPr>
          <w:rFonts w:cs="Times New Roman"/>
        </w:rPr>
        <w:t>资金的拨付是否有完整的审批程序和手续,0.5分；</w:t>
      </w:r>
    </w:p>
    <w:p>
      <w:pPr>
        <w:pStyle w:val="2"/>
        <w:ind w:firstLine="560"/>
        <w:rPr>
          <w:rFonts w:cs="Times New Roman"/>
        </w:rPr>
      </w:pPr>
      <w:r>
        <w:rPr>
          <w:rFonts w:hint="eastAsia" w:ascii="宋体" w:hAnsi="宋体" w:eastAsia="宋体" w:cs="宋体"/>
        </w:rPr>
        <w:t>③</w:t>
      </w:r>
      <w:r>
        <w:rPr>
          <w:rFonts w:cs="Times New Roman"/>
        </w:rPr>
        <w:t>项目的重大开支是否经过集体研究,0.5分；</w:t>
      </w:r>
    </w:p>
    <w:p>
      <w:pPr>
        <w:pStyle w:val="2"/>
        <w:ind w:firstLine="560"/>
        <w:rPr>
          <w:rFonts w:cs="Times New Roman"/>
        </w:rPr>
      </w:pPr>
      <w:r>
        <w:rPr>
          <w:rFonts w:hint="eastAsia" w:ascii="宋体" w:hAnsi="宋体" w:eastAsia="宋体" w:cs="宋体"/>
        </w:rPr>
        <w:t>④</w:t>
      </w:r>
      <w:r>
        <w:rPr>
          <w:rFonts w:cs="Times New Roman"/>
        </w:rPr>
        <w:t>资金使用是否符合项目预算批复或合同规定的用途,0.5分。</w:t>
      </w:r>
    </w:p>
    <w:p>
      <w:pPr>
        <w:pStyle w:val="2"/>
        <w:ind w:firstLine="560"/>
        <w:rPr>
          <w:rFonts w:cs="Times New Roman"/>
        </w:rPr>
      </w:pPr>
      <w:r>
        <w:rPr>
          <w:rFonts w:hint="eastAsia" w:ascii="宋体" w:hAnsi="宋体" w:eastAsia="宋体" w:cs="宋体"/>
        </w:rPr>
        <w:t>⑤</w:t>
      </w:r>
      <w:r>
        <w:rPr>
          <w:rFonts w:cs="Times New Roman"/>
        </w:rPr>
        <w:t>资金使用是否出现截留、挤占、挪用、虚列支出任何一种情况,0.5分。</w:t>
      </w:r>
    </w:p>
    <w:p>
      <w:pPr>
        <w:pStyle w:val="2"/>
        <w:ind w:firstLine="560"/>
        <w:rPr>
          <w:rFonts w:cs="Times New Roman"/>
        </w:rPr>
      </w:pPr>
      <w:r>
        <w:rPr>
          <w:rFonts w:ascii="Segoe UI Symbol" w:hAnsi="Segoe UI Symbol" w:cs="Segoe UI Symbol"/>
        </w:rPr>
        <w:t>★</w:t>
      </w:r>
      <w:r>
        <w:rPr>
          <w:rFonts w:cs="Times New Roman"/>
        </w:rPr>
        <w:t>出现</w:t>
      </w:r>
      <w:r>
        <w:rPr>
          <w:rFonts w:hint="eastAsia" w:ascii="宋体" w:hAnsi="宋体" w:eastAsia="宋体" w:cs="宋体"/>
        </w:rPr>
        <w:t>④</w:t>
      </w:r>
      <w:r>
        <w:rPr>
          <w:rFonts w:cs="Times New Roman"/>
        </w:rPr>
        <w:t>或</w:t>
      </w:r>
      <w:r>
        <w:rPr>
          <w:rFonts w:hint="eastAsia" w:ascii="宋体" w:hAnsi="宋体" w:eastAsia="宋体" w:cs="宋体"/>
        </w:rPr>
        <w:t>⑤</w:t>
      </w:r>
      <w:r>
        <w:rPr>
          <w:rFonts w:cs="Times New Roman"/>
        </w:rPr>
        <w:t>情况，本指标得分为0。</w:t>
      </w:r>
    </w:p>
    <w:p>
      <w:pPr>
        <w:pStyle w:val="2"/>
        <w:ind w:firstLine="562"/>
        <w:rPr>
          <w:rFonts w:cs="Times New Roman"/>
          <w:b/>
        </w:rPr>
      </w:pPr>
      <w:r>
        <w:rPr>
          <w:rFonts w:cs="Times New Roman"/>
          <w:b/>
        </w:rPr>
        <w:t>得分：</w:t>
      </w:r>
    </w:p>
    <w:p>
      <w:pPr>
        <w:pStyle w:val="2"/>
        <w:ind w:firstLine="560"/>
        <w:rPr>
          <w:rFonts w:cs="Times New Roman"/>
        </w:rPr>
      </w:pPr>
      <w:r>
        <w:rPr>
          <w:rFonts w:cs="Times New Roman"/>
        </w:rPr>
        <w:t>本部分主要从</w:t>
      </w:r>
      <w:r>
        <w:rPr>
          <w:rFonts w:hint="eastAsia" w:cs="Times New Roman"/>
        </w:rPr>
        <w:t>门头改造工程资金合规性、设计费用合规性、造价费合规性、结算审核费用合规性、监理费用合规性</w:t>
      </w:r>
      <w:r>
        <w:rPr>
          <w:rFonts w:cs="Times New Roman"/>
        </w:rPr>
        <w:t>等</w:t>
      </w:r>
      <w:r>
        <w:rPr>
          <w:rFonts w:hint="eastAsia" w:cs="Times New Roman"/>
        </w:rPr>
        <w:t>五</w:t>
      </w:r>
      <w:r>
        <w:rPr>
          <w:rFonts w:cs="Times New Roman"/>
        </w:rPr>
        <w:t>个方面进行分析。</w:t>
      </w:r>
    </w:p>
    <w:p>
      <w:pPr>
        <w:pStyle w:val="2"/>
        <w:ind w:firstLine="560"/>
        <w:rPr>
          <w:rFonts w:cs="Times New Roman"/>
        </w:rPr>
      </w:pPr>
      <w:r>
        <w:rPr>
          <w:rFonts w:hint="eastAsia" w:ascii="宋体" w:hAnsi="宋体" w:eastAsia="宋体" w:cs="宋体"/>
        </w:rPr>
        <w:t>①</w:t>
      </w:r>
      <w:r>
        <w:rPr>
          <w:rFonts w:cs="Times New Roman"/>
        </w:rPr>
        <w:t>项目资金使用符合国家财经法规和财务管理制度以及有关专项资金管理办法的规定，得0.5分；</w:t>
      </w:r>
    </w:p>
    <w:p>
      <w:pPr>
        <w:pStyle w:val="2"/>
        <w:ind w:firstLine="560"/>
        <w:rPr>
          <w:rFonts w:cs="Times New Roman"/>
        </w:rPr>
      </w:pPr>
      <w:r>
        <w:rPr>
          <w:rFonts w:hint="eastAsia" w:ascii="宋体" w:hAnsi="宋体" w:eastAsia="宋体" w:cs="宋体"/>
        </w:rPr>
        <w:t>②</w:t>
      </w:r>
      <w:r>
        <w:rPr>
          <w:rFonts w:cs="Times New Roman"/>
        </w:rPr>
        <w:t>经现场查验，该笔资金</w:t>
      </w:r>
      <w:r>
        <w:rPr>
          <w:rFonts w:hint="eastAsia" w:cs="Times New Roman"/>
        </w:rPr>
        <w:t>拨付</w:t>
      </w:r>
      <w:r>
        <w:rPr>
          <w:rFonts w:cs="Times New Roman"/>
        </w:rPr>
        <w:t>记账凭证完善，相关</w:t>
      </w:r>
      <w:r>
        <w:rPr>
          <w:rFonts w:hint="eastAsia" w:cs="Times New Roman"/>
        </w:rPr>
        <w:t>单据</w:t>
      </w:r>
      <w:r>
        <w:rPr>
          <w:rFonts w:cs="Times New Roman"/>
        </w:rPr>
        <w:t>、合同、发票、会计凭证等均妥善保管</w:t>
      </w:r>
      <w:r>
        <w:rPr>
          <w:rFonts w:hint="eastAsia" w:cs="Times New Roman"/>
        </w:rPr>
        <w:t>；但该单位未提供财务管理和资金使用管理等制度，无法评判</w:t>
      </w:r>
      <w:r>
        <w:rPr>
          <w:rFonts w:cs="Times New Roman"/>
        </w:rPr>
        <w:t>项目资金</w:t>
      </w:r>
      <w:r>
        <w:rPr>
          <w:rFonts w:hint="eastAsia" w:cs="Times New Roman"/>
        </w:rPr>
        <w:t>是否</w:t>
      </w:r>
      <w:r>
        <w:rPr>
          <w:rFonts w:cs="Times New Roman"/>
        </w:rPr>
        <w:t>按照</w:t>
      </w:r>
      <w:r>
        <w:rPr>
          <w:rFonts w:hint="eastAsia" w:cs="Times New Roman"/>
        </w:rPr>
        <w:t>内部</w:t>
      </w:r>
      <w:r>
        <w:rPr>
          <w:rFonts w:cs="Times New Roman"/>
        </w:rPr>
        <w:t>相关拨付流程进行审批，资金拨付的审批程序和手续</w:t>
      </w:r>
      <w:r>
        <w:rPr>
          <w:rFonts w:hint="eastAsia" w:cs="Times New Roman"/>
        </w:rPr>
        <w:t>是否</w:t>
      </w:r>
      <w:r>
        <w:rPr>
          <w:rFonts w:cs="Times New Roman"/>
        </w:rPr>
        <w:t>完整，</w:t>
      </w:r>
      <w:r>
        <w:rPr>
          <w:rFonts w:cs="Times New Roman"/>
          <w:color w:val="000000" w:themeColor="text1"/>
        </w:rPr>
        <w:t>得</w:t>
      </w:r>
      <w:r>
        <w:rPr>
          <w:rFonts w:cs="Times New Roman"/>
        </w:rPr>
        <w:t>0.</w:t>
      </w:r>
      <w:r>
        <w:rPr>
          <w:rFonts w:hint="eastAsia" w:cs="Times New Roman"/>
        </w:rPr>
        <w:t>2</w:t>
      </w:r>
      <w:r>
        <w:rPr>
          <w:rFonts w:cs="Times New Roman"/>
        </w:rPr>
        <w:t>5分；</w:t>
      </w:r>
    </w:p>
    <w:p>
      <w:pPr>
        <w:pStyle w:val="2"/>
        <w:ind w:firstLine="560"/>
        <w:rPr>
          <w:rFonts w:eastAsia="宋体" w:cs="Times New Roman"/>
          <w:color w:val="FF0000"/>
        </w:rPr>
      </w:pPr>
      <w:r>
        <w:rPr>
          <w:rFonts w:hint="eastAsia" w:ascii="宋体" w:hAnsi="宋体" w:eastAsia="宋体" w:cs="宋体"/>
        </w:rPr>
        <w:t>③</w:t>
      </w:r>
      <w:r>
        <w:rPr>
          <w:rFonts w:hint="eastAsia" w:cs="Times New Roman"/>
        </w:rPr>
        <w:t>漯河经济技术开发区城市管理执法大队</w:t>
      </w:r>
      <w:r>
        <w:rPr>
          <w:rFonts w:cs="Times New Roman"/>
        </w:rPr>
        <w:t>的</w:t>
      </w:r>
      <w:r>
        <w:rPr>
          <w:rFonts w:hint="eastAsia" w:cs="Times New Roman"/>
        </w:rPr>
        <w:t>重大</w:t>
      </w:r>
      <w:r>
        <w:rPr>
          <w:rFonts w:cs="Times New Roman"/>
        </w:rPr>
        <w:t>项目履行内部讨论</w:t>
      </w:r>
      <w:r>
        <w:rPr>
          <w:rFonts w:hint="eastAsia" w:cs="Times New Roman"/>
        </w:rPr>
        <w:t>、集体研究后进行</w:t>
      </w:r>
      <w:r>
        <w:rPr>
          <w:rFonts w:cs="Times New Roman"/>
        </w:rPr>
        <w:t>申请</w:t>
      </w:r>
      <w:r>
        <w:rPr>
          <w:rFonts w:hint="eastAsia" w:cs="Times New Roman"/>
          <w:color w:val="000000" w:themeColor="text1"/>
        </w:rPr>
        <w:t>，</w:t>
      </w:r>
      <w:r>
        <w:rPr>
          <w:rFonts w:cs="Times New Roman"/>
          <w:color w:val="000000" w:themeColor="text1"/>
        </w:rPr>
        <w:t>得</w:t>
      </w:r>
      <w:r>
        <w:rPr>
          <w:rFonts w:hint="eastAsia" w:cs="Times New Roman"/>
          <w:color w:val="000000" w:themeColor="text1"/>
          <w:lang w:val="en-US" w:eastAsia="zh-CN"/>
        </w:rPr>
        <w:t>0.5</w:t>
      </w:r>
      <w:r>
        <w:rPr>
          <w:rFonts w:cs="Times New Roman"/>
          <w:color w:val="000000" w:themeColor="text1"/>
        </w:rPr>
        <w:t>分；</w:t>
      </w:r>
    </w:p>
    <w:p>
      <w:pPr>
        <w:pStyle w:val="2"/>
        <w:ind w:firstLine="560"/>
        <w:rPr>
          <w:rFonts w:cs="Times New Roman"/>
        </w:rPr>
      </w:pPr>
      <w:r>
        <w:rPr>
          <w:rFonts w:hint="eastAsia" w:ascii="宋体" w:hAnsi="宋体" w:eastAsia="宋体" w:cs="宋体"/>
        </w:rPr>
        <w:t>④</w:t>
      </w:r>
      <w:r>
        <w:rPr>
          <w:rFonts w:cs="Times New Roman"/>
        </w:rPr>
        <w:t>资金使用均按照批复内容及招标文件内容</w:t>
      </w:r>
      <w:r>
        <w:rPr>
          <w:rFonts w:hint="eastAsia" w:cs="Times New Roman"/>
        </w:rPr>
        <w:t>，</w:t>
      </w:r>
      <w:r>
        <w:rPr>
          <w:rFonts w:cs="Times New Roman"/>
        </w:rPr>
        <w:t>符合项目预算批复和合同规定的用途，得0.5分。</w:t>
      </w:r>
    </w:p>
    <w:p>
      <w:pPr>
        <w:pStyle w:val="2"/>
        <w:ind w:firstLine="560"/>
        <w:rPr>
          <w:rFonts w:cs="Times New Roman"/>
        </w:rPr>
      </w:pPr>
      <w:r>
        <w:rPr>
          <w:rFonts w:hint="eastAsia" w:ascii="宋体" w:hAnsi="宋体" w:eastAsia="宋体" w:cs="宋体"/>
        </w:rPr>
        <w:t>⑤</w:t>
      </w:r>
      <w:r>
        <w:rPr>
          <w:rFonts w:cs="Times New Roman"/>
        </w:rPr>
        <w:t>未出现截留、挤占、挪用、虚列支出的情况,得0.5分。</w:t>
      </w:r>
    </w:p>
    <w:p>
      <w:pPr>
        <w:pStyle w:val="2"/>
        <w:ind w:firstLine="560"/>
        <w:rPr>
          <w:rFonts w:eastAsia="楷体_GB2312" w:cs="Times New Roman"/>
        </w:rPr>
      </w:pPr>
      <w:r>
        <w:rPr>
          <w:rFonts w:cs="Times New Roman"/>
        </w:rPr>
        <w:t>（6）财务监控有效性（权重2.5，得分</w:t>
      </w:r>
      <w:r>
        <w:rPr>
          <w:rFonts w:hint="eastAsia" w:cs="Times New Roman"/>
        </w:rPr>
        <w:t>1.5</w:t>
      </w:r>
      <w:r>
        <w:rPr>
          <w:rFonts w:cs="Times New Roman"/>
        </w:rPr>
        <w:t>）</w:t>
      </w:r>
    </w:p>
    <w:p>
      <w:pPr>
        <w:pStyle w:val="2"/>
        <w:ind w:firstLine="562"/>
        <w:rPr>
          <w:rFonts w:cs="Times New Roman"/>
          <w:b/>
        </w:rPr>
      </w:pPr>
      <w:r>
        <w:rPr>
          <w:rFonts w:cs="Times New Roman"/>
          <w:b/>
        </w:rPr>
        <w:t>评分标准：</w:t>
      </w:r>
    </w:p>
    <w:p>
      <w:pPr>
        <w:pStyle w:val="2"/>
        <w:ind w:firstLine="560"/>
        <w:rPr>
          <w:rFonts w:cs="Times New Roman"/>
        </w:rPr>
      </w:pPr>
      <w:r>
        <w:rPr>
          <w:rFonts w:hint="eastAsia" w:ascii="宋体" w:hAnsi="宋体" w:eastAsia="宋体" w:cs="宋体"/>
        </w:rPr>
        <w:t>①</w:t>
      </w:r>
      <w:r>
        <w:rPr>
          <w:rFonts w:cs="Times New Roman"/>
        </w:rPr>
        <w:t>是否形成监督、检查、复核的监控机制，1分；</w:t>
      </w:r>
    </w:p>
    <w:p>
      <w:pPr>
        <w:pStyle w:val="2"/>
        <w:ind w:firstLine="560"/>
        <w:rPr>
          <w:rFonts w:cs="Times New Roman"/>
        </w:rPr>
      </w:pPr>
      <w:r>
        <w:rPr>
          <w:rFonts w:hint="eastAsia" w:ascii="宋体" w:hAnsi="宋体" w:eastAsia="宋体" w:cs="宋体"/>
        </w:rPr>
        <w:t>②</w:t>
      </w:r>
      <w:r>
        <w:rPr>
          <w:rFonts w:cs="Times New Roman"/>
        </w:rPr>
        <w:t>是否采取了相应的财务检查等必要的监控措施或手段，1分；</w:t>
      </w:r>
    </w:p>
    <w:p>
      <w:pPr>
        <w:pStyle w:val="2"/>
        <w:ind w:firstLine="560"/>
        <w:rPr>
          <w:rFonts w:cs="Times New Roman"/>
        </w:rPr>
      </w:pPr>
      <w:r>
        <w:rPr>
          <w:rFonts w:hint="eastAsia" w:ascii="宋体" w:hAnsi="宋体" w:eastAsia="宋体" w:cs="宋体"/>
        </w:rPr>
        <w:t>③</w:t>
      </w:r>
      <w:r>
        <w:rPr>
          <w:rFonts w:cs="Times New Roman"/>
        </w:rPr>
        <w:t>不相容职责是否分离，0.5分。</w:t>
      </w:r>
    </w:p>
    <w:p>
      <w:pPr>
        <w:pStyle w:val="2"/>
        <w:ind w:firstLine="562"/>
        <w:rPr>
          <w:rFonts w:cs="Times New Roman"/>
          <w:b/>
        </w:rPr>
      </w:pPr>
      <w:r>
        <w:rPr>
          <w:rFonts w:cs="Times New Roman"/>
          <w:b/>
        </w:rPr>
        <w:t>得分：</w:t>
      </w:r>
    </w:p>
    <w:p>
      <w:pPr>
        <w:pStyle w:val="2"/>
        <w:ind w:firstLine="560"/>
        <w:rPr>
          <w:rFonts w:cs="Times New Roman"/>
        </w:rPr>
      </w:pPr>
      <w:r>
        <w:rPr>
          <w:rFonts w:hint="eastAsia" w:ascii="宋体" w:hAnsi="宋体" w:eastAsia="宋体" w:cs="宋体"/>
        </w:rPr>
        <w:t>①</w:t>
      </w:r>
      <w:r>
        <w:rPr>
          <w:rFonts w:hint="eastAsia" w:ascii="仿宋" w:hAnsi="仿宋" w:cs="仿宋"/>
        </w:rPr>
        <w:t>漯河经济技术开发区城市管理执法大队</w:t>
      </w:r>
      <w:r>
        <w:rPr>
          <w:rFonts w:cs="Times New Roman"/>
        </w:rPr>
        <w:t>按照《会计基础工作规范》，但未提供根据工作实际制定详细的专项管理制度，需进一步完善全面</w:t>
      </w:r>
      <w:r>
        <w:rPr>
          <w:rFonts w:hint="eastAsia" w:cs="Times New Roman"/>
        </w:rPr>
        <w:t>、</w:t>
      </w:r>
      <w:r>
        <w:rPr>
          <w:rFonts w:cs="Times New Roman"/>
        </w:rPr>
        <w:t>完善且有针对性的监督、检查、复核的监控机制，</w:t>
      </w:r>
      <w:r>
        <w:rPr>
          <w:rFonts w:hint="eastAsia" w:cs="Times New Roman"/>
        </w:rPr>
        <w:t>0.5</w:t>
      </w:r>
      <w:r>
        <w:rPr>
          <w:rFonts w:cs="Times New Roman"/>
        </w:rPr>
        <w:t>分；</w:t>
      </w:r>
    </w:p>
    <w:p>
      <w:pPr>
        <w:pStyle w:val="2"/>
        <w:ind w:firstLine="560"/>
        <w:rPr>
          <w:rFonts w:cs="Times New Roman"/>
        </w:rPr>
      </w:pPr>
      <w:r>
        <w:rPr>
          <w:rFonts w:hint="eastAsia" w:ascii="宋体" w:hAnsi="宋体" w:eastAsia="宋体" w:cs="宋体"/>
        </w:rPr>
        <w:t>②</w:t>
      </w:r>
      <w:r>
        <w:rPr>
          <w:rFonts w:cs="Times New Roman"/>
        </w:rPr>
        <w:t>经过现场调研和专人访谈，经办人员均按照相关流程进行费用支出申请，费用支出单据完备、详尽，领导在审批时详细查看附件资料</w:t>
      </w:r>
      <w:r>
        <w:rPr>
          <w:rFonts w:hint="eastAsia" w:cs="Times New Roman"/>
        </w:rPr>
        <w:t>；</w:t>
      </w:r>
      <w:r>
        <w:rPr>
          <w:rFonts w:cs="Times New Roman"/>
        </w:rPr>
        <w:t>但该大队未提供专项管理制度</w:t>
      </w:r>
      <w:r>
        <w:rPr>
          <w:rFonts w:hint="eastAsia" w:cs="Times New Roman"/>
        </w:rPr>
        <w:t>，</w:t>
      </w:r>
      <w:r>
        <w:rPr>
          <w:rFonts w:cs="Times New Roman"/>
        </w:rPr>
        <w:t>无法</w:t>
      </w:r>
      <w:r>
        <w:rPr>
          <w:rFonts w:hint="eastAsia" w:cs="Times New Roman"/>
        </w:rPr>
        <w:t>确认</w:t>
      </w:r>
      <w:r>
        <w:rPr>
          <w:rFonts w:cs="Times New Roman"/>
        </w:rPr>
        <w:t>该支付流程是否严格按照相关审批流程规范使用资金，得0.5分；</w:t>
      </w:r>
    </w:p>
    <w:p>
      <w:pPr>
        <w:pStyle w:val="2"/>
        <w:ind w:firstLine="560"/>
        <w:rPr>
          <w:rFonts w:eastAsia="楷体_GB2312" w:cs="Times New Roman"/>
        </w:rPr>
      </w:pPr>
      <w:r>
        <w:rPr>
          <w:rFonts w:hint="eastAsia" w:ascii="宋体" w:hAnsi="宋体" w:eastAsia="宋体" w:cs="宋体"/>
        </w:rPr>
        <w:t>③</w:t>
      </w:r>
      <w:r>
        <w:rPr>
          <w:rFonts w:cs="Times New Roman"/>
        </w:rPr>
        <w:t>采取不相容职责分离，0.5分。</w:t>
      </w:r>
    </w:p>
    <w:p>
      <w:pPr>
        <w:pStyle w:val="4"/>
        <w:ind w:firstLine="602"/>
        <w:rPr>
          <w:rFonts w:cs="Times New Roman"/>
        </w:rPr>
      </w:pPr>
      <w:bookmarkStart w:id="94" w:name="_Toc18956"/>
      <w:bookmarkStart w:id="95" w:name="_Toc27485"/>
      <w:bookmarkStart w:id="96" w:name="_Toc67315596"/>
      <w:r>
        <w:rPr>
          <w:rFonts w:cs="Times New Roman"/>
        </w:rPr>
        <w:t>（三）项目产出情况（权重30，得分</w:t>
      </w:r>
      <w:r>
        <w:rPr>
          <w:rFonts w:hint="eastAsia" w:cs="Times New Roman"/>
        </w:rPr>
        <w:t>30</w:t>
      </w:r>
      <w:r>
        <w:rPr>
          <w:rFonts w:cs="Times New Roman"/>
        </w:rPr>
        <w:t>）</w:t>
      </w:r>
      <w:bookmarkEnd w:id="94"/>
      <w:bookmarkEnd w:id="95"/>
      <w:bookmarkEnd w:id="96"/>
    </w:p>
    <w:p>
      <w:pPr>
        <w:pStyle w:val="5"/>
        <w:ind w:firstLine="562"/>
        <w:rPr>
          <w:rFonts w:cs="Times New Roman"/>
        </w:rPr>
      </w:pPr>
      <w:bookmarkStart w:id="97" w:name="_Toc23764"/>
      <w:bookmarkStart w:id="98" w:name="_Toc67315597"/>
      <w:bookmarkStart w:id="99" w:name="_Toc25604"/>
      <w:r>
        <w:rPr>
          <w:rFonts w:cs="Times New Roman"/>
        </w:rPr>
        <w:t>1.产出数量（权重7.5，得分</w:t>
      </w:r>
      <w:r>
        <w:rPr>
          <w:rFonts w:hint="eastAsia" w:cs="Times New Roman"/>
        </w:rPr>
        <w:t>7</w:t>
      </w:r>
      <w:r>
        <w:rPr>
          <w:rFonts w:cs="Times New Roman"/>
        </w:rPr>
        <w:t>.5）</w:t>
      </w:r>
      <w:bookmarkEnd w:id="97"/>
      <w:bookmarkEnd w:id="98"/>
      <w:bookmarkEnd w:id="99"/>
    </w:p>
    <w:p>
      <w:pPr>
        <w:pStyle w:val="2"/>
        <w:ind w:firstLine="560"/>
        <w:rPr>
          <w:rFonts w:cs="Times New Roman"/>
        </w:rPr>
      </w:pPr>
      <w:bookmarkStart w:id="100" w:name="_Toc67315598"/>
      <w:r>
        <w:rPr>
          <w:rFonts w:cs="Times New Roman"/>
        </w:rPr>
        <w:t>（1）实际完成率（权重7.5，得分</w:t>
      </w:r>
      <w:r>
        <w:rPr>
          <w:rFonts w:hint="eastAsia" w:cs="Times New Roman"/>
        </w:rPr>
        <w:t>7</w:t>
      </w:r>
      <w:r>
        <w:rPr>
          <w:rFonts w:cs="Times New Roman"/>
        </w:rPr>
        <w:t>.5）</w:t>
      </w:r>
    </w:p>
    <w:p>
      <w:pPr>
        <w:pStyle w:val="2"/>
        <w:ind w:firstLine="562"/>
        <w:rPr>
          <w:rFonts w:cs="Times New Roman"/>
          <w:b/>
        </w:rPr>
      </w:pPr>
      <w:r>
        <w:rPr>
          <w:rFonts w:cs="Times New Roman"/>
          <w:b/>
        </w:rPr>
        <w:t>评分标准：</w:t>
      </w:r>
    </w:p>
    <w:p>
      <w:pPr>
        <w:pStyle w:val="2"/>
        <w:ind w:firstLine="560"/>
        <w:rPr>
          <w:rFonts w:cs="Times New Roman"/>
        </w:rPr>
      </w:pPr>
      <w:r>
        <w:rPr>
          <w:rFonts w:hint="eastAsia" w:cs="Times New Roman"/>
        </w:rPr>
        <w:t>①原门头龙骨及饰面拆除完成率；</w:t>
      </w:r>
    </w:p>
    <w:p>
      <w:pPr>
        <w:pStyle w:val="2"/>
        <w:ind w:firstLine="560"/>
        <w:rPr>
          <w:rFonts w:cs="Times New Roman"/>
        </w:rPr>
      </w:pPr>
      <w:r>
        <w:rPr>
          <w:rFonts w:hint="eastAsia" w:cs="Times New Roman"/>
        </w:rPr>
        <w:t>②门头装饰板完成率；</w:t>
      </w:r>
    </w:p>
    <w:p>
      <w:pPr>
        <w:pStyle w:val="2"/>
        <w:ind w:firstLine="560"/>
        <w:rPr>
          <w:rFonts w:cs="Times New Roman"/>
        </w:rPr>
      </w:pPr>
      <w:r>
        <w:rPr>
          <w:rFonts w:hint="eastAsia" w:cs="Times New Roman"/>
        </w:rPr>
        <w:t>③门头下龙骨完成率；</w:t>
      </w:r>
    </w:p>
    <w:p>
      <w:pPr>
        <w:pStyle w:val="2"/>
        <w:ind w:firstLine="560"/>
        <w:rPr>
          <w:rFonts w:cs="Times New Roman"/>
        </w:rPr>
      </w:pPr>
      <w:r>
        <w:rPr>
          <w:rFonts w:hint="eastAsia" w:cs="Times New Roman"/>
        </w:rPr>
        <w:t>④彩钢瓦保护层完成率；</w:t>
      </w:r>
    </w:p>
    <w:p>
      <w:pPr>
        <w:pStyle w:val="2"/>
        <w:ind w:firstLine="560"/>
        <w:rPr>
          <w:rFonts w:cs="Times New Roman"/>
        </w:rPr>
      </w:pPr>
      <w:r>
        <w:rPr>
          <w:rFonts w:hint="eastAsia" w:cs="Times New Roman"/>
        </w:rPr>
        <w:t>⑤PVC门头字（铝塑板）完成率；</w:t>
      </w:r>
    </w:p>
    <w:p>
      <w:pPr>
        <w:pStyle w:val="2"/>
        <w:ind w:firstLine="560"/>
        <w:rPr>
          <w:rFonts w:cs="Times New Roman"/>
        </w:rPr>
      </w:pPr>
      <w:r>
        <w:rPr>
          <w:rFonts w:hint="eastAsia" w:cs="Times New Roman"/>
        </w:rPr>
        <w:t>⑥PVC门头字（钛金字）完成率。</w:t>
      </w:r>
    </w:p>
    <w:p>
      <w:pPr>
        <w:pStyle w:val="2"/>
        <w:ind w:firstLine="560"/>
        <w:rPr>
          <w:rFonts w:cs="Times New Roman"/>
        </w:rPr>
      </w:pPr>
      <w:r>
        <w:rPr>
          <w:rFonts w:cs="Times New Roman"/>
        </w:rPr>
        <w:t>实际完成率=（实际产出数/计划产出数）×100%。</w:t>
      </w:r>
    </w:p>
    <w:p>
      <w:pPr>
        <w:pStyle w:val="2"/>
        <w:ind w:firstLine="560"/>
        <w:rPr>
          <w:rFonts w:cs="Times New Roman"/>
        </w:rPr>
      </w:pPr>
      <w:r>
        <w:rPr>
          <w:rFonts w:hint="eastAsia" w:ascii="宋体" w:hAnsi="宋体" w:eastAsia="宋体" w:cs="宋体"/>
        </w:rPr>
        <w:t>①</w:t>
      </w:r>
      <w:r>
        <w:rPr>
          <w:rFonts w:cs="Times New Roman"/>
        </w:rPr>
        <w:t>实际产出数：一定时期（本年度或项目期）内项目实际产出的产品或提供的服务数量。</w:t>
      </w:r>
    </w:p>
    <w:p>
      <w:pPr>
        <w:pStyle w:val="2"/>
        <w:ind w:firstLine="560"/>
        <w:rPr>
          <w:rFonts w:cs="Times New Roman"/>
        </w:rPr>
      </w:pPr>
      <w:r>
        <w:rPr>
          <w:rFonts w:hint="eastAsia" w:ascii="宋体" w:hAnsi="宋体" w:eastAsia="宋体" w:cs="宋体"/>
        </w:rPr>
        <w:t>②</w:t>
      </w:r>
      <w:r>
        <w:rPr>
          <w:rFonts w:cs="Times New Roman"/>
        </w:rPr>
        <w:t>计划产出数：项目绩效目标确定的在一定时期(年度或项目期)内计划产出的产品或提供的服务数量</w:t>
      </w:r>
    </w:p>
    <w:p>
      <w:pPr>
        <w:pStyle w:val="2"/>
        <w:ind w:firstLine="560"/>
        <w:rPr>
          <w:rFonts w:cs="Times New Roman"/>
        </w:rPr>
      </w:pPr>
      <w:r>
        <w:rPr>
          <w:rFonts w:cs="Times New Roman"/>
        </w:rPr>
        <w:t>实际得分=实际完成率</w:t>
      </w:r>
      <w:r>
        <w:rPr>
          <w:rFonts w:hint="eastAsia" w:cs="Times New Roman"/>
        </w:rPr>
        <w:t>（</w:t>
      </w:r>
      <w:r>
        <w:rPr>
          <w:rFonts w:cs="Times New Roman"/>
        </w:rPr>
        <w:t>最低</w:t>
      </w:r>
      <w:r>
        <w:rPr>
          <w:rFonts w:hint="eastAsia" w:cs="Times New Roman"/>
        </w:rPr>
        <w:t>）</w:t>
      </w:r>
      <w:r>
        <w:rPr>
          <w:rFonts w:cs="Times New Roman"/>
        </w:rPr>
        <w:t>×</w:t>
      </w:r>
      <w:r>
        <w:rPr>
          <w:rFonts w:hint="eastAsia" w:cs="Times New Roman"/>
        </w:rPr>
        <w:t>7.5</w:t>
      </w:r>
      <w:r>
        <w:rPr>
          <w:rFonts w:cs="Times New Roman"/>
        </w:rPr>
        <w:t>。</w:t>
      </w:r>
    </w:p>
    <w:p>
      <w:pPr>
        <w:pStyle w:val="2"/>
        <w:ind w:firstLine="562"/>
        <w:rPr>
          <w:rFonts w:cs="Times New Roman"/>
          <w:b/>
        </w:rPr>
      </w:pPr>
      <w:r>
        <w:rPr>
          <w:rFonts w:cs="Times New Roman"/>
          <w:b/>
        </w:rPr>
        <w:t>得分：</w:t>
      </w:r>
    </w:p>
    <w:p>
      <w:pPr>
        <w:pStyle w:val="2"/>
        <w:ind w:firstLine="560"/>
        <w:rPr>
          <w:rFonts w:cs="Times New Roman"/>
        </w:rPr>
      </w:pPr>
      <w:r>
        <w:rPr>
          <w:rFonts w:hint="eastAsia" w:ascii="仿宋" w:hAnsi="仿宋" w:cs="Times New Roman"/>
        </w:rPr>
        <w:t>①</w:t>
      </w:r>
      <w:r>
        <w:rPr>
          <w:rFonts w:hint="eastAsia" w:cs="Times New Roman"/>
        </w:rPr>
        <w:t>原门头龙骨及饰面拆除完成率=1900m</w:t>
      </w:r>
      <w:r>
        <w:rPr>
          <w:rFonts w:hint="eastAsia" w:cs="Times New Roman"/>
          <w:vertAlign w:val="superscript"/>
        </w:rPr>
        <w:t>2</w:t>
      </w:r>
      <w:r>
        <w:rPr>
          <w:rFonts w:hint="eastAsia" w:cs="Times New Roman"/>
        </w:rPr>
        <w:t>/1900m</w:t>
      </w:r>
      <w:r>
        <w:rPr>
          <w:rFonts w:hint="eastAsia" w:cs="Times New Roman"/>
          <w:vertAlign w:val="superscript"/>
        </w:rPr>
        <w:t>2</w:t>
      </w:r>
      <w:r>
        <w:rPr>
          <w:rFonts w:cs="Times New Roman"/>
        </w:rPr>
        <w:t>×100%</w:t>
      </w:r>
      <w:r>
        <w:rPr>
          <w:rFonts w:hint="eastAsia" w:cs="Times New Roman"/>
        </w:rPr>
        <w:t>=100%；</w:t>
      </w:r>
    </w:p>
    <w:p>
      <w:pPr>
        <w:pStyle w:val="2"/>
        <w:ind w:firstLine="560"/>
        <w:rPr>
          <w:rFonts w:cs="Times New Roman"/>
        </w:rPr>
      </w:pPr>
      <w:r>
        <w:rPr>
          <w:rFonts w:hint="eastAsia" w:cs="Times New Roman"/>
        </w:rPr>
        <w:t>②门头装饰板完成率=1802.24 m</w:t>
      </w:r>
      <w:r>
        <w:rPr>
          <w:rFonts w:hint="eastAsia" w:cs="Times New Roman"/>
          <w:vertAlign w:val="superscript"/>
        </w:rPr>
        <w:t>2</w:t>
      </w:r>
      <w:r>
        <w:rPr>
          <w:rFonts w:hint="eastAsia" w:cs="Times New Roman"/>
        </w:rPr>
        <w:t>/1802.24 m</w:t>
      </w:r>
      <w:r>
        <w:rPr>
          <w:rFonts w:hint="eastAsia" w:cs="Times New Roman"/>
          <w:vertAlign w:val="superscript"/>
        </w:rPr>
        <w:t>2</w:t>
      </w:r>
      <w:r>
        <w:rPr>
          <w:rFonts w:cs="Times New Roman"/>
        </w:rPr>
        <w:t>×100%</w:t>
      </w:r>
      <w:r>
        <w:rPr>
          <w:rFonts w:hint="eastAsia" w:cs="Times New Roman"/>
        </w:rPr>
        <w:t>=100%；</w:t>
      </w:r>
    </w:p>
    <w:p>
      <w:pPr>
        <w:pStyle w:val="2"/>
        <w:ind w:firstLine="560"/>
        <w:rPr>
          <w:rFonts w:cs="Times New Roman"/>
        </w:rPr>
      </w:pPr>
      <w:r>
        <w:rPr>
          <w:rFonts w:hint="eastAsia" w:cs="Times New Roman"/>
        </w:rPr>
        <w:t>③门头下龙骨完成率=27.06t /27.06t</w:t>
      </w:r>
      <w:r>
        <w:rPr>
          <w:rFonts w:cs="Times New Roman"/>
        </w:rPr>
        <w:t>×100%</w:t>
      </w:r>
      <w:r>
        <w:rPr>
          <w:rFonts w:hint="eastAsia" w:cs="Times New Roman"/>
        </w:rPr>
        <w:t>=100%；</w:t>
      </w:r>
    </w:p>
    <w:p>
      <w:pPr>
        <w:pStyle w:val="2"/>
        <w:ind w:firstLine="560"/>
        <w:rPr>
          <w:rFonts w:cs="Times New Roman"/>
        </w:rPr>
      </w:pPr>
      <w:r>
        <w:rPr>
          <w:rFonts w:hint="eastAsia" w:cs="Times New Roman"/>
        </w:rPr>
        <w:t>④彩钢瓦保护层完成率=309.76 m</w:t>
      </w:r>
      <w:r>
        <w:rPr>
          <w:rFonts w:hint="eastAsia" w:cs="Times New Roman"/>
          <w:vertAlign w:val="superscript"/>
        </w:rPr>
        <w:t>2</w:t>
      </w:r>
      <w:r>
        <w:rPr>
          <w:rFonts w:hint="eastAsia" w:cs="Times New Roman"/>
        </w:rPr>
        <w:t xml:space="preserve"> /309.76 m</w:t>
      </w:r>
      <w:r>
        <w:rPr>
          <w:rFonts w:hint="eastAsia" w:cs="Times New Roman"/>
          <w:vertAlign w:val="superscript"/>
        </w:rPr>
        <w:t>2</w:t>
      </w:r>
      <w:r>
        <w:rPr>
          <w:rFonts w:cs="Times New Roman"/>
        </w:rPr>
        <w:t>×100%</w:t>
      </w:r>
      <w:r>
        <w:rPr>
          <w:rFonts w:hint="eastAsia" w:cs="Times New Roman"/>
        </w:rPr>
        <w:t>=100%；</w:t>
      </w:r>
    </w:p>
    <w:p>
      <w:pPr>
        <w:pStyle w:val="2"/>
        <w:ind w:firstLine="560"/>
        <w:rPr>
          <w:rFonts w:cs="Times New Roman"/>
        </w:rPr>
      </w:pPr>
      <w:r>
        <w:rPr>
          <w:rFonts w:hint="eastAsia" w:cs="Times New Roman"/>
        </w:rPr>
        <w:t>⑤PVC门头字（铝塑板）完成率=478个/478个</w:t>
      </w:r>
      <w:r>
        <w:rPr>
          <w:rFonts w:cs="Times New Roman"/>
        </w:rPr>
        <w:t>×100%</w:t>
      </w:r>
      <w:r>
        <w:rPr>
          <w:rFonts w:hint="eastAsia" w:cs="Times New Roman"/>
        </w:rPr>
        <w:t>=100%；</w:t>
      </w:r>
    </w:p>
    <w:p>
      <w:pPr>
        <w:pStyle w:val="2"/>
        <w:ind w:firstLine="560"/>
        <w:rPr>
          <w:rFonts w:cs="Times New Roman"/>
        </w:rPr>
      </w:pPr>
      <w:r>
        <w:rPr>
          <w:rFonts w:hint="eastAsia" w:cs="Times New Roman"/>
        </w:rPr>
        <w:t>⑥PVC门头字（钛金字）完成率=5个/5个</w:t>
      </w:r>
      <w:r>
        <w:rPr>
          <w:rFonts w:cs="Times New Roman"/>
        </w:rPr>
        <w:t>×100%</w:t>
      </w:r>
      <w:r>
        <w:rPr>
          <w:rFonts w:hint="eastAsia" w:cs="Times New Roman"/>
        </w:rPr>
        <w:t>=100%。</w:t>
      </w:r>
    </w:p>
    <w:p>
      <w:pPr>
        <w:pStyle w:val="2"/>
        <w:ind w:firstLine="560"/>
        <w:rPr>
          <w:rFonts w:cs="Times New Roman"/>
        </w:rPr>
      </w:pPr>
      <w:r>
        <w:rPr>
          <w:rFonts w:cs="Times New Roman"/>
        </w:rPr>
        <w:t>实际得分=</w:t>
      </w:r>
      <w:r>
        <w:rPr>
          <w:rFonts w:hint="eastAsia" w:cs="Times New Roman"/>
        </w:rPr>
        <w:t>100%</w:t>
      </w:r>
      <w:r>
        <w:rPr>
          <w:rFonts w:cs="Times New Roman"/>
        </w:rPr>
        <w:t>×</w:t>
      </w:r>
      <w:r>
        <w:rPr>
          <w:rFonts w:hint="eastAsia" w:cs="Times New Roman"/>
        </w:rPr>
        <w:t>7.5=7.5分。</w:t>
      </w:r>
    </w:p>
    <w:p>
      <w:pPr>
        <w:pStyle w:val="5"/>
        <w:ind w:firstLine="562"/>
        <w:rPr>
          <w:rFonts w:cs="Times New Roman"/>
        </w:rPr>
      </w:pPr>
      <w:bookmarkStart w:id="101" w:name="_Toc17505"/>
      <w:bookmarkStart w:id="102" w:name="_Toc12694"/>
      <w:r>
        <w:rPr>
          <w:rFonts w:cs="Times New Roman"/>
        </w:rPr>
        <w:t>2.产出时效（权重7.5，得分7.5）</w:t>
      </w:r>
      <w:bookmarkEnd w:id="100"/>
      <w:bookmarkEnd w:id="101"/>
      <w:bookmarkEnd w:id="102"/>
    </w:p>
    <w:p>
      <w:pPr>
        <w:pStyle w:val="2"/>
        <w:ind w:firstLine="560"/>
        <w:rPr>
          <w:rFonts w:eastAsia="楷体_GB2312" w:cs="Times New Roman"/>
        </w:rPr>
      </w:pPr>
      <w:r>
        <w:rPr>
          <w:rFonts w:cs="Times New Roman"/>
        </w:rPr>
        <w:t>（1）完成及时率（权重7.5，得分7.5）</w:t>
      </w:r>
    </w:p>
    <w:p>
      <w:pPr>
        <w:pStyle w:val="2"/>
        <w:ind w:firstLine="562"/>
        <w:rPr>
          <w:rFonts w:cs="Times New Roman"/>
          <w:b/>
        </w:rPr>
      </w:pPr>
      <w:r>
        <w:rPr>
          <w:rFonts w:cs="Times New Roman"/>
          <w:b/>
        </w:rPr>
        <w:t>评分标准：</w:t>
      </w:r>
    </w:p>
    <w:p>
      <w:pPr>
        <w:pStyle w:val="2"/>
        <w:ind w:firstLine="560"/>
        <w:rPr>
          <w:rFonts w:hint="eastAsia" w:cs="Times New Roman"/>
        </w:rPr>
      </w:pPr>
      <w:r>
        <w:rPr>
          <w:rFonts w:hint="eastAsia" w:cs="Times New Roman"/>
        </w:rPr>
        <w:t xml:space="preserve">定量：完成及时率=[（计划完成时间-实际完成时间）/计划完成时间]×100%。 </w:t>
      </w:r>
    </w:p>
    <w:p>
      <w:pPr>
        <w:pStyle w:val="2"/>
        <w:ind w:firstLine="560"/>
        <w:rPr>
          <w:rFonts w:hint="eastAsia" w:cs="Times New Roman"/>
        </w:rPr>
      </w:pPr>
      <w:r>
        <w:rPr>
          <w:rFonts w:hint="eastAsia" w:cs="Times New Roman"/>
        </w:rPr>
        <w:t>①实际完成时间：项目实施单位完成该项目实际所耗用的时间。</w:t>
      </w:r>
    </w:p>
    <w:p>
      <w:pPr>
        <w:pStyle w:val="2"/>
        <w:ind w:firstLine="560"/>
        <w:rPr>
          <w:rFonts w:hint="eastAsia" w:cs="Times New Roman"/>
        </w:rPr>
      </w:pPr>
      <w:r>
        <w:rPr>
          <w:rFonts w:hint="eastAsia" w:cs="Times New Roman"/>
        </w:rPr>
        <w:t>②计划完成时间：按照项目实施计划或相关规定完成该项目所需的时间。</w:t>
      </w:r>
    </w:p>
    <w:p>
      <w:pPr>
        <w:pStyle w:val="2"/>
        <w:ind w:firstLine="560"/>
        <w:rPr>
          <w:rFonts w:hint="eastAsia" w:cs="Times New Roman"/>
        </w:rPr>
      </w:pPr>
      <w:r>
        <w:rPr>
          <w:rFonts w:hint="eastAsia" w:cs="Times New Roman"/>
        </w:rPr>
        <w:t>完成及时率（最低）≥0，得7.5分；</w:t>
      </w:r>
    </w:p>
    <w:p>
      <w:pPr>
        <w:pStyle w:val="2"/>
        <w:ind w:firstLine="560"/>
        <w:rPr>
          <w:rFonts w:hint="eastAsia" w:cs="Times New Roman"/>
        </w:rPr>
      </w:pPr>
      <w:r>
        <w:rPr>
          <w:rFonts w:hint="eastAsia" w:cs="Times New Roman"/>
        </w:rPr>
        <w:t>如该项分解四级指标，则每出现一个完成及时率&lt;0，减2分，直至扣完。</w:t>
      </w:r>
    </w:p>
    <w:p>
      <w:pPr>
        <w:pStyle w:val="2"/>
        <w:ind w:firstLine="560"/>
        <w:rPr>
          <w:rFonts w:cs="Times New Roman"/>
        </w:rPr>
      </w:pPr>
      <w:r>
        <w:rPr>
          <w:rFonts w:hint="eastAsia" w:cs="Times New Roman"/>
        </w:rPr>
        <w:t>定性：对于临时性或单项工作，可采取定性分析。</w:t>
      </w:r>
    </w:p>
    <w:p>
      <w:pPr>
        <w:pStyle w:val="2"/>
        <w:ind w:firstLine="562"/>
        <w:rPr>
          <w:rFonts w:cs="Times New Roman"/>
          <w:b/>
        </w:rPr>
      </w:pPr>
      <w:r>
        <w:rPr>
          <w:rFonts w:cs="Times New Roman"/>
          <w:b/>
        </w:rPr>
        <w:t>得分：</w:t>
      </w:r>
    </w:p>
    <w:p>
      <w:pPr>
        <w:pStyle w:val="2"/>
        <w:ind w:firstLine="560"/>
        <w:rPr>
          <w:rFonts w:cs="Times New Roman"/>
        </w:rPr>
      </w:pPr>
      <w:r>
        <w:rPr>
          <w:rFonts w:hint="eastAsia" w:cs="Times New Roman"/>
        </w:rPr>
        <w:t>总工期为</w:t>
      </w:r>
      <w:r>
        <w:rPr>
          <w:rFonts w:cs="Times New Roman"/>
        </w:rPr>
        <w:t>10</w:t>
      </w:r>
      <w:r>
        <w:rPr>
          <w:rFonts w:hint="eastAsia" w:cs="Times New Roman"/>
        </w:rPr>
        <w:t>天，实际完成时间为</w:t>
      </w:r>
      <w:r>
        <w:rPr>
          <w:rFonts w:cs="Times New Roman"/>
        </w:rPr>
        <w:t>10</w:t>
      </w:r>
      <w:r>
        <w:rPr>
          <w:rFonts w:hint="eastAsia" w:cs="Times New Roman"/>
        </w:rPr>
        <w:t>天；</w:t>
      </w:r>
    </w:p>
    <w:p>
      <w:pPr>
        <w:pStyle w:val="2"/>
        <w:ind w:firstLine="560"/>
        <w:rPr>
          <w:rFonts w:cs="Times New Roman"/>
        </w:rPr>
      </w:pPr>
      <w:r>
        <w:rPr>
          <w:rFonts w:cs="Times New Roman"/>
        </w:rPr>
        <w:t>完成及时率=</w:t>
      </w:r>
      <w:r>
        <w:rPr>
          <w:rFonts w:hint="eastAsia" w:cs="Times New Roman"/>
        </w:rPr>
        <w:t>（10天-10天）/10天</w:t>
      </w:r>
      <w:r>
        <w:rPr>
          <w:rFonts w:cs="Times New Roman"/>
        </w:rPr>
        <w:t>×100%</w:t>
      </w:r>
      <w:r>
        <w:rPr>
          <w:rFonts w:hint="eastAsia" w:cs="Times New Roman"/>
        </w:rPr>
        <w:t>=0</w:t>
      </w:r>
    </w:p>
    <w:p>
      <w:pPr>
        <w:pStyle w:val="2"/>
        <w:ind w:firstLine="560"/>
        <w:rPr>
          <w:rFonts w:cs="Times New Roman"/>
        </w:rPr>
      </w:pPr>
      <w:r>
        <w:rPr>
          <w:rFonts w:hint="eastAsia" w:cs="Times New Roman"/>
        </w:rPr>
        <w:t>综上述，得7.5分。</w:t>
      </w:r>
    </w:p>
    <w:p>
      <w:pPr>
        <w:pStyle w:val="5"/>
        <w:ind w:firstLine="562"/>
        <w:rPr>
          <w:rFonts w:cs="Times New Roman"/>
        </w:rPr>
      </w:pPr>
      <w:bookmarkStart w:id="103" w:name="_Toc67315599"/>
      <w:bookmarkStart w:id="104" w:name="_Toc25918"/>
      <w:bookmarkStart w:id="105" w:name="_Toc2237"/>
      <w:r>
        <w:rPr>
          <w:rFonts w:cs="Times New Roman"/>
        </w:rPr>
        <w:t>3.产出质量（权重7.5，得分7.5）</w:t>
      </w:r>
      <w:bookmarkEnd w:id="103"/>
      <w:bookmarkEnd w:id="104"/>
      <w:bookmarkEnd w:id="105"/>
    </w:p>
    <w:p>
      <w:pPr>
        <w:pStyle w:val="2"/>
        <w:ind w:firstLine="560"/>
        <w:rPr>
          <w:rFonts w:eastAsia="楷体_GB2312" w:cs="Times New Roman"/>
        </w:rPr>
      </w:pPr>
      <w:r>
        <w:rPr>
          <w:rFonts w:cs="Times New Roman"/>
        </w:rPr>
        <w:t>（1）质量达标率（权重7.5，得分7.5）</w:t>
      </w:r>
    </w:p>
    <w:p>
      <w:pPr>
        <w:pStyle w:val="2"/>
        <w:ind w:firstLine="562"/>
        <w:rPr>
          <w:rFonts w:cs="Times New Roman"/>
          <w:b/>
        </w:rPr>
      </w:pPr>
      <w:r>
        <w:rPr>
          <w:rFonts w:cs="Times New Roman"/>
          <w:b/>
        </w:rPr>
        <w:t>评分标准：</w:t>
      </w:r>
    </w:p>
    <w:p>
      <w:pPr>
        <w:pStyle w:val="2"/>
        <w:ind w:firstLine="560"/>
        <w:rPr>
          <w:rFonts w:cs="Times New Roman"/>
        </w:rPr>
      </w:pPr>
      <w:r>
        <w:rPr>
          <w:rFonts w:hint="eastAsia" w:cs="Times New Roman"/>
        </w:rPr>
        <w:t>①原门头龙骨及饰面拆除质量达标率；</w:t>
      </w:r>
    </w:p>
    <w:p>
      <w:pPr>
        <w:pStyle w:val="2"/>
        <w:ind w:firstLine="560"/>
        <w:rPr>
          <w:rFonts w:cs="Times New Roman"/>
        </w:rPr>
      </w:pPr>
      <w:r>
        <w:rPr>
          <w:rFonts w:hint="eastAsia" w:cs="Times New Roman"/>
        </w:rPr>
        <w:t>②门头装饰板质量达标率；</w:t>
      </w:r>
    </w:p>
    <w:p>
      <w:pPr>
        <w:pStyle w:val="2"/>
        <w:ind w:firstLine="560"/>
        <w:rPr>
          <w:rFonts w:cs="Times New Roman"/>
        </w:rPr>
      </w:pPr>
      <w:r>
        <w:rPr>
          <w:rFonts w:hint="eastAsia" w:cs="Times New Roman"/>
        </w:rPr>
        <w:t>③门头下龙骨质量达标率；</w:t>
      </w:r>
    </w:p>
    <w:p>
      <w:pPr>
        <w:pStyle w:val="2"/>
        <w:ind w:firstLine="560"/>
        <w:rPr>
          <w:rFonts w:cs="Times New Roman"/>
        </w:rPr>
      </w:pPr>
      <w:r>
        <w:rPr>
          <w:rFonts w:hint="eastAsia" w:cs="Times New Roman"/>
        </w:rPr>
        <w:t>④彩钢瓦保护层质量达标率；</w:t>
      </w:r>
    </w:p>
    <w:p>
      <w:pPr>
        <w:pStyle w:val="2"/>
        <w:ind w:firstLine="560"/>
        <w:rPr>
          <w:rFonts w:cs="Times New Roman"/>
        </w:rPr>
      </w:pPr>
      <w:r>
        <w:rPr>
          <w:rFonts w:hint="eastAsia" w:cs="Times New Roman"/>
        </w:rPr>
        <w:t>⑤PVC门头字（铝塑板）质量达标率；</w:t>
      </w:r>
    </w:p>
    <w:p>
      <w:pPr>
        <w:pStyle w:val="2"/>
        <w:ind w:firstLine="560"/>
        <w:rPr>
          <w:rFonts w:cs="Times New Roman"/>
        </w:rPr>
      </w:pPr>
      <w:r>
        <w:rPr>
          <w:rFonts w:hint="eastAsia" w:cs="Times New Roman"/>
        </w:rPr>
        <w:t>⑥PVC门头字（钛金字）质量达标率。</w:t>
      </w:r>
    </w:p>
    <w:p>
      <w:pPr>
        <w:pStyle w:val="2"/>
        <w:ind w:firstLine="560"/>
        <w:rPr>
          <w:rFonts w:cs="Times New Roman"/>
        </w:rPr>
      </w:pPr>
      <w:r>
        <w:rPr>
          <w:rFonts w:cs="Times New Roman"/>
        </w:rPr>
        <w:t>质量达标率=（质量达标产出数/实际产出数）×100%。</w:t>
      </w:r>
    </w:p>
    <w:p>
      <w:pPr>
        <w:pStyle w:val="2"/>
        <w:ind w:firstLine="560"/>
        <w:rPr>
          <w:rFonts w:cs="Times New Roman"/>
        </w:rPr>
      </w:pPr>
      <w:r>
        <w:rPr>
          <w:rFonts w:hint="eastAsia" w:ascii="宋体" w:hAnsi="宋体" w:eastAsia="宋体" w:cs="宋体"/>
        </w:rPr>
        <w:t>①</w:t>
      </w:r>
      <w:r>
        <w:rPr>
          <w:rFonts w:cs="Times New Roman"/>
        </w:rPr>
        <w:t>质量达标产出数：一定时期（本年度或项目期）内实际达到既定质量标准的产品或服务数量。</w:t>
      </w:r>
    </w:p>
    <w:p>
      <w:pPr>
        <w:pStyle w:val="2"/>
        <w:ind w:firstLine="560"/>
        <w:rPr>
          <w:rFonts w:cs="Times New Roman"/>
        </w:rPr>
      </w:pPr>
      <w:r>
        <w:rPr>
          <w:rFonts w:hint="eastAsia" w:ascii="宋体" w:hAnsi="宋体" w:eastAsia="宋体" w:cs="宋体"/>
        </w:rPr>
        <w:t>②</w:t>
      </w:r>
      <w:r>
        <w:rPr>
          <w:rFonts w:cs="Times New Roman"/>
        </w:rPr>
        <w:t>既定质量标准是指项目实施单位设立绩效目标时依据计划标准、行业标准、历史标准或其他标准而设定的绩效指标值。</w:t>
      </w:r>
    </w:p>
    <w:p>
      <w:pPr>
        <w:pStyle w:val="2"/>
        <w:ind w:firstLine="560"/>
        <w:rPr>
          <w:rFonts w:cs="Times New Roman"/>
        </w:rPr>
      </w:pPr>
      <w:r>
        <w:rPr>
          <w:rFonts w:cs="Times New Roman"/>
        </w:rPr>
        <w:t>实际得分=实际完成率</w:t>
      </w:r>
      <w:r>
        <w:rPr>
          <w:rFonts w:hint="eastAsia" w:cs="Times New Roman"/>
        </w:rPr>
        <w:t>（</w:t>
      </w:r>
      <w:r>
        <w:rPr>
          <w:rFonts w:cs="Times New Roman"/>
        </w:rPr>
        <w:t>最低</w:t>
      </w:r>
      <w:r>
        <w:rPr>
          <w:rFonts w:hint="eastAsia" w:cs="Times New Roman"/>
        </w:rPr>
        <w:t>）</w:t>
      </w:r>
      <w:r>
        <w:rPr>
          <w:rFonts w:cs="Times New Roman"/>
        </w:rPr>
        <w:t>×</w:t>
      </w:r>
      <w:r>
        <w:rPr>
          <w:rFonts w:hint="eastAsia" w:cs="Times New Roman"/>
        </w:rPr>
        <w:t>7.5</w:t>
      </w:r>
      <w:r>
        <w:rPr>
          <w:rFonts w:cs="Times New Roman"/>
        </w:rPr>
        <w:t>。</w:t>
      </w:r>
    </w:p>
    <w:p>
      <w:pPr>
        <w:pStyle w:val="2"/>
        <w:ind w:firstLine="562"/>
        <w:rPr>
          <w:rFonts w:cs="Times New Roman"/>
          <w:b/>
        </w:rPr>
      </w:pPr>
      <w:r>
        <w:rPr>
          <w:rFonts w:cs="Times New Roman"/>
          <w:b/>
        </w:rPr>
        <w:t>得分：</w:t>
      </w:r>
    </w:p>
    <w:p>
      <w:pPr>
        <w:pStyle w:val="2"/>
        <w:ind w:firstLine="560"/>
        <w:rPr>
          <w:rFonts w:cs="Times New Roman"/>
        </w:rPr>
      </w:pPr>
      <w:r>
        <w:rPr>
          <w:rFonts w:hint="eastAsia" w:ascii="仿宋" w:hAnsi="仿宋" w:cs="Times New Roman"/>
        </w:rPr>
        <w:t>①</w:t>
      </w:r>
      <w:r>
        <w:rPr>
          <w:rFonts w:hint="eastAsia" w:cs="Times New Roman"/>
        </w:rPr>
        <w:t>原门头龙骨及饰面拆除质量达标率=1900m</w:t>
      </w:r>
      <w:r>
        <w:rPr>
          <w:rFonts w:hint="eastAsia" w:cs="Times New Roman"/>
          <w:vertAlign w:val="superscript"/>
        </w:rPr>
        <w:t>2</w:t>
      </w:r>
      <w:r>
        <w:rPr>
          <w:rFonts w:hint="eastAsia" w:cs="Times New Roman"/>
        </w:rPr>
        <w:t>/1900m</w:t>
      </w:r>
      <w:r>
        <w:rPr>
          <w:rFonts w:hint="eastAsia" w:cs="Times New Roman"/>
          <w:vertAlign w:val="superscript"/>
        </w:rPr>
        <w:t>2</w:t>
      </w:r>
      <w:r>
        <w:rPr>
          <w:rFonts w:cs="Times New Roman"/>
        </w:rPr>
        <w:t>×100%</w:t>
      </w:r>
      <w:r>
        <w:rPr>
          <w:rFonts w:hint="eastAsia" w:cs="Times New Roman"/>
        </w:rPr>
        <w:t>=100%；</w:t>
      </w:r>
    </w:p>
    <w:p>
      <w:pPr>
        <w:pStyle w:val="2"/>
        <w:ind w:firstLine="560"/>
        <w:rPr>
          <w:rFonts w:cs="Times New Roman"/>
        </w:rPr>
      </w:pPr>
      <w:r>
        <w:rPr>
          <w:rFonts w:hint="eastAsia" w:cs="Times New Roman"/>
        </w:rPr>
        <w:t>②门头装饰板质量达标率=1802.24 m</w:t>
      </w:r>
      <w:r>
        <w:rPr>
          <w:rFonts w:hint="eastAsia" w:cs="Times New Roman"/>
          <w:vertAlign w:val="superscript"/>
        </w:rPr>
        <w:t>2</w:t>
      </w:r>
      <w:r>
        <w:rPr>
          <w:rFonts w:hint="eastAsia" w:cs="Times New Roman"/>
        </w:rPr>
        <w:t>/1802.24 m</w:t>
      </w:r>
      <w:r>
        <w:rPr>
          <w:rFonts w:hint="eastAsia" w:cs="Times New Roman"/>
          <w:vertAlign w:val="superscript"/>
        </w:rPr>
        <w:t>2</w:t>
      </w:r>
      <w:r>
        <w:rPr>
          <w:rFonts w:cs="Times New Roman"/>
        </w:rPr>
        <w:t>×100%</w:t>
      </w:r>
      <w:r>
        <w:rPr>
          <w:rFonts w:hint="eastAsia" w:cs="Times New Roman"/>
        </w:rPr>
        <w:t>=100%；</w:t>
      </w:r>
    </w:p>
    <w:p>
      <w:pPr>
        <w:pStyle w:val="2"/>
        <w:ind w:firstLine="560"/>
        <w:rPr>
          <w:rFonts w:cs="Times New Roman"/>
        </w:rPr>
      </w:pPr>
      <w:r>
        <w:rPr>
          <w:rFonts w:hint="eastAsia" w:cs="Times New Roman"/>
        </w:rPr>
        <w:t>③门头下龙骨质量达标率=27.06t /27.06t</w:t>
      </w:r>
      <w:r>
        <w:rPr>
          <w:rFonts w:cs="Times New Roman"/>
        </w:rPr>
        <w:t>×100%</w:t>
      </w:r>
      <w:r>
        <w:rPr>
          <w:rFonts w:hint="eastAsia" w:cs="Times New Roman"/>
        </w:rPr>
        <w:t>=100%；</w:t>
      </w:r>
    </w:p>
    <w:p>
      <w:pPr>
        <w:pStyle w:val="2"/>
        <w:ind w:firstLine="560"/>
        <w:rPr>
          <w:rFonts w:cs="Times New Roman"/>
        </w:rPr>
      </w:pPr>
      <w:r>
        <w:rPr>
          <w:rFonts w:hint="eastAsia" w:cs="Times New Roman"/>
        </w:rPr>
        <w:t>④彩钢瓦保护层质量达标率=309.76 m</w:t>
      </w:r>
      <w:r>
        <w:rPr>
          <w:rFonts w:hint="eastAsia" w:cs="Times New Roman"/>
          <w:vertAlign w:val="superscript"/>
        </w:rPr>
        <w:t>2</w:t>
      </w:r>
      <w:r>
        <w:rPr>
          <w:rFonts w:hint="eastAsia" w:cs="Times New Roman"/>
        </w:rPr>
        <w:t xml:space="preserve"> /309.76 m</w:t>
      </w:r>
      <w:r>
        <w:rPr>
          <w:rFonts w:hint="eastAsia" w:cs="Times New Roman"/>
          <w:vertAlign w:val="superscript"/>
        </w:rPr>
        <w:t>2</w:t>
      </w:r>
      <w:r>
        <w:rPr>
          <w:rFonts w:cs="Times New Roman"/>
        </w:rPr>
        <w:t>×100%</w:t>
      </w:r>
      <w:r>
        <w:rPr>
          <w:rFonts w:hint="eastAsia" w:cs="Times New Roman"/>
        </w:rPr>
        <w:t>=100%；</w:t>
      </w:r>
    </w:p>
    <w:p>
      <w:pPr>
        <w:pStyle w:val="2"/>
        <w:ind w:firstLine="560"/>
        <w:rPr>
          <w:rFonts w:cs="Times New Roman"/>
        </w:rPr>
      </w:pPr>
      <w:r>
        <w:rPr>
          <w:rFonts w:hint="eastAsia" w:cs="Times New Roman"/>
        </w:rPr>
        <w:t>⑤PVC门头字（铝塑板）质量达标率=478个/478个</w:t>
      </w:r>
      <w:r>
        <w:rPr>
          <w:rFonts w:cs="Times New Roman"/>
        </w:rPr>
        <w:t>×100%</w:t>
      </w:r>
      <w:r>
        <w:rPr>
          <w:rFonts w:hint="eastAsia" w:cs="Times New Roman"/>
        </w:rPr>
        <w:t>=100%；</w:t>
      </w:r>
    </w:p>
    <w:p>
      <w:pPr>
        <w:pStyle w:val="2"/>
        <w:ind w:firstLine="560"/>
        <w:rPr>
          <w:rFonts w:cs="Times New Roman"/>
        </w:rPr>
      </w:pPr>
      <w:r>
        <w:rPr>
          <w:rFonts w:hint="eastAsia" w:cs="Times New Roman"/>
        </w:rPr>
        <w:t>⑥PVC门头字（钛金字）质量达标率=5个/5个</w:t>
      </w:r>
      <w:r>
        <w:rPr>
          <w:rFonts w:cs="Times New Roman"/>
        </w:rPr>
        <w:t>×100%</w:t>
      </w:r>
      <w:r>
        <w:rPr>
          <w:rFonts w:hint="eastAsia" w:cs="Times New Roman"/>
        </w:rPr>
        <w:t>=100%。</w:t>
      </w:r>
    </w:p>
    <w:p>
      <w:pPr>
        <w:pStyle w:val="2"/>
        <w:ind w:firstLine="560"/>
        <w:rPr>
          <w:rFonts w:cs="Times New Roman"/>
        </w:rPr>
      </w:pPr>
      <w:r>
        <w:rPr>
          <w:rFonts w:cs="Times New Roman"/>
        </w:rPr>
        <w:t>实际得分=</w:t>
      </w:r>
      <w:r>
        <w:rPr>
          <w:rFonts w:hint="eastAsia" w:cs="Times New Roman"/>
        </w:rPr>
        <w:t>100%</w:t>
      </w:r>
      <w:r>
        <w:rPr>
          <w:rFonts w:cs="Times New Roman"/>
        </w:rPr>
        <w:t>×</w:t>
      </w:r>
      <w:r>
        <w:rPr>
          <w:rFonts w:hint="eastAsia" w:cs="Times New Roman"/>
        </w:rPr>
        <w:t>7.5=7.5，得7.5分</w:t>
      </w:r>
      <w:r>
        <w:rPr>
          <w:rFonts w:cs="Times New Roman"/>
        </w:rPr>
        <w:t>。</w:t>
      </w:r>
    </w:p>
    <w:p>
      <w:pPr>
        <w:pStyle w:val="5"/>
        <w:ind w:firstLine="562"/>
        <w:rPr>
          <w:rFonts w:cs="Times New Roman"/>
        </w:rPr>
      </w:pPr>
      <w:bookmarkStart w:id="106" w:name="_Toc67315600"/>
      <w:bookmarkStart w:id="107" w:name="_Toc5771"/>
      <w:bookmarkStart w:id="108" w:name="_Toc20582"/>
      <w:r>
        <w:rPr>
          <w:rFonts w:cs="Times New Roman"/>
        </w:rPr>
        <w:t>4.产出成本（权重7.5，得分7.5）</w:t>
      </w:r>
      <w:bookmarkEnd w:id="106"/>
      <w:bookmarkEnd w:id="107"/>
      <w:bookmarkEnd w:id="108"/>
    </w:p>
    <w:p>
      <w:pPr>
        <w:pStyle w:val="2"/>
        <w:ind w:firstLine="560"/>
        <w:rPr>
          <w:rFonts w:eastAsia="楷体_GB2312" w:cs="Times New Roman"/>
        </w:rPr>
      </w:pPr>
      <w:r>
        <w:rPr>
          <w:rFonts w:cs="Times New Roman"/>
        </w:rPr>
        <w:t>（1）成本节约率（权重7.5，得分7.5）</w:t>
      </w:r>
    </w:p>
    <w:p>
      <w:pPr>
        <w:pStyle w:val="2"/>
        <w:ind w:firstLine="562"/>
        <w:rPr>
          <w:rFonts w:cs="Times New Roman"/>
          <w:b/>
        </w:rPr>
      </w:pPr>
      <w:r>
        <w:rPr>
          <w:rFonts w:cs="Times New Roman"/>
          <w:b/>
        </w:rPr>
        <w:t>评分标准：</w:t>
      </w:r>
    </w:p>
    <w:p>
      <w:pPr>
        <w:pStyle w:val="2"/>
        <w:ind w:firstLine="560"/>
        <w:rPr>
          <w:rFonts w:cs="Times New Roman"/>
        </w:rPr>
      </w:pPr>
      <w:r>
        <w:rPr>
          <w:rFonts w:cs="Times New Roman"/>
        </w:rPr>
        <w:t>成本节约率=[（计划成本-实际成本）/计划成本]×100%。</w:t>
      </w:r>
    </w:p>
    <w:p>
      <w:pPr>
        <w:pStyle w:val="2"/>
        <w:ind w:firstLine="560"/>
        <w:rPr>
          <w:rFonts w:cs="Times New Roman"/>
        </w:rPr>
      </w:pPr>
      <w:r>
        <w:rPr>
          <w:rFonts w:hint="eastAsia" w:ascii="宋体" w:hAnsi="宋体" w:eastAsia="宋体" w:cs="宋体"/>
        </w:rPr>
        <w:t>①</w:t>
      </w:r>
      <w:r>
        <w:rPr>
          <w:rFonts w:cs="Times New Roman"/>
        </w:rPr>
        <w:t>实际成本：项目实施单位如期、保质、保量完成既定工作目标实际所耗费的支出。</w:t>
      </w:r>
    </w:p>
    <w:p>
      <w:pPr>
        <w:pStyle w:val="2"/>
        <w:ind w:firstLine="560"/>
        <w:rPr>
          <w:rFonts w:cs="Times New Roman"/>
        </w:rPr>
      </w:pPr>
      <w:r>
        <w:rPr>
          <w:rFonts w:hint="eastAsia" w:ascii="宋体" w:hAnsi="宋体" w:eastAsia="宋体" w:cs="宋体"/>
        </w:rPr>
        <w:t>②</w:t>
      </w:r>
      <w:r>
        <w:rPr>
          <w:rFonts w:cs="Times New Roman"/>
        </w:rPr>
        <w:t>计划成本：项目实施单位为完成工作目标计划安排的支出，一般以项目预算为参考。</w:t>
      </w:r>
    </w:p>
    <w:p>
      <w:pPr>
        <w:pStyle w:val="2"/>
        <w:ind w:firstLine="560"/>
        <w:rPr>
          <w:rFonts w:cs="Times New Roman"/>
        </w:rPr>
      </w:pPr>
      <w:r>
        <w:rPr>
          <w:rFonts w:cs="Times New Roman"/>
        </w:rPr>
        <w:t>成本节约率≥0，得7.5分；成本节约率&lt;0，不得分。</w:t>
      </w:r>
    </w:p>
    <w:p>
      <w:pPr>
        <w:pStyle w:val="2"/>
        <w:ind w:firstLine="562"/>
        <w:rPr>
          <w:rFonts w:cs="Times New Roman"/>
          <w:b/>
        </w:rPr>
      </w:pPr>
      <w:r>
        <w:rPr>
          <w:rFonts w:cs="Times New Roman"/>
          <w:b/>
        </w:rPr>
        <w:t>得分：</w:t>
      </w:r>
    </w:p>
    <w:p>
      <w:pPr>
        <w:pStyle w:val="2"/>
        <w:ind w:firstLine="560"/>
        <w:rPr>
          <w:rFonts w:cs="Times New Roman"/>
        </w:rPr>
      </w:pPr>
      <w:r>
        <w:rPr>
          <w:rFonts w:cs="Times New Roman"/>
        </w:rPr>
        <w:t>项目成本节约率=[（计划成本-实际成本）/计划成本]×100%=[（</w:t>
      </w:r>
      <w:r>
        <w:rPr>
          <w:rFonts w:hint="eastAsia" w:cs="Times New Roman"/>
        </w:rPr>
        <w:t>954400-954340.05</w:t>
      </w:r>
      <w:r>
        <w:rPr>
          <w:rFonts w:cs="Times New Roman"/>
        </w:rPr>
        <w:t>）</w:t>
      </w:r>
      <w:r>
        <w:rPr>
          <w:rFonts w:hint="eastAsia" w:cs="Times New Roman"/>
        </w:rPr>
        <w:t>元</w:t>
      </w:r>
      <w:r>
        <w:rPr>
          <w:rFonts w:cs="Times New Roman"/>
        </w:rPr>
        <w:t>/</w:t>
      </w:r>
      <w:r>
        <w:rPr>
          <w:rFonts w:hint="eastAsia" w:cs="Times New Roman"/>
        </w:rPr>
        <w:t>954400</w:t>
      </w:r>
      <w:r>
        <w:rPr>
          <w:rFonts w:cs="Times New Roman"/>
        </w:rPr>
        <w:t>]×100%</w:t>
      </w:r>
      <w:r>
        <w:rPr>
          <w:rFonts w:ascii="Arial" w:hAnsi="Arial" w:cs="Arial"/>
        </w:rPr>
        <w:t>≈</w:t>
      </w:r>
      <w:r>
        <w:rPr>
          <w:rFonts w:hint="eastAsia" w:cs="Times New Roman"/>
        </w:rPr>
        <w:t>0</w:t>
      </w:r>
    </w:p>
    <w:p>
      <w:pPr>
        <w:pStyle w:val="2"/>
        <w:ind w:firstLine="560"/>
        <w:rPr>
          <w:rFonts w:eastAsia="楷体_GB2312" w:cs="Times New Roman"/>
        </w:rPr>
      </w:pPr>
      <w:r>
        <w:rPr>
          <w:rFonts w:hint="eastAsia" w:cs="Times New Roman"/>
        </w:rPr>
        <w:t>在</w:t>
      </w:r>
      <w:r>
        <w:rPr>
          <w:rFonts w:cs="Times New Roman"/>
        </w:rPr>
        <w:t>项目实施过程中，为有效控制成本，</w:t>
      </w:r>
      <w:r>
        <w:rPr>
          <w:rFonts w:hint="eastAsia" w:cs="Times New Roman"/>
        </w:rPr>
        <w:t>漯河经济技术开发区城市管理执法大队</w:t>
      </w:r>
      <w:r>
        <w:rPr>
          <w:rFonts w:cs="Times New Roman"/>
        </w:rPr>
        <w:t>严格把控成本，未发生应节约未节约行为，得7.5分。</w:t>
      </w:r>
    </w:p>
    <w:p>
      <w:pPr>
        <w:pStyle w:val="4"/>
        <w:ind w:firstLine="602"/>
        <w:rPr>
          <w:rFonts w:cs="Times New Roman"/>
        </w:rPr>
      </w:pPr>
      <w:bookmarkStart w:id="109" w:name="_Toc11265"/>
      <w:bookmarkStart w:id="110" w:name="_Toc14246"/>
      <w:bookmarkStart w:id="111" w:name="_Toc67315601"/>
      <w:r>
        <w:rPr>
          <w:rFonts w:cs="Times New Roman"/>
        </w:rPr>
        <w:t>（四）项目效益情况（权重30，得分</w:t>
      </w:r>
      <w:r>
        <w:rPr>
          <w:rFonts w:hint="eastAsia" w:cs="Times New Roman"/>
        </w:rPr>
        <w:t>30</w:t>
      </w:r>
      <w:r>
        <w:rPr>
          <w:rFonts w:cs="Times New Roman"/>
        </w:rPr>
        <w:t>）</w:t>
      </w:r>
      <w:bookmarkEnd w:id="109"/>
      <w:bookmarkEnd w:id="110"/>
      <w:bookmarkEnd w:id="111"/>
    </w:p>
    <w:p>
      <w:pPr>
        <w:pStyle w:val="5"/>
        <w:ind w:firstLine="562"/>
        <w:rPr>
          <w:rFonts w:cs="Times New Roman"/>
        </w:rPr>
      </w:pPr>
      <w:bookmarkStart w:id="112" w:name="_Toc29595"/>
      <w:bookmarkStart w:id="113" w:name="_Toc67315603"/>
      <w:bookmarkStart w:id="114" w:name="_Toc9023"/>
      <w:r>
        <w:rPr>
          <w:rFonts w:hint="eastAsia" w:cs="Times New Roman"/>
        </w:rPr>
        <w:t>1</w:t>
      </w:r>
      <w:r>
        <w:rPr>
          <w:rFonts w:cs="Times New Roman"/>
        </w:rPr>
        <w:t>.社会效益（权重</w:t>
      </w:r>
      <w:r>
        <w:rPr>
          <w:rFonts w:hint="eastAsia" w:cs="Times New Roman"/>
        </w:rPr>
        <w:t>6</w:t>
      </w:r>
      <w:r>
        <w:rPr>
          <w:rFonts w:cs="Times New Roman"/>
        </w:rPr>
        <w:t>，得分</w:t>
      </w:r>
      <w:r>
        <w:rPr>
          <w:rFonts w:hint="eastAsia" w:cs="Times New Roman"/>
        </w:rPr>
        <w:t>6</w:t>
      </w:r>
      <w:r>
        <w:rPr>
          <w:rFonts w:cs="Times New Roman"/>
        </w:rPr>
        <w:t>）</w:t>
      </w:r>
      <w:bookmarkEnd w:id="112"/>
      <w:bookmarkEnd w:id="113"/>
      <w:bookmarkEnd w:id="114"/>
    </w:p>
    <w:p>
      <w:pPr>
        <w:pStyle w:val="2"/>
        <w:ind w:firstLine="562"/>
        <w:rPr>
          <w:rFonts w:cs="Times New Roman"/>
          <w:b/>
        </w:rPr>
      </w:pPr>
      <w:r>
        <w:rPr>
          <w:rFonts w:cs="Times New Roman"/>
          <w:b/>
        </w:rPr>
        <w:t>评分标准：</w:t>
      </w:r>
    </w:p>
    <w:p>
      <w:pPr>
        <w:pStyle w:val="2"/>
        <w:ind w:firstLine="560"/>
        <w:rPr>
          <w:rFonts w:cs="Times New Roman"/>
        </w:rPr>
      </w:pPr>
      <w:r>
        <w:rPr>
          <w:rFonts w:hint="eastAsia" w:cs="Times New Roman"/>
        </w:rPr>
        <w:t>①设计品味及设施品质是否得到提升，2分；</w:t>
      </w:r>
    </w:p>
    <w:p>
      <w:pPr>
        <w:pStyle w:val="2"/>
        <w:ind w:firstLine="560"/>
        <w:rPr>
          <w:rFonts w:cs="Times New Roman"/>
        </w:rPr>
      </w:pPr>
      <w:r>
        <w:rPr>
          <w:rFonts w:hint="eastAsia" w:cs="Times New Roman"/>
        </w:rPr>
        <w:t>②是否有利于规范门头的设置行为，提升商业价值，2分；</w:t>
      </w:r>
    </w:p>
    <w:p>
      <w:pPr>
        <w:pStyle w:val="2"/>
        <w:ind w:firstLine="560"/>
        <w:rPr>
          <w:rFonts w:cs="Times New Roman"/>
        </w:rPr>
      </w:pPr>
      <w:r>
        <w:rPr>
          <w:rFonts w:hint="eastAsia" w:cs="Times New Roman"/>
        </w:rPr>
        <w:t>③是否让城市的方寸之间更具审美价值，2分。</w:t>
      </w:r>
    </w:p>
    <w:p>
      <w:pPr>
        <w:pStyle w:val="2"/>
        <w:ind w:firstLine="562"/>
        <w:rPr>
          <w:rFonts w:cs="Times New Roman"/>
          <w:b/>
        </w:rPr>
      </w:pPr>
      <w:r>
        <w:rPr>
          <w:rFonts w:cs="Times New Roman"/>
          <w:b/>
        </w:rPr>
        <w:t>得分：</w:t>
      </w:r>
    </w:p>
    <w:p>
      <w:pPr>
        <w:ind w:left="0" w:leftChars="0" w:right="0" w:rightChars="0" w:firstLine="561"/>
        <w:jc w:val="left"/>
        <w:rPr>
          <w:rFonts w:ascii="Times New Roman" w:hAnsi="Times New Roman" w:eastAsia="仿宋" w:cs="Times New Roman"/>
          <w:sz w:val="28"/>
          <w:szCs w:val="21"/>
        </w:rPr>
      </w:pPr>
      <w:r>
        <w:rPr>
          <w:rFonts w:hint="eastAsia" w:ascii="Times New Roman" w:hAnsi="Times New Roman" w:eastAsia="仿宋" w:cs="Times New Roman"/>
          <w:sz w:val="28"/>
          <w:szCs w:val="21"/>
        </w:rPr>
        <w:t>①通过该项目的实施</w:t>
      </w:r>
      <w:r>
        <w:rPr>
          <w:rFonts w:ascii="Times New Roman" w:hAnsi="Times New Roman" w:eastAsia="仿宋" w:cs="Times New Roman"/>
          <w:sz w:val="28"/>
          <w:szCs w:val="21"/>
        </w:rPr>
        <w:t>，该路段的整体门头设计品味及设施品质得到了有效提升，得2分；</w:t>
      </w:r>
    </w:p>
    <w:p>
      <w:pPr>
        <w:ind w:left="0" w:leftChars="0" w:right="0" w:rightChars="0" w:firstLine="561"/>
        <w:jc w:val="left"/>
        <w:rPr>
          <w:rFonts w:ascii="Times New Roman" w:hAnsi="Times New Roman" w:eastAsia="仿宋" w:cs="Times New Roman"/>
          <w:sz w:val="28"/>
          <w:szCs w:val="21"/>
        </w:rPr>
      </w:pPr>
      <w:r>
        <w:rPr>
          <w:rFonts w:hint="eastAsia" w:ascii="Times New Roman" w:hAnsi="Times New Roman" w:eastAsia="仿宋" w:cs="Times New Roman"/>
          <w:sz w:val="28"/>
          <w:szCs w:val="21"/>
        </w:rPr>
        <w:t>②门头改造工程的完成，使该路段的门头保持了一致性，有利于规范门头的设置行为，达到了吸引消费者的目的，提升了商业价值，</w:t>
      </w:r>
      <w:r>
        <w:rPr>
          <w:rFonts w:ascii="Times New Roman" w:hAnsi="Times New Roman" w:eastAsia="仿宋" w:cs="Times New Roman"/>
          <w:sz w:val="28"/>
          <w:szCs w:val="21"/>
        </w:rPr>
        <w:t>得</w:t>
      </w:r>
      <w:r>
        <w:rPr>
          <w:rFonts w:hint="eastAsia" w:ascii="Times New Roman" w:hAnsi="Times New Roman" w:eastAsia="仿宋" w:cs="Times New Roman"/>
          <w:sz w:val="28"/>
          <w:szCs w:val="21"/>
        </w:rPr>
        <w:t>2</w:t>
      </w:r>
      <w:r>
        <w:rPr>
          <w:rFonts w:ascii="Times New Roman" w:hAnsi="Times New Roman" w:eastAsia="仿宋" w:cs="Times New Roman"/>
          <w:sz w:val="28"/>
          <w:szCs w:val="21"/>
        </w:rPr>
        <w:t>分；</w:t>
      </w:r>
    </w:p>
    <w:p>
      <w:pPr>
        <w:pStyle w:val="2"/>
        <w:ind w:firstLine="560"/>
        <w:rPr>
          <w:rFonts w:cs="Times New Roman"/>
        </w:rPr>
      </w:pPr>
      <w:r>
        <w:rPr>
          <w:rFonts w:hint="eastAsia" w:cs="Times New Roman"/>
        </w:rPr>
        <w:t>③统一的设计，统一的规划提升了该路段商业的整体美观度，改变了参差不齐的老式设计，使让城市的方寸之间更具审美价值</w:t>
      </w:r>
      <w:r>
        <w:rPr>
          <w:rFonts w:cs="Times New Roman"/>
        </w:rPr>
        <w:t>，得</w:t>
      </w:r>
      <w:r>
        <w:rPr>
          <w:rFonts w:hint="eastAsia" w:cs="Times New Roman"/>
        </w:rPr>
        <w:t>2</w:t>
      </w:r>
      <w:r>
        <w:rPr>
          <w:rFonts w:cs="Times New Roman"/>
        </w:rPr>
        <w:t>分。</w:t>
      </w:r>
    </w:p>
    <w:p>
      <w:pPr>
        <w:pStyle w:val="5"/>
        <w:ind w:firstLine="562"/>
        <w:rPr>
          <w:rFonts w:cs="Times New Roman"/>
        </w:rPr>
      </w:pPr>
      <w:bookmarkStart w:id="115" w:name="_Toc30457"/>
      <w:bookmarkStart w:id="116" w:name="_Toc27115"/>
      <w:bookmarkStart w:id="117" w:name="_Toc67315604"/>
      <w:r>
        <w:rPr>
          <w:rFonts w:hint="eastAsia" w:cs="Times New Roman"/>
        </w:rPr>
        <w:t>2.生态效益（权重6，得分6）</w:t>
      </w:r>
      <w:bookmarkEnd w:id="115"/>
      <w:bookmarkEnd w:id="116"/>
      <w:bookmarkEnd w:id="117"/>
    </w:p>
    <w:p>
      <w:pPr>
        <w:pStyle w:val="2"/>
        <w:ind w:firstLine="562"/>
        <w:rPr>
          <w:rFonts w:cs="Times New Roman"/>
          <w:b/>
        </w:rPr>
      </w:pPr>
      <w:r>
        <w:rPr>
          <w:rFonts w:cs="Times New Roman"/>
          <w:b/>
        </w:rPr>
        <w:t>评分标准：</w:t>
      </w:r>
    </w:p>
    <w:p>
      <w:pPr>
        <w:pStyle w:val="2"/>
        <w:ind w:firstLine="560"/>
        <w:rPr>
          <w:rFonts w:cs="Times New Roman"/>
        </w:rPr>
      </w:pPr>
      <w:r>
        <w:rPr>
          <w:rFonts w:hint="eastAsia" w:cs="Times New Roman"/>
        </w:rPr>
        <w:t>①门头改造是否遵循低碳、环保、绿色节能的原则，3分；</w:t>
      </w:r>
    </w:p>
    <w:p>
      <w:pPr>
        <w:pStyle w:val="2"/>
        <w:ind w:firstLine="560"/>
        <w:rPr>
          <w:rFonts w:cs="Times New Roman"/>
        </w:rPr>
      </w:pPr>
      <w:r>
        <w:rPr>
          <w:rFonts w:hint="eastAsia" w:cs="Times New Roman"/>
        </w:rPr>
        <w:t>②是否进一步优化美化城市环境，3分。</w:t>
      </w:r>
    </w:p>
    <w:p>
      <w:pPr>
        <w:pStyle w:val="2"/>
        <w:ind w:firstLine="562"/>
        <w:rPr>
          <w:rFonts w:cs="Times New Roman"/>
          <w:b/>
        </w:rPr>
      </w:pPr>
      <w:r>
        <w:rPr>
          <w:rFonts w:cs="Times New Roman"/>
          <w:b/>
        </w:rPr>
        <w:t>得分：</w:t>
      </w:r>
    </w:p>
    <w:p>
      <w:pPr>
        <w:ind w:left="0" w:leftChars="0" w:right="0" w:rightChars="0" w:firstLine="560" w:firstLineChars="200"/>
        <w:jc w:val="left"/>
        <w:rPr>
          <w:rFonts w:ascii="Times New Roman" w:hAnsi="Times New Roman" w:eastAsia="仿宋" w:cs="Times New Roman"/>
          <w:sz w:val="28"/>
          <w:szCs w:val="21"/>
        </w:rPr>
      </w:pPr>
      <w:r>
        <w:rPr>
          <w:rFonts w:hint="eastAsia" w:ascii="宋体" w:hAnsi="宋体" w:eastAsia="宋体" w:cs="宋体"/>
          <w:sz w:val="28"/>
          <w:szCs w:val="21"/>
        </w:rPr>
        <w:t>①</w:t>
      </w:r>
      <w:r>
        <w:rPr>
          <w:rFonts w:hint="eastAsia" w:ascii="Times New Roman" w:hAnsi="Times New Roman" w:eastAsia="仿宋" w:cs="Times New Roman"/>
          <w:sz w:val="28"/>
          <w:szCs w:val="21"/>
        </w:rPr>
        <w:t>该工程在前期设计和施工过程</w:t>
      </w:r>
      <w:r>
        <w:rPr>
          <w:rFonts w:ascii="Times New Roman" w:hAnsi="Times New Roman" w:eastAsia="仿宋" w:cs="Times New Roman"/>
          <w:sz w:val="28"/>
          <w:szCs w:val="21"/>
        </w:rPr>
        <w:t>中，均遵循低碳、环保、绿色节能的原则，</w:t>
      </w:r>
      <w:r>
        <w:rPr>
          <w:rFonts w:hint="eastAsia" w:ascii="Times New Roman" w:hAnsi="Times New Roman" w:eastAsia="仿宋" w:cs="Times New Roman"/>
          <w:sz w:val="28"/>
          <w:szCs w:val="21"/>
        </w:rPr>
        <w:t>在施工时还通过拉网、及时处理拆除垃圾等措施，达到随时随地保护环境的效果，</w:t>
      </w:r>
      <w:r>
        <w:rPr>
          <w:rFonts w:ascii="Times New Roman" w:hAnsi="Times New Roman" w:eastAsia="仿宋" w:cs="Times New Roman"/>
          <w:sz w:val="28"/>
          <w:szCs w:val="21"/>
        </w:rPr>
        <w:t>得</w:t>
      </w:r>
      <w:r>
        <w:rPr>
          <w:rFonts w:hint="eastAsia" w:ascii="Times New Roman" w:hAnsi="Times New Roman" w:eastAsia="仿宋" w:cs="Times New Roman"/>
          <w:sz w:val="28"/>
          <w:szCs w:val="21"/>
        </w:rPr>
        <w:t>3</w:t>
      </w:r>
      <w:r>
        <w:rPr>
          <w:rFonts w:ascii="Times New Roman" w:hAnsi="Times New Roman" w:eastAsia="仿宋" w:cs="Times New Roman"/>
          <w:sz w:val="28"/>
          <w:szCs w:val="21"/>
        </w:rPr>
        <w:t>分；</w:t>
      </w:r>
    </w:p>
    <w:p>
      <w:pPr>
        <w:pStyle w:val="2"/>
        <w:ind w:firstLine="560"/>
        <w:jc w:val="left"/>
        <w:rPr>
          <w:rFonts w:cs="Times New Roman"/>
        </w:rPr>
      </w:pPr>
      <w:r>
        <w:rPr>
          <w:rFonts w:hint="eastAsia" w:ascii="宋体" w:hAnsi="宋体" w:eastAsia="宋体" w:cs="宋体"/>
        </w:rPr>
        <w:t>②</w:t>
      </w:r>
      <w:r>
        <w:rPr>
          <w:rFonts w:hint="eastAsia" w:cs="Times New Roman"/>
        </w:rPr>
        <w:t>通过</w:t>
      </w:r>
      <w:r>
        <w:rPr>
          <w:rFonts w:cs="Times New Roman"/>
        </w:rPr>
        <w:t>该工程的实施</w:t>
      </w:r>
      <w:r>
        <w:rPr>
          <w:rFonts w:hint="eastAsia" w:cs="Times New Roman"/>
        </w:rPr>
        <w:t>，</w:t>
      </w:r>
      <w:r>
        <w:rPr>
          <w:rFonts w:cs="Times New Roman"/>
        </w:rPr>
        <w:t>拆除了影响市容市貌</w:t>
      </w:r>
      <w:r>
        <w:rPr>
          <w:rFonts w:hint="eastAsia" w:cs="Times New Roman"/>
        </w:rPr>
        <w:t>、</w:t>
      </w:r>
      <w:r>
        <w:rPr>
          <w:rFonts w:cs="Times New Roman"/>
        </w:rPr>
        <w:t>可能存在隐患的门头</w:t>
      </w:r>
      <w:r>
        <w:rPr>
          <w:rFonts w:hint="eastAsia" w:cs="Times New Roman"/>
        </w:rPr>
        <w:t>，进一步优化了美化城市环境</w:t>
      </w:r>
      <w:r>
        <w:rPr>
          <w:rFonts w:cs="Times New Roman"/>
        </w:rPr>
        <w:t>，得</w:t>
      </w:r>
      <w:r>
        <w:rPr>
          <w:rFonts w:hint="eastAsia" w:cs="Times New Roman"/>
        </w:rPr>
        <w:t>3</w:t>
      </w:r>
      <w:r>
        <w:rPr>
          <w:rFonts w:cs="Times New Roman"/>
        </w:rPr>
        <w:t>分。</w:t>
      </w:r>
    </w:p>
    <w:p>
      <w:pPr>
        <w:pStyle w:val="5"/>
        <w:ind w:firstLine="562"/>
        <w:rPr>
          <w:rFonts w:cs="Times New Roman"/>
        </w:rPr>
      </w:pPr>
      <w:bookmarkStart w:id="118" w:name="_Toc67315605"/>
      <w:bookmarkStart w:id="119" w:name="_Toc25096"/>
      <w:bookmarkStart w:id="120" w:name="_Toc22253"/>
      <w:r>
        <w:rPr>
          <w:rFonts w:hint="eastAsia" w:cs="Times New Roman"/>
        </w:rPr>
        <w:t>3.可持续影响（权重6，得分6）</w:t>
      </w:r>
      <w:bookmarkEnd w:id="118"/>
      <w:bookmarkEnd w:id="119"/>
      <w:bookmarkEnd w:id="120"/>
    </w:p>
    <w:p>
      <w:pPr>
        <w:pStyle w:val="2"/>
        <w:ind w:firstLine="562"/>
        <w:rPr>
          <w:rFonts w:cs="Times New Roman"/>
          <w:b/>
        </w:rPr>
      </w:pPr>
      <w:r>
        <w:rPr>
          <w:rFonts w:cs="Times New Roman"/>
          <w:b/>
        </w:rPr>
        <w:t>评分标准：</w:t>
      </w:r>
    </w:p>
    <w:p>
      <w:pPr>
        <w:pStyle w:val="2"/>
        <w:ind w:firstLine="560"/>
        <w:rPr>
          <w:rFonts w:cs="Times New Roman"/>
        </w:rPr>
      </w:pPr>
      <w:r>
        <w:rPr>
          <w:rFonts w:hint="eastAsia" w:cs="Times New Roman"/>
        </w:rPr>
        <w:t>①是否有助于持续提升城市环境，优化提升城市品位，2分；</w:t>
      </w:r>
    </w:p>
    <w:p>
      <w:pPr>
        <w:pStyle w:val="2"/>
        <w:ind w:firstLine="560"/>
        <w:rPr>
          <w:rFonts w:cs="Times New Roman"/>
        </w:rPr>
      </w:pPr>
      <w:r>
        <w:rPr>
          <w:rFonts w:hint="eastAsia" w:cs="Times New Roman"/>
        </w:rPr>
        <w:t>②是否有助于持续提高生活效率和节奏，为消费者们提供优质的购物空间2分；</w:t>
      </w:r>
    </w:p>
    <w:p>
      <w:pPr>
        <w:pStyle w:val="2"/>
        <w:ind w:firstLine="560"/>
        <w:rPr>
          <w:rFonts w:cs="Times New Roman"/>
        </w:rPr>
      </w:pPr>
      <w:r>
        <w:rPr>
          <w:rFonts w:hint="eastAsia" w:cs="Times New Roman"/>
        </w:rPr>
        <w:t>③是否有助于持续提升社会物质文明与精神文明的和谐，2分。</w:t>
      </w:r>
    </w:p>
    <w:p>
      <w:pPr>
        <w:pStyle w:val="2"/>
        <w:ind w:firstLine="562"/>
        <w:rPr>
          <w:rFonts w:cs="Times New Roman"/>
          <w:b/>
        </w:rPr>
      </w:pPr>
      <w:r>
        <w:rPr>
          <w:rFonts w:cs="Times New Roman"/>
          <w:b/>
        </w:rPr>
        <w:t>得分：</w:t>
      </w:r>
    </w:p>
    <w:p>
      <w:pPr>
        <w:pStyle w:val="2"/>
        <w:ind w:firstLine="560"/>
        <w:rPr>
          <w:rFonts w:cs="Times New Roman"/>
        </w:rPr>
      </w:pPr>
      <w:r>
        <w:rPr>
          <w:rFonts w:hint="eastAsia" w:cs="Times New Roman"/>
        </w:rPr>
        <w:t>①该项目的实施，</w:t>
      </w:r>
      <w:r>
        <w:rPr>
          <w:rFonts w:cs="Times New Roman"/>
        </w:rPr>
        <w:t>进一步提升</w:t>
      </w:r>
      <w:r>
        <w:rPr>
          <w:rFonts w:hint="eastAsia" w:cs="Times New Roman"/>
        </w:rPr>
        <w:t>该路段商铺门头的一致性</w:t>
      </w:r>
      <w:r>
        <w:rPr>
          <w:rFonts w:cs="Times New Roman"/>
        </w:rPr>
        <w:t>，使商业外观更加美观</w:t>
      </w:r>
      <w:r>
        <w:rPr>
          <w:rFonts w:hint="eastAsia" w:cs="Times New Roman"/>
        </w:rPr>
        <w:t>、</w:t>
      </w:r>
      <w:r>
        <w:rPr>
          <w:rFonts w:cs="Times New Roman"/>
        </w:rPr>
        <w:t>更加吸引消费者</w:t>
      </w:r>
      <w:r>
        <w:rPr>
          <w:rFonts w:hint="eastAsia" w:cs="Times New Roman"/>
        </w:rPr>
        <w:t>，有助于持续提升城市环境，优化提升城市品位，</w:t>
      </w:r>
      <w:r>
        <w:rPr>
          <w:rFonts w:cs="Times New Roman"/>
        </w:rPr>
        <w:t>得2分；</w:t>
      </w:r>
    </w:p>
    <w:p>
      <w:pPr>
        <w:pStyle w:val="2"/>
        <w:ind w:firstLine="560"/>
        <w:rPr>
          <w:rFonts w:cs="Times New Roman"/>
        </w:rPr>
      </w:pPr>
      <w:r>
        <w:rPr>
          <w:rFonts w:hint="eastAsia" w:ascii="宋体" w:hAnsi="宋体" w:eastAsia="宋体" w:cs="宋体"/>
        </w:rPr>
        <w:t>②</w:t>
      </w:r>
      <w:r>
        <w:rPr>
          <w:rFonts w:hint="eastAsia" w:cs="Times New Roman"/>
        </w:rPr>
        <w:t>门头改造工程的完成，除保持了门头的统一美观外，还减少了因个体装饰不专业而存在安全隐患的问题发生，有助于持续提高生活效率和节奏，为消费者们提供优质的购物空间</w:t>
      </w:r>
      <w:r>
        <w:rPr>
          <w:rFonts w:cs="Times New Roman"/>
        </w:rPr>
        <w:t>，得2分；</w:t>
      </w:r>
    </w:p>
    <w:p>
      <w:pPr>
        <w:pStyle w:val="2"/>
        <w:ind w:firstLine="560"/>
        <w:rPr>
          <w:rFonts w:eastAsia="楷体_GB2312" w:cs="Times New Roman"/>
        </w:rPr>
      </w:pPr>
      <w:r>
        <w:rPr>
          <w:rFonts w:hint="eastAsia" w:ascii="宋体" w:hAnsi="宋体" w:eastAsia="宋体" w:cs="宋体"/>
        </w:rPr>
        <w:t>③</w:t>
      </w:r>
      <w:r>
        <w:rPr>
          <w:rFonts w:hint="eastAsia" w:cs="Times New Roman"/>
        </w:rPr>
        <w:t>统一的门头饰面，高品质的门头设计，优质的购物环境，有助于持续提升社会物质文明与精神文明的和谐，</w:t>
      </w:r>
      <w:r>
        <w:rPr>
          <w:rFonts w:cs="Times New Roman"/>
        </w:rPr>
        <w:t>助力全国文明城市创建，得</w:t>
      </w:r>
      <w:r>
        <w:rPr>
          <w:rFonts w:hint="eastAsia" w:cs="Times New Roman"/>
        </w:rPr>
        <w:t>2</w:t>
      </w:r>
      <w:r>
        <w:rPr>
          <w:rFonts w:cs="Times New Roman"/>
        </w:rPr>
        <w:t>分。</w:t>
      </w:r>
    </w:p>
    <w:p>
      <w:pPr>
        <w:pStyle w:val="5"/>
        <w:ind w:firstLine="562"/>
        <w:rPr>
          <w:rFonts w:cs="Times New Roman"/>
        </w:rPr>
      </w:pPr>
      <w:bookmarkStart w:id="121" w:name="_Toc30290"/>
      <w:bookmarkStart w:id="122" w:name="_Toc67315606"/>
      <w:bookmarkStart w:id="123" w:name="_Toc29830"/>
      <w:r>
        <w:rPr>
          <w:rFonts w:hint="eastAsia" w:cs="Times New Roman"/>
        </w:rPr>
        <w:t>4.社会公众满意度（权重12，得分12）</w:t>
      </w:r>
      <w:bookmarkEnd w:id="121"/>
      <w:bookmarkEnd w:id="122"/>
      <w:bookmarkEnd w:id="123"/>
    </w:p>
    <w:p>
      <w:pPr>
        <w:pStyle w:val="2"/>
        <w:ind w:firstLine="562"/>
        <w:rPr>
          <w:rFonts w:cs="Times New Roman"/>
          <w:b/>
        </w:rPr>
      </w:pPr>
      <w:r>
        <w:rPr>
          <w:rFonts w:cs="Times New Roman"/>
          <w:b/>
        </w:rPr>
        <w:t>评分标准：</w:t>
      </w:r>
    </w:p>
    <w:p>
      <w:pPr>
        <w:pStyle w:val="2"/>
        <w:ind w:firstLine="560"/>
        <w:rPr>
          <w:rFonts w:cs="Times New Roman"/>
        </w:rPr>
      </w:pPr>
      <w:r>
        <w:rPr>
          <w:rFonts w:hint="eastAsia" w:cs="Times New Roman"/>
        </w:rPr>
        <w:t>①门头改造店铺的满意度≥95%，6分；</w:t>
      </w:r>
    </w:p>
    <w:p>
      <w:pPr>
        <w:pStyle w:val="2"/>
        <w:ind w:firstLine="560"/>
        <w:rPr>
          <w:rFonts w:cs="Times New Roman"/>
          <w:b/>
        </w:rPr>
      </w:pPr>
      <w:r>
        <w:rPr>
          <w:rFonts w:hint="eastAsia" w:cs="Times New Roman"/>
        </w:rPr>
        <w:t>②消费者的满意度≥95%，6分。</w:t>
      </w:r>
    </w:p>
    <w:p>
      <w:pPr>
        <w:pStyle w:val="2"/>
        <w:ind w:firstLine="562"/>
        <w:rPr>
          <w:rFonts w:cs="Times New Roman"/>
          <w:b/>
        </w:rPr>
      </w:pPr>
      <w:r>
        <w:rPr>
          <w:rFonts w:cs="Times New Roman"/>
          <w:b/>
        </w:rPr>
        <w:t>得分：</w:t>
      </w:r>
    </w:p>
    <w:p>
      <w:pPr>
        <w:pStyle w:val="2"/>
        <w:ind w:firstLine="478" w:firstLineChars="171"/>
        <w:rPr>
          <w:rFonts w:cs="Times New Roman"/>
        </w:rPr>
      </w:pPr>
      <w:r>
        <w:rPr>
          <w:rFonts w:cs="Times New Roman"/>
        </w:rPr>
        <w:t>通过问卷调查分析</w:t>
      </w:r>
      <w:r>
        <w:rPr>
          <w:rFonts w:hint="eastAsia" w:cs="Times New Roman"/>
        </w:rPr>
        <w:t>：</w:t>
      </w:r>
    </w:p>
    <w:p>
      <w:pPr>
        <w:pStyle w:val="2"/>
        <w:ind w:firstLine="478" w:firstLineChars="171"/>
        <w:rPr>
          <w:rFonts w:cs="Times New Roman"/>
        </w:rPr>
      </w:pPr>
      <w:r>
        <w:rPr>
          <w:rFonts w:hint="eastAsia" w:ascii="仿宋" w:hAnsi="仿宋" w:cs="Times New Roman"/>
        </w:rPr>
        <w:t>①</w:t>
      </w:r>
      <w:r>
        <w:rPr>
          <w:rFonts w:hint="eastAsia" w:cs="Times New Roman"/>
        </w:rPr>
        <w:t>头改造店涉及店铺的店主满意度为100%，得6分；</w:t>
      </w:r>
    </w:p>
    <w:p>
      <w:pPr>
        <w:pStyle w:val="2"/>
        <w:ind w:firstLine="478" w:firstLineChars="171"/>
        <w:rPr>
          <w:rFonts w:cs="Times New Roman"/>
        </w:rPr>
      </w:pPr>
      <w:r>
        <w:rPr>
          <w:rFonts w:hint="eastAsia" w:cs="Times New Roman"/>
        </w:rPr>
        <w:t>②消费者的满意度为98%，2%的不满意度主要原因是换成了统一的门头，没有了传承特色。得6分。</w:t>
      </w:r>
    </w:p>
    <w:p>
      <w:pPr>
        <w:pStyle w:val="3"/>
        <w:jc w:val="left"/>
        <w:rPr>
          <w:rFonts w:cs="Times New Roman"/>
        </w:rPr>
      </w:pPr>
      <w:bookmarkStart w:id="124" w:name="_Toc14032"/>
      <w:bookmarkStart w:id="125" w:name="_Toc23105"/>
      <w:bookmarkStart w:id="126" w:name="_Toc67315607"/>
      <w:r>
        <w:t>五、主要经验及做法、存在的问题及原因分析</w:t>
      </w:r>
      <w:bookmarkEnd w:id="124"/>
      <w:bookmarkEnd w:id="125"/>
      <w:bookmarkEnd w:id="126"/>
    </w:p>
    <w:p>
      <w:pPr>
        <w:pStyle w:val="4"/>
        <w:ind w:firstLine="602"/>
        <w:rPr>
          <w:rFonts w:cs="Times New Roman"/>
        </w:rPr>
      </w:pPr>
      <w:bookmarkStart w:id="127" w:name="_Toc10366"/>
      <w:bookmarkStart w:id="128" w:name="_Toc67315608"/>
      <w:bookmarkStart w:id="129" w:name="_Toc988"/>
      <w:r>
        <w:rPr>
          <w:rFonts w:cs="Times New Roman"/>
        </w:rPr>
        <w:t>（一）主要经验及做法</w:t>
      </w:r>
      <w:bookmarkEnd w:id="127"/>
      <w:bookmarkEnd w:id="128"/>
      <w:bookmarkEnd w:id="129"/>
    </w:p>
    <w:p>
      <w:pPr>
        <w:pStyle w:val="5"/>
        <w:ind w:firstLine="562"/>
        <w:rPr>
          <w:rFonts w:cs="Times New Roman"/>
        </w:rPr>
      </w:pPr>
      <w:bookmarkStart w:id="130" w:name="_Toc29036"/>
      <w:bookmarkStart w:id="131" w:name="_Toc31318"/>
      <w:r>
        <w:rPr>
          <w:rFonts w:hint="eastAsia" w:cs="Times New Roman"/>
        </w:rPr>
        <w:t>全面把控项目质量。一是</w:t>
      </w:r>
      <w:r>
        <w:rPr>
          <w:rFonts w:hint="eastAsia" w:cs="Times New Roman"/>
          <w:b w:val="0"/>
        </w:rPr>
        <w:t>门头改造项工程项目采取政府采购的形式，通过招投标的方式，制定严格的项目质量和数量标准，同时对投标单位的资质进行了严格的限制，最终择优录取；</w:t>
      </w:r>
      <w:r>
        <w:rPr>
          <w:rFonts w:hint="eastAsia" w:cs="Times New Roman"/>
        </w:rPr>
        <w:t>二是</w:t>
      </w:r>
      <w:r>
        <w:rPr>
          <w:rFonts w:hint="eastAsia" w:cs="Times New Roman"/>
          <w:b w:val="0"/>
        </w:rPr>
        <w:t>项目完工后，漯河经济技术开发区城市管理执法大队制定了详细的验收标准并组织有关单位进行验收，出具有关方验收报告、质量评估报告等，确保了工程质量</w:t>
      </w:r>
      <w:r>
        <w:rPr>
          <w:rFonts w:cs="Times New Roman"/>
          <w:b w:val="0"/>
        </w:rPr>
        <w:t>；</w:t>
      </w:r>
      <w:r>
        <w:rPr>
          <w:rFonts w:cs="Times New Roman"/>
        </w:rPr>
        <w:t>三是</w:t>
      </w:r>
      <w:r>
        <w:rPr>
          <w:rFonts w:cs="Times New Roman"/>
          <w:b w:val="0"/>
        </w:rPr>
        <w:t>在项目的实施过程中，</w:t>
      </w:r>
      <w:r>
        <w:rPr>
          <w:rFonts w:hint="eastAsia" w:cs="Times New Roman"/>
          <w:b w:val="0"/>
        </w:rPr>
        <w:t>漯河经济技术开发区城市管理执法大队</w:t>
      </w:r>
      <w:r>
        <w:rPr>
          <w:rFonts w:cs="Times New Roman"/>
          <w:b w:val="0"/>
        </w:rPr>
        <w:t>通过招标采购等方式，控制成本，选取优质</w:t>
      </w:r>
      <w:r>
        <w:rPr>
          <w:rFonts w:hint="eastAsia" w:cs="Times New Roman"/>
          <w:b w:val="0"/>
        </w:rPr>
        <w:t>施工单位</w:t>
      </w:r>
      <w:r>
        <w:rPr>
          <w:rFonts w:cs="Times New Roman"/>
          <w:b w:val="0"/>
        </w:rPr>
        <w:t>；</w:t>
      </w:r>
      <w:r>
        <w:rPr>
          <w:rFonts w:cs="Times New Roman"/>
        </w:rPr>
        <w:t>四是</w:t>
      </w:r>
      <w:r>
        <w:rPr>
          <w:rFonts w:cs="Times New Roman"/>
          <w:b w:val="0"/>
        </w:rPr>
        <w:t>签订合同，明确工程质量等的要求，把控项目质量；</w:t>
      </w:r>
      <w:r>
        <w:rPr>
          <w:rFonts w:cs="Times New Roman"/>
        </w:rPr>
        <w:t>五是</w:t>
      </w:r>
      <w:r>
        <w:rPr>
          <w:rFonts w:cs="Times New Roman"/>
          <w:b w:val="0"/>
        </w:rPr>
        <w:t>定期进行</w:t>
      </w:r>
      <w:r>
        <w:rPr>
          <w:rFonts w:hint="eastAsia" w:cs="Times New Roman"/>
          <w:b w:val="0"/>
        </w:rPr>
        <w:t>现场</w:t>
      </w:r>
      <w:r>
        <w:rPr>
          <w:rFonts w:cs="Times New Roman"/>
          <w:b w:val="0"/>
        </w:rPr>
        <w:t>检查，不断提高</w:t>
      </w:r>
      <w:r>
        <w:rPr>
          <w:rFonts w:hint="eastAsia" w:cs="Times New Roman"/>
          <w:b w:val="0"/>
        </w:rPr>
        <w:t>工程项目</w:t>
      </w:r>
      <w:r>
        <w:rPr>
          <w:rFonts w:cs="Times New Roman"/>
          <w:b w:val="0"/>
        </w:rPr>
        <w:t>的质量，项目整体开展采取了相应的项目进度、预算支出管控和监督等必需的控制措施或手段。</w:t>
      </w:r>
      <w:bookmarkEnd w:id="130"/>
      <w:bookmarkEnd w:id="131"/>
    </w:p>
    <w:p>
      <w:pPr>
        <w:pStyle w:val="4"/>
        <w:ind w:firstLine="602"/>
        <w:rPr>
          <w:rFonts w:cs="Times New Roman"/>
        </w:rPr>
      </w:pPr>
      <w:bookmarkStart w:id="132" w:name="_Toc3856"/>
      <w:bookmarkStart w:id="133" w:name="_Toc14672"/>
      <w:bookmarkStart w:id="134" w:name="_Toc67315611"/>
      <w:r>
        <w:rPr>
          <w:rFonts w:cs="Times New Roman"/>
        </w:rPr>
        <w:t>（二）存在的问题及原因分析</w:t>
      </w:r>
      <w:bookmarkEnd w:id="132"/>
      <w:bookmarkEnd w:id="133"/>
      <w:bookmarkEnd w:id="134"/>
    </w:p>
    <w:p>
      <w:pPr>
        <w:pStyle w:val="2"/>
        <w:ind w:firstLine="560"/>
        <w:rPr>
          <w:rFonts w:cs="Times New Roman"/>
        </w:rPr>
      </w:pPr>
      <w:r>
        <w:rPr>
          <w:rFonts w:cs="Times New Roman"/>
        </w:rPr>
        <w:t>从评价结果看，资金使用效果较明显，充分发挥出专项资金的使用效益。但在项目立项、</w:t>
      </w:r>
      <w:r>
        <w:rPr>
          <w:rFonts w:hint="eastAsia" w:cs="Times New Roman"/>
        </w:rPr>
        <w:t>业务</w:t>
      </w:r>
      <w:r>
        <w:rPr>
          <w:rFonts w:cs="Times New Roman"/>
        </w:rPr>
        <w:t>管理、合同管理等方面还存在一些问题。主要有以下几个方面：</w:t>
      </w:r>
    </w:p>
    <w:p>
      <w:pPr>
        <w:pStyle w:val="5"/>
        <w:ind w:firstLine="562"/>
        <w:rPr>
          <w:rFonts w:cs="Times New Roman"/>
        </w:rPr>
      </w:pPr>
      <w:bookmarkStart w:id="135" w:name="_Toc12876"/>
      <w:bookmarkStart w:id="136" w:name="_Toc17369"/>
      <w:r>
        <w:rPr>
          <w:rFonts w:hint="eastAsia" w:cs="Times New Roman"/>
        </w:rPr>
        <w:t>1.项目立项管理有待加强</w:t>
      </w:r>
      <w:bookmarkEnd w:id="135"/>
      <w:bookmarkEnd w:id="136"/>
    </w:p>
    <w:p>
      <w:pPr>
        <w:pStyle w:val="2"/>
        <w:ind w:firstLine="560"/>
        <w:rPr>
          <w:rFonts w:cs="Times New Roman"/>
        </w:rPr>
      </w:pPr>
      <w:r>
        <w:rPr>
          <w:rFonts w:cs="Times New Roman"/>
        </w:rPr>
        <w:t>该大队未提供项目前期调研及有效论证，缺少项目建议书、可行性研究报告及风险评估；未对工程施工对环境的影响进行分析评判，缺少相关应急措施。</w:t>
      </w:r>
    </w:p>
    <w:p>
      <w:pPr>
        <w:pStyle w:val="5"/>
        <w:ind w:firstLine="562"/>
        <w:rPr>
          <w:rFonts w:cs="Times New Roman"/>
        </w:rPr>
      </w:pPr>
      <w:bookmarkStart w:id="137" w:name="_Toc32605"/>
      <w:bookmarkStart w:id="138" w:name="_Toc25231"/>
      <w:r>
        <w:rPr>
          <w:rFonts w:hint="eastAsia" w:cs="Times New Roman"/>
          <w:lang w:val="en-US" w:eastAsia="zh-CN"/>
        </w:rPr>
        <w:t>2</w:t>
      </w:r>
      <w:r>
        <w:rPr>
          <w:rFonts w:hint="eastAsia" w:cs="Times New Roman"/>
        </w:rPr>
        <w:t>.业务管理不到位</w:t>
      </w:r>
      <w:bookmarkEnd w:id="137"/>
      <w:bookmarkEnd w:id="138"/>
    </w:p>
    <w:p>
      <w:pPr>
        <w:pStyle w:val="2"/>
        <w:ind w:firstLine="560"/>
        <w:rPr>
          <w:rFonts w:cs="Times New Roman"/>
        </w:rPr>
      </w:pPr>
      <w:r>
        <w:rPr>
          <w:rFonts w:cs="Times New Roman"/>
        </w:rPr>
        <w:t>在该大队提供的制度资料里</w:t>
      </w:r>
      <w:r>
        <w:rPr>
          <w:rFonts w:hint="eastAsia" w:cs="Times New Roman"/>
        </w:rPr>
        <w:t>，</w:t>
      </w:r>
      <w:r>
        <w:rPr>
          <w:rFonts w:cs="Times New Roman"/>
        </w:rPr>
        <w:t>项目预算</w:t>
      </w:r>
      <w:r>
        <w:rPr>
          <w:rFonts w:hint="eastAsia" w:cs="Times New Roman"/>
        </w:rPr>
        <w:t>、</w:t>
      </w:r>
      <w:r>
        <w:rPr>
          <w:rFonts w:cs="Times New Roman"/>
        </w:rPr>
        <w:t>财务</w:t>
      </w:r>
      <w:r>
        <w:rPr>
          <w:rFonts w:hint="eastAsia" w:cs="Times New Roman"/>
        </w:rPr>
        <w:t>、内部控制</w:t>
      </w:r>
      <w:r>
        <w:rPr>
          <w:rFonts w:cs="Times New Roman"/>
        </w:rPr>
        <w:t>机制不健全，未建立专门的项目管理制度，缺少对项目管理过程中关键点的分析，未对</w:t>
      </w:r>
      <w:r>
        <w:rPr>
          <w:rFonts w:hint="eastAsia" w:cs="Times New Roman"/>
        </w:rPr>
        <w:t>该</w:t>
      </w:r>
      <w:r>
        <w:rPr>
          <w:rFonts w:cs="Times New Roman"/>
        </w:rPr>
        <w:t>项目预算执行情况进行分析总结，无法及时优化资金分配结构。</w:t>
      </w:r>
    </w:p>
    <w:p>
      <w:pPr>
        <w:pStyle w:val="5"/>
        <w:ind w:firstLine="562"/>
        <w:rPr>
          <w:rFonts w:cs="Times New Roman"/>
        </w:rPr>
      </w:pPr>
      <w:bookmarkStart w:id="139" w:name="_Toc22374"/>
      <w:bookmarkStart w:id="140" w:name="_Toc5637"/>
      <w:r>
        <w:rPr>
          <w:rFonts w:hint="eastAsia" w:cs="Times New Roman"/>
          <w:lang w:val="en-US" w:eastAsia="zh-CN"/>
        </w:rPr>
        <w:t>3</w:t>
      </w:r>
      <w:r>
        <w:rPr>
          <w:rFonts w:hint="eastAsia" w:cs="Times New Roman"/>
        </w:rPr>
        <w:t>.合同管理规范性有待加强</w:t>
      </w:r>
      <w:bookmarkEnd w:id="139"/>
      <w:bookmarkEnd w:id="140"/>
    </w:p>
    <w:p>
      <w:pPr>
        <w:pStyle w:val="2"/>
        <w:ind w:firstLine="560"/>
        <w:rPr>
          <w:rFonts w:cs="Times New Roman"/>
          <w:highlight w:val="yellow"/>
        </w:rPr>
      </w:pPr>
      <w:r>
        <w:rPr>
          <w:rFonts w:cs="Times New Roman"/>
        </w:rPr>
        <w:t>在档案检查过程中，评价小组发现</w:t>
      </w:r>
      <w:r>
        <w:rPr>
          <w:rFonts w:hint="eastAsia" w:cs="Times New Roman"/>
        </w:rPr>
        <w:t>漯河经济技术开发区城市管理执法大队</w:t>
      </w:r>
      <w:r>
        <w:rPr>
          <w:rFonts w:cs="Times New Roman"/>
        </w:rPr>
        <w:t>签订的合同存在部分问题：合同要素填写不完整</w:t>
      </w:r>
      <w:r>
        <w:rPr>
          <w:rFonts w:hint="eastAsia" w:cs="Times New Roman"/>
        </w:rPr>
        <w:t>（</w:t>
      </w:r>
      <w:r>
        <w:rPr>
          <w:rFonts w:cs="Times New Roman"/>
        </w:rPr>
        <w:t>例如</w:t>
      </w:r>
      <w:r>
        <w:rPr>
          <w:rFonts w:hint="eastAsia" w:cs="Times New Roman"/>
        </w:rPr>
        <w:t>：</w:t>
      </w:r>
      <w:r>
        <w:rPr>
          <w:rFonts w:cs="Times New Roman"/>
        </w:rPr>
        <w:t>缺少开工竣工日期</w:t>
      </w:r>
      <w:r>
        <w:rPr>
          <w:rFonts w:hint="eastAsia" w:cs="Times New Roman"/>
        </w:rPr>
        <w:t>，</w:t>
      </w:r>
      <w:r>
        <w:rPr>
          <w:rFonts w:cs="Times New Roman"/>
        </w:rPr>
        <w:t>缺少签约日期，合同专用条款要素未填写等</w:t>
      </w:r>
      <w:r>
        <w:rPr>
          <w:rFonts w:hint="eastAsia" w:cs="Times New Roman"/>
        </w:rPr>
        <w:t>），</w:t>
      </w:r>
      <w:r>
        <w:rPr>
          <w:rFonts w:cs="Times New Roman"/>
        </w:rPr>
        <w:t>缺少质保条款，支付条款约定</w:t>
      </w:r>
      <w:r>
        <w:rPr>
          <w:rFonts w:hint="eastAsia" w:cs="Times New Roman"/>
        </w:rPr>
        <w:t>与</w:t>
      </w:r>
      <w:r>
        <w:rPr>
          <w:rFonts w:cs="Times New Roman"/>
        </w:rPr>
        <w:t>批复不一致</w:t>
      </w:r>
      <w:r>
        <w:rPr>
          <w:rFonts w:hint="eastAsia" w:cs="Times New Roman"/>
        </w:rPr>
        <w:t>（</w:t>
      </w:r>
      <w:r>
        <w:rPr>
          <w:rFonts w:cs="Times New Roman"/>
        </w:rPr>
        <w:t>批复中第一次付款条件是工程过半验收合格</w:t>
      </w:r>
      <w:r>
        <w:rPr>
          <w:rFonts w:hint="eastAsia" w:cs="Times New Roman"/>
        </w:rPr>
        <w:t>，</w:t>
      </w:r>
      <w:r>
        <w:rPr>
          <w:rFonts w:cs="Times New Roman"/>
        </w:rPr>
        <w:t>合同约定是工程量清单面积过半</w:t>
      </w:r>
      <w:r>
        <w:rPr>
          <w:rFonts w:hint="eastAsia" w:cs="Times New Roman"/>
        </w:rPr>
        <w:t>）</w:t>
      </w:r>
      <w:r>
        <w:rPr>
          <w:rFonts w:cs="Times New Roman"/>
        </w:rPr>
        <w:t>，收款账号信息缺失</w:t>
      </w:r>
      <w:r>
        <w:rPr>
          <w:rFonts w:hint="eastAsia" w:cs="Times New Roman"/>
        </w:rPr>
        <w:t>，未有效进行合同履约监管（未及时督促合同相对方按照合同约定内容进行履约）</w:t>
      </w:r>
      <w:r>
        <w:rPr>
          <w:rFonts w:cs="Times New Roman"/>
        </w:rPr>
        <w:t>等问题，以上合同签订过程中存在的问题都有可能给</w:t>
      </w:r>
      <w:r>
        <w:rPr>
          <w:rFonts w:hint="eastAsia" w:cs="Times New Roman"/>
        </w:rPr>
        <w:t>漯河经济技术开发区城市管理执法大队</w:t>
      </w:r>
      <w:r>
        <w:rPr>
          <w:rFonts w:cs="Times New Roman"/>
        </w:rPr>
        <w:t>带来风险。</w:t>
      </w:r>
    </w:p>
    <w:p>
      <w:pPr>
        <w:pStyle w:val="3"/>
        <w:rPr>
          <w:rFonts w:cs="Times New Roman"/>
        </w:rPr>
      </w:pPr>
      <w:bookmarkStart w:id="141" w:name="_Toc67315612"/>
      <w:bookmarkStart w:id="142" w:name="_Toc18846"/>
      <w:bookmarkStart w:id="143" w:name="_Toc24142"/>
      <w:r>
        <w:rPr>
          <w:rFonts w:cs="Times New Roman"/>
        </w:rPr>
        <w:t>六、有关建议</w:t>
      </w:r>
      <w:bookmarkEnd w:id="141"/>
      <w:bookmarkEnd w:id="142"/>
      <w:bookmarkEnd w:id="143"/>
    </w:p>
    <w:p>
      <w:pPr>
        <w:pStyle w:val="2"/>
        <w:ind w:firstLine="560"/>
        <w:rPr>
          <w:rFonts w:cs="Times New Roman"/>
        </w:rPr>
      </w:pPr>
      <w:r>
        <w:rPr>
          <w:rFonts w:cs="Times New Roman"/>
        </w:rPr>
        <w:t>在今后的工作的工作开展中，应严格按照预算绩效管理规定，进一步强化资金监管、提升项目管理、疏堵管理漏洞，切实将预算绩效管理各项改革任务落到实处，全面提升财政资金使用绩效。建议从以下几点提升：</w:t>
      </w:r>
    </w:p>
    <w:p>
      <w:pPr>
        <w:pStyle w:val="5"/>
        <w:ind w:firstLine="562"/>
        <w:rPr>
          <w:rFonts w:cs="Times New Roman"/>
        </w:rPr>
      </w:pPr>
      <w:bookmarkStart w:id="144" w:name="_Toc12033"/>
      <w:bookmarkStart w:id="145" w:name="_Toc6164"/>
      <w:bookmarkStart w:id="146" w:name="_Toc67315613"/>
      <w:r>
        <w:rPr>
          <w:rFonts w:hint="eastAsia" w:cs="Times New Roman"/>
        </w:rPr>
        <w:t>1.加强项目立项管理</w:t>
      </w:r>
      <w:bookmarkEnd w:id="144"/>
      <w:bookmarkEnd w:id="145"/>
      <w:bookmarkEnd w:id="146"/>
    </w:p>
    <w:p>
      <w:pPr>
        <w:pStyle w:val="2"/>
        <w:ind w:firstLine="560"/>
        <w:rPr>
          <w:rFonts w:cs="Times New Roman"/>
        </w:rPr>
      </w:pPr>
      <w:r>
        <w:rPr>
          <w:rFonts w:cs="Times New Roman"/>
        </w:rPr>
        <w:t>部门项目立项时制定可行性研究报告，对项目实施过程中可能遇到的风险进行充分评估，并制定完善的防控措施，做到立项依据充分，进行完善的前期调研及有效论证，制作项目建议书、可行性研究报告及风险评估。</w:t>
      </w:r>
    </w:p>
    <w:p>
      <w:pPr>
        <w:pStyle w:val="5"/>
        <w:ind w:firstLine="562"/>
        <w:rPr>
          <w:rFonts w:cs="Times New Roman"/>
        </w:rPr>
      </w:pPr>
      <w:bookmarkStart w:id="147" w:name="_Toc9737"/>
      <w:bookmarkStart w:id="148" w:name="_Toc67315615"/>
      <w:bookmarkStart w:id="149" w:name="_Toc32499"/>
      <w:r>
        <w:rPr>
          <w:rFonts w:hint="eastAsia" w:cs="Times New Roman"/>
          <w:lang w:val="en-US" w:eastAsia="zh-CN"/>
        </w:rPr>
        <w:t>2</w:t>
      </w:r>
      <w:r>
        <w:rPr>
          <w:rFonts w:hint="eastAsia" w:cs="Times New Roman"/>
        </w:rPr>
        <w:t>.完善项目过程管理</w:t>
      </w:r>
      <w:bookmarkEnd w:id="147"/>
      <w:bookmarkEnd w:id="148"/>
      <w:bookmarkEnd w:id="149"/>
    </w:p>
    <w:p>
      <w:pPr>
        <w:pStyle w:val="2"/>
        <w:ind w:firstLine="560"/>
        <w:rPr>
          <w:rFonts w:cs="Times New Roman"/>
        </w:rPr>
      </w:pPr>
      <w:r>
        <w:rPr>
          <w:rFonts w:cs="Times New Roman"/>
        </w:rPr>
        <w:t>根据部门重点项目实施情况，建立项目管理体制，对项目实施过程中的关键节点进行分析和把控，引入科学先进的项目管理理念，优化项目管理方案，做到综合利用资源，高质量、高效益的完成项目实施。</w:t>
      </w:r>
      <w:bookmarkStart w:id="150" w:name="_Toc28234"/>
    </w:p>
    <w:p>
      <w:pPr>
        <w:pStyle w:val="5"/>
        <w:ind w:firstLine="562"/>
      </w:pPr>
      <w:bookmarkStart w:id="151" w:name="_Toc14967"/>
      <w:r>
        <w:rPr>
          <w:rFonts w:hint="eastAsia"/>
          <w:lang w:val="en-US" w:eastAsia="zh-CN"/>
        </w:rPr>
        <w:t>3</w:t>
      </w:r>
      <w:r>
        <w:rPr>
          <w:rFonts w:hint="eastAsia"/>
        </w:rPr>
        <w:t>.加强合同管理</w:t>
      </w:r>
      <w:bookmarkEnd w:id="150"/>
      <w:bookmarkEnd w:id="151"/>
    </w:p>
    <w:p>
      <w:pPr>
        <w:pStyle w:val="2"/>
        <w:ind w:firstLine="560"/>
        <w:rPr>
          <w:rFonts w:cs="Times New Roman"/>
        </w:rPr>
      </w:pPr>
      <w:r>
        <w:rPr>
          <w:rFonts w:cs="Times New Roman"/>
        </w:rPr>
        <w:t>建立和健全公司的合同管理管理体系及合同管理规章制度；塑造合同书意识，提升合同书观念；制定标准化合同条款，降低合同风险；规范合同的内控管理，以预防风险为目的，做到管理过程有据可依、有章可循、权责明确，有效强化管理力度；提高合同执行质量，为全面提升</w:t>
      </w:r>
      <w:r>
        <w:rPr>
          <w:rFonts w:hint="eastAsia" w:cs="Times New Roman"/>
        </w:rPr>
        <w:t>业务</w:t>
      </w:r>
      <w:r>
        <w:rPr>
          <w:rFonts w:cs="Times New Roman"/>
        </w:rPr>
        <w:t>管理水平提供保障。</w:t>
      </w:r>
      <w:bookmarkStart w:id="152" w:name="_Toc11052"/>
      <w:bookmarkStart w:id="153" w:name="_Toc67315616"/>
    </w:p>
    <w:p>
      <w:pPr>
        <w:pStyle w:val="3"/>
      </w:pPr>
      <w:bookmarkStart w:id="154" w:name="_Toc29783"/>
      <w:r>
        <w:t>七、其他需要说明的问题</w:t>
      </w:r>
      <w:bookmarkEnd w:id="152"/>
      <w:bookmarkEnd w:id="153"/>
      <w:bookmarkEnd w:id="154"/>
    </w:p>
    <w:p>
      <w:pPr>
        <w:pStyle w:val="2"/>
        <w:ind w:firstLine="560"/>
        <w:rPr>
          <w:rFonts w:cs="Times New Roman"/>
        </w:rPr>
        <w:sectPr>
          <w:headerReference r:id="rId13" w:type="first"/>
          <w:footerReference r:id="rId15" w:type="first"/>
          <w:footerReference r:id="rId14" w:type="default"/>
          <w:pgSz w:w="11906" w:h="16838"/>
          <w:pgMar w:top="1440" w:right="1800" w:bottom="1440" w:left="1800" w:header="851" w:footer="992" w:gutter="0"/>
          <w:cols w:space="425" w:num="1"/>
          <w:titlePg/>
          <w:docGrid w:type="lines" w:linePitch="435" w:charSpace="0"/>
        </w:sectPr>
      </w:pPr>
      <w:r>
        <w:rPr>
          <w:rFonts w:cs="Times New Roman"/>
        </w:rPr>
        <w:t>本绩效评估报告的绩效评估指标体系采纳《河南省省级预算绩效评价管理办法》中“省级财政预算项目绩效评价指标体系”的主要框架和重要指标，并根据项目的个性化情况，对部分指标进行了合理的修改和补充。</w:t>
      </w:r>
    </w:p>
    <w:p>
      <w:pPr>
        <w:pStyle w:val="3"/>
        <w:rPr>
          <w:rFonts w:cs="Times New Roman"/>
        </w:rPr>
      </w:pPr>
      <w:bookmarkStart w:id="155" w:name="_Toc32010"/>
      <w:bookmarkStart w:id="156" w:name="_Toc67315617"/>
      <w:bookmarkStart w:id="157" w:name="_Toc16674"/>
      <w:r>
        <w:rPr>
          <w:rFonts w:cs="Times New Roman"/>
        </w:rPr>
        <w:t>八、附件</w:t>
      </w:r>
      <w:bookmarkEnd w:id="155"/>
      <w:bookmarkEnd w:id="156"/>
      <w:bookmarkEnd w:id="157"/>
    </w:p>
    <w:p>
      <w:pPr>
        <w:pStyle w:val="2"/>
        <w:ind w:firstLine="560"/>
        <w:rPr>
          <w:rFonts w:cs="Times New Roman"/>
        </w:rPr>
      </w:pPr>
      <w:r>
        <w:rPr>
          <w:rFonts w:cs="Times New Roman"/>
        </w:rPr>
        <w:t>附件1：</w:t>
      </w:r>
      <w:r>
        <w:rPr>
          <w:rFonts w:hint="eastAsia" w:cs="Times New Roman"/>
        </w:rPr>
        <w:t>漯河经济技术开发区城市管理执法大队</w:t>
      </w:r>
      <w:r>
        <w:rPr>
          <w:rFonts w:cs="Times New Roman"/>
        </w:rPr>
        <w:t>预算项目绩效目标申报表</w:t>
      </w:r>
    </w:p>
    <w:p>
      <w:pPr>
        <w:pStyle w:val="2"/>
        <w:ind w:firstLine="560"/>
        <w:rPr>
          <w:rFonts w:cs="Times New Roman"/>
        </w:rPr>
      </w:pPr>
      <w:r>
        <w:rPr>
          <w:rFonts w:cs="Times New Roman"/>
        </w:rPr>
        <w:t>附件2：</w:t>
      </w:r>
      <w:r>
        <w:rPr>
          <w:rFonts w:hint="eastAsia" w:cs="Times New Roman"/>
        </w:rPr>
        <w:t>漯河经济技术开发区城市管理执法大队</w:t>
      </w:r>
      <w:r>
        <w:rPr>
          <w:rFonts w:cs="Times New Roman"/>
        </w:rPr>
        <w:t>“</w:t>
      </w:r>
      <w:r>
        <w:rPr>
          <w:rFonts w:hint="eastAsia" w:cs="Times New Roman"/>
        </w:rPr>
        <w:t>**项目</w:t>
      </w:r>
      <w:r>
        <w:rPr>
          <w:rFonts w:cs="Times New Roman"/>
        </w:rPr>
        <w:t>”项目支出绩效评价指标体系</w:t>
      </w:r>
    </w:p>
    <w:p>
      <w:pPr>
        <w:pStyle w:val="2"/>
        <w:ind w:firstLine="560"/>
        <w:rPr>
          <w:rFonts w:cs="Times New Roman"/>
        </w:rPr>
      </w:pPr>
      <w:r>
        <w:rPr>
          <w:rFonts w:cs="Times New Roman"/>
        </w:rPr>
        <w:t>附件3：</w:t>
      </w:r>
      <w:r>
        <w:rPr>
          <w:rFonts w:hint="eastAsia" w:cs="Times New Roman"/>
        </w:rPr>
        <w:t>漯河经济技术开发区城市管理执法大队</w:t>
      </w:r>
      <w:r>
        <w:rPr>
          <w:rFonts w:cs="Times New Roman"/>
        </w:rPr>
        <w:t>“</w:t>
      </w:r>
      <w:r>
        <w:rPr>
          <w:rFonts w:hint="eastAsia" w:cs="Times New Roman"/>
        </w:rPr>
        <w:t>**项目</w:t>
      </w:r>
      <w:r>
        <w:rPr>
          <w:rFonts w:cs="Times New Roman"/>
        </w:rPr>
        <w:t>”项目支出绩效评价指标得分情况分布图</w:t>
      </w:r>
    </w:p>
    <w:p>
      <w:pPr>
        <w:pStyle w:val="2"/>
        <w:ind w:firstLine="560"/>
        <w:rPr>
          <w:rFonts w:cs="Times New Roman"/>
        </w:rPr>
      </w:pPr>
      <w:r>
        <w:rPr>
          <w:rFonts w:cs="Times New Roman"/>
        </w:rPr>
        <w:t>附件4：绩效评价小组人员签字表</w:t>
      </w:r>
    </w:p>
    <w:p>
      <w:pPr>
        <w:pStyle w:val="2"/>
        <w:ind w:firstLine="560"/>
        <w:rPr>
          <w:rFonts w:cs="Times New Roman"/>
        </w:rPr>
      </w:pPr>
      <w:r>
        <w:rPr>
          <w:rFonts w:cs="Times New Roman"/>
        </w:rPr>
        <w:t>附件5：问卷调查内容</w:t>
      </w:r>
    </w:p>
    <w:sectPr>
      <w:pgSz w:w="11906" w:h="16838"/>
      <w:pgMar w:top="1440" w:right="1800" w:bottom="1440" w:left="1800" w:header="851" w:footer="992" w:gutter="0"/>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320" w:right="320"/>
      </w:pPr>
      <w:r>
        <w:separator/>
      </w:r>
    </w:p>
  </w:endnote>
  <w:endnote w:type="continuationSeparator" w:id="1">
    <w:p>
      <w:pPr>
        <w:spacing w:line="240" w:lineRule="auto"/>
        <w:ind w:left="320" w:right="3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Segoe UI Symbol">
    <w:panose1 w:val="020B0502040204020203"/>
    <w:charset w:val="00"/>
    <w:family w:val="swiss"/>
    <w:pitch w:val="default"/>
    <w:sig w:usb0="8000006F" w:usb1="1200FBEF" w:usb2="0064C000" w:usb3="00000002" w:csb0="00000001" w:csb1="40000000"/>
  </w:font>
  <w:font w:name="方正粗黑宋简体">
    <w:altName w:val="宋体"/>
    <w:panose1 w:val="00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thinThickSmallGap" w:color="auto" w:sz="24" w:space="1"/>
      </w:pBdr>
      <w:spacing w:line="240" w:lineRule="auto"/>
      <w:ind w:left="0" w:leftChars="0" w:right="0" w:rightChars="0"/>
      <w:rPr>
        <w:rFonts w:ascii="Times New Roman" w:hAnsi="Times New Roman" w:eastAsia="仿宋" w:cs="Times New Roman"/>
        <w:b/>
        <w:bCs/>
        <w:sz w:val="21"/>
        <w:szCs w:val="21"/>
      </w:rPr>
    </w:pPr>
    <w:r>
      <w:rPr>
        <w:rFonts w:hint="eastAsia" w:ascii="仿宋" w:hAnsi="仿宋" w:eastAsia="仿宋" w:cs="Times New Roman"/>
        <w:b/>
        <w:bCs/>
        <w:kern w:val="0"/>
        <w:sz w:val="21"/>
        <w:szCs w:val="21"/>
      </w:rPr>
      <w:t>河南新卓房地产评估有限公司</w:t>
    </w:r>
    <w:r>
      <w:rPr>
        <w:rFonts w:ascii="仿宋" w:hAnsi="仿宋" w:eastAsia="仿宋"/>
        <w:b/>
        <w:bCs/>
        <w:sz w:val="21"/>
        <w:szCs w:val="21"/>
      </w:rPr>
      <w:ptab w:relativeTo="margin" w:alignment="center" w:leader="none"/>
    </w:r>
    <w:r>
      <w:rPr>
        <w:rFonts w:ascii="仿宋" w:hAnsi="仿宋" w:eastAsia="仿宋"/>
        <w:b/>
        <w:bCs/>
        <w:sz w:val="21"/>
        <w:szCs w:val="21"/>
      </w:rPr>
      <w:ptab w:relativeTo="margin" w:alignment="right" w:leader="none"/>
    </w:r>
    <w:r>
      <w:rPr>
        <w:rFonts w:ascii="Times New Roman" w:hAnsi="Times New Roman" w:eastAsia="仿宋" w:cs="Times New Roman"/>
        <w:b/>
        <w:bCs/>
        <w:sz w:val="21"/>
        <w:szCs w:val="21"/>
      </w:rPr>
      <w:fldChar w:fldCharType="begin"/>
    </w:r>
    <w:r>
      <w:rPr>
        <w:rFonts w:ascii="Times New Roman" w:hAnsi="Times New Roman" w:eastAsia="仿宋" w:cs="Times New Roman"/>
        <w:b/>
        <w:bCs/>
        <w:sz w:val="21"/>
        <w:szCs w:val="21"/>
      </w:rPr>
      <w:instrText xml:space="preserve">PAGE   \* MERGEFORMAT</w:instrText>
    </w:r>
    <w:r>
      <w:rPr>
        <w:rFonts w:ascii="Times New Roman" w:hAnsi="Times New Roman" w:eastAsia="仿宋" w:cs="Times New Roman"/>
        <w:b/>
        <w:bCs/>
        <w:sz w:val="21"/>
        <w:szCs w:val="21"/>
      </w:rPr>
      <w:fldChar w:fldCharType="separate"/>
    </w:r>
    <w:r>
      <w:rPr>
        <w:rFonts w:ascii="Times New Roman" w:hAnsi="Times New Roman" w:eastAsia="仿宋" w:cs="Times New Roman"/>
        <w:b/>
        <w:bCs/>
        <w:sz w:val="21"/>
        <w:szCs w:val="21"/>
        <w:lang w:val="zh-CN"/>
      </w:rPr>
      <w:t>VI</w:t>
    </w:r>
    <w:r>
      <w:rPr>
        <w:rFonts w:ascii="Times New Roman" w:hAnsi="Times New Roman" w:eastAsia="仿宋" w:cs="Times New Roman"/>
        <w:b/>
        <w:bCs/>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Chars="0" w:right="3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thinThickSmallGap" w:color="auto" w:sz="24" w:space="1"/>
      </w:pBdr>
      <w:spacing w:line="240" w:lineRule="auto"/>
      <w:ind w:left="0" w:leftChars="0" w:right="0" w:rightChars="0"/>
    </w:pPr>
    <w:r>
      <w:rPr>
        <w:rFonts w:hint="eastAsia" w:ascii="仿宋" w:hAnsi="仿宋" w:eastAsia="仿宋" w:cs="Times New Roman"/>
        <w:b/>
        <w:bCs/>
        <w:kern w:val="0"/>
        <w:sz w:val="21"/>
        <w:szCs w:val="21"/>
      </w:rPr>
      <w:t>河南新卓房地产评估有限公司</w:t>
    </w:r>
    <w:r>
      <w:rPr>
        <w:rFonts w:ascii="仿宋" w:hAnsi="仿宋" w:eastAsia="仿宋"/>
        <w:b/>
        <w:bCs/>
        <w:sz w:val="21"/>
        <w:szCs w:val="21"/>
      </w:rPr>
      <w:ptab w:relativeTo="margin" w:alignment="center" w:leader="none"/>
    </w:r>
    <w:r>
      <w:rPr>
        <w:rFonts w:ascii="仿宋" w:hAnsi="仿宋" w:eastAsia="仿宋"/>
        <w:b/>
        <w:bCs/>
        <w:sz w:val="21"/>
        <w:szCs w:val="21"/>
      </w:rPr>
      <w:ptab w:relativeTo="margin" w:alignment="right" w:leader="none"/>
    </w:r>
    <w:r>
      <w:rPr>
        <w:rFonts w:ascii="Times New Roman" w:hAnsi="Times New Roman" w:eastAsia="仿宋" w:cs="Times New Roman"/>
        <w:b/>
        <w:bCs/>
        <w:sz w:val="21"/>
        <w:szCs w:val="21"/>
      </w:rPr>
      <w:fldChar w:fldCharType="begin"/>
    </w:r>
    <w:r>
      <w:rPr>
        <w:rFonts w:ascii="Times New Roman" w:hAnsi="Times New Roman" w:eastAsia="仿宋" w:cs="Times New Roman"/>
        <w:b/>
        <w:bCs/>
        <w:sz w:val="21"/>
        <w:szCs w:val="21"/>
      </w:rPr>
      <w:instrText xml:space="preserve">PAGE   \* MERGEFORMAT</w:instrText>
    </w:r>
    <w:r>
      <w:rPr>
        <w:rFonts w:ascii="Times New Roman" w:hAnsi="Times New Roman" w:eastAsia="仿宋" w:cs="Times New Roman"/>
        <w:b/>
        <w:bCs/>
        <w:sz w:val="21"/>
        <w:szCs w:val="21"/>
      </w:rPr>
      <w:fldChar w:fldCharType="separate"/>
    </w:r>
    <w:r>
      <w:rPr>
        <w:rFonts w:ascii="Times New Roman" w:hAnsi="Times New Roman" w:eastAsia="仿宋" w:cs="Times New Roman"/>
        <w:b/>
        <w:bCs/>
        <w:sz w:val="21"/>
        <w:szCs w:val="21"/>
      </w:rPr>
      <w:t>I</w:t>
    </w:r>
    <w:r>
      <w:rPr>
        <w:rFonts w:ascii="Times New Roman" w:hAnsi="Times New Roman" w:eastAsia="仿宋" w:cs="Times New Roman"/>
        <w:b/>
        <w:bCs/>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thinThickSmallGap" w:color="auto" w:sz="24" w:space="1"/>
      </w:pBdr>
      <w:spacing w:line="240" w:lineRule="auto"/>
      <w:ind w:left="0" w:leftChars="0" w:right="0" w:rightChars="0"/>
      <w:rPr>
        <w:rFonts w:ascii="Times New Roman" w:hAnsi="Times New Roman" w:eastAsia="仿宋" w:cs="Times New Roman"/>
        <w:b/>
        <w:bCs/>
        <w:sz w:val="21"/>
        <w:szCs w:val="21"/>
      </w:rPr>
    </w:pPr>
    <w:r>
      <w:rPr>
        <w:rFonts w:hint="eastAsia" w:ascii="仿宋" w:hAnsi="仿宋" w:eastAsia="仿宋" w:cs="Times New Roman"/>
        <w:b/>
        <w:bCs/>
        <w:kern w:val="0"/>
        <w:sz w:val="21"/>
        <w:szCs w:val="21"/>
      </w:rPr>
      <w:t>河南新卓房地产评估有限公司</w:t>
    </w:r>
    <w:r>
      <w:rPr>
        <w:rFonts w:ascii="仿宋" w:hAnsi="仿宋" w:eastAsia="仿宋"/>
        <w:b/>
        <w:bCs/>
        <w:sz w:val="21"/>
        <w:szCs w:val="21"/>
      </w:rPr>
      <w:ptab w:relativeTo="margin" w:alignment="center" w:leader="none"/>
    </w:r>
    <w:r>
      <w:rPr>
        <w:rFonts w:ascii="仿宋" w:hAnsi="仿宋" w:eastAsia="仿宋"/>
        <w:b/>
        <w:bCs/>
        <w:sz w:val="21"/>
        <w:szCs w:val="21"/>
      </w:rPr>
      <w:ptab w:relativeTo="margin" w:alignment="right" w:leader="none"/>
    </w:r>
    <w:r>
      <w:rPr>
        <w:rFonts w:ascii="Times New Roman" w:hAnsi="Times New Roman" w:eastAsia="仿宋" w:cs="Times New Roman"/>
        <w:b/>
        <w:bCs/>
        <w:sz w:val="21"/>
        <w:szCs w:val="21"/>
      </w:rPr>
      <w:fldChar w:fldCharType="begin"/>
    </w:r>
    <w:r>
      <w:rPr>
        <w:rFonts w:ascii="Times New Roman" w:hAnsi="Times New Roman" w:eastAsia="仿宋" w:cs="Times New Roman"/>
        <w:b/>
        <w:bCs/>
        <w:sz w:val="21"/>
        <w:szCs w:val="21"/>
      </w:rPr>
      <w:instrText xml:space="preserve">PAGE   \* MERGEFORMAT</w:instrText>
    </w:r>
    <w:r>
      <w:rPr>
        <w:rFonts w:ascii="Times New Roman" w:hAnsi="Times New Roman" w:eastAsia="仿宋" w:cs="Times New Roman"/>
        <w:b/>
        <w:bCs/>
        <w:sz w:val="21"/>
        <w:szCs w:val="21"/>
      </w:rPr>
      <w:fldChar w:fldCharType="separate"/>
    </w:r>
    <w:r>
      <w:rPr>
        <w:rFonts w:ascii="Times New Roman" w:hAnsi="Times New Roman" w:eastAsia="仿宋" w:cs="Times New Roman"/>
        <w:b/>
        <w:bCs/>
        <w:sz w:val="21"/>
        <w:szCs w:val="21"/>
      </w:rPr>
      <w:t>42</w:t>
    </w:r>
    <w:r>
      <w:rPr>
        <w:rFonts w:ascii="Times New Roman" w:hAnsi="Times New Roman" w:eastAsia="仿宋" w:cs="Times New Roman"/>
        <w:b/>
        <w:bCs/>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thinThickSmallGap" w:color="auto" w:sz="24" w:space="1"/>
      </w:pBdr>
      <w:spacing w:line="240" w:lineRule="auto"/>
      <w:ind w:left="0" w:leftChars="0" w:right="0" w:rightChars="0"/>
    </w:pPr>
    <w:r>
      <w:rPr>
        <w:rFonts w:hint="eastAsia" w:ascii="仿宋" w:hAnsi="仿宋" w:eastAsia="仿宋" w:cs="Times New Roman"/>
        <w:b/>
        <w:bCs/>
        <w:kern w:val="0"/>
        <w:sz w:val="21"/>
        <w:szCs w:val="21"/>
      </w:rPr>
      <w:t>河南新卓房地产评估有限公司</w:t>
    </w:r>
    <w:r>
      <w:rPr>
        <w:rFonts w:ascii="仿宋" w:hAnsi="仿宋" w:eastAsia="仿宋"/>
        <w:b/>
        <w:bCs/>
        <w:sz w:val="21"/>
        <w:szCs w:val="21"/>
      </w:rPr>
      <w:ptab w:relativeTo="margin" w:alignment="center" w:leader="none"/>
    </w:r>
    <w:r>
      <w:rPr>
        <w:rFonts w:ascii="仿宋" w:hAnsi="仿宋" w:eastAsia="仿宋"/>
        <w:b/>
        <w:bCs/>
        <w:sz w:val="21"/>
        <w:szCs w:val="21"/>
      </w:rPr>
      <w:ptab w:relativeTo="margin" w:alignment="right" w:leader="none"/>
    </w:r>
    <w:r>
      <w:rPr>
        <w:rFonts w:ascii="Times New Roman" w:hAnsi="Times New Roman" w:eastAsia="仿宋" w:cs="Times New Roman"/>
        <w:b/>
        <w:bCs/>
        <w:sz w:val="21"/>
        <w:szCs w:val="21"/>
      </w:rPr>
      <w:fldChar w:fldCharType="begin"/>
    </w:r>
    <w:r>
      <w:rPr>
        <w:rFonts w:ascii="Times New Roman" w:hAnsi="Times New Roman" w:eastAsia="仿宋" w:cs="Times New Roman"/>
        <w:b/>
        <w:bCs/>
        <w:sz w:val="21"/>
        <w:szCs w:val="21"/>
      </w:rPr>
      <w:instrText xml:space="preserve">PAGE   \* MERGEFORMAT</w:instrText>
    </w:r>
    <w:r>
      <w:rPr>
        <w:rFonts w:ascii="Times New Roman" w:hAnsi="Times New Roman" w:eastAsia="仿宋" w:cs="Times New Roman"/>
        <w:b/>
        <w:bCs/>
        <w:sz w:val="21"/>
        <w:szCs w:val="21"/>
      </w:rPr>
      <w:fldChar w:fldCharType="separate"/>
    </w:r>
    <w:r>
      <w:rPr>
        <w:rFonts w:ascii="Times New Roman" w:hAnsi="Times New Roman" w:eastAsia="仿宋" w:cs="Times New Roman"/>
        <w:b/>
        <w:bCs/>
        <w:sz w:val="21"/>
        <w:szCs w:val="21"/>
      </w:rPr>
      <w:t>48</w:t>
    </w:r>
    <w:r>
      <w:rPr>
        <w:rFonts w:ascii="Times New Roman" w:hAnsi="Times New Roman" w:eastAsia="仿宋" w:cs="Times New Roman"/>
        <w:b/>
        <w:bCs/>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left="320" w:right="320"/>
      </w:pPr>
      <w:r>
        <w:separator/>
      </w:r>
    </w:p>
  </w:footnote>
  <w:footnote w:type="continuationSeparator" w:id="1">
    <w:p>
      <w:pPr>
        <w:spacing w:line="360" w:lineRule="auto"/>
        <w:ind w:left="320" w:right="3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nThickSmallGap" w:color="auto" w:sz="24" w:space="1"/>
      </w:pBdr>
      <w:spacing w:line="240" w:lineRule="auto"/>
      <w:ind w:left="0" w:leftChars="0" w:right="0" w:rightChars="0"/>
      <w:rPr>
        <w:rFonts w:ascii="仿宋" w:hAnsi="仿宋" w:eastAsia="仿宋"/>
        <w:b/>
        <w:bCs/>
      </w:rPr>
    </w:pPr>
    <w:r>
      <w:rPr>
        <w:rFonts w:hint="eastAsia" w:ascii="仿宋" w:hAnsi="仿宋" w:eastAsia="仿宋"/>
        <w:b/>
        <w:bCs/>
        <w:sz w:val="21"/>
        <w:szCs w:val="21"/>
      </w:rPr>
      <w:t>门头改造工程项目支出绩效评价报告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ind w:right="3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nThickSmallGap" w:color="auto" w:sz="24" w:space="1"/>
      </w:pBdr>
      <w:spacing w:line="240" w:lineRule="auto"/>
      <w:ind w:left="0" w:leftChars="0" w:right="0" w:rightChars="0"/>
      <w:rPr>
        <w:rFonts w:ascii="仿宋" w:hAnsi="仿宋" w:eastAsia="仿宋"/>
        <w:b/>
        <w:bCs/>
      </w:rPr>
    </w:pPr>
    <w:r>
      <w:rPr>
        <w:rFonts w:hint="eastAsia" w:ascii="仿宋" w:hAnsi="仿宋" w:eastAsia="仿宋"/>
        <w:b/>
        <w:bCs/>
        <w:sz w:val="21"/>
        <w:szCs w:val="21"/>
      </w:rPr>
      <w:t>门头改造工程项目支出绩效评价报告</w:t>
    </w:r>
  </w:p>
  <w:p>
    <w:pPr>
      <w:pStyle w:val="17"/>
      <w:pBdr>
        <w:bottom w:val="none" w:color="auto" w:sz="0" w:space="1"/>
      </w:pBdr>
      <w:ind w:right="3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thinThickSmallGap" w:color="auto" w:sz="24" w:space="1"/>
      </w:pBdr>
      <w:tabs>
        <w:tab w:val="left" w:pos="7245"/>
      </w:tabs>
      <w:spacing w:line="240" w:lineRule="auto"/>
      <w:ind w:left="0" w:leftChars="0" w:right="0" w:rightChars="0"/>
      <w:jc w:val="left"/>
      <w:rPr>
        <w:b/>
        <w:bCs/>
      </w:rPr>
    </w:pPr>
    <w:r>
      <w:rPr>
        <w:b/>
        <w:bCs/>
      </w:rPr>
      <w:tab/>
    </w:r>
    <w:r>
      <w:rPr>
        <w:rFonts w:hint="eastAsia"/>
        <w:b/>
        <w:bCs/>
      </w:rPr>
      <w:t>门头改造工程项目支出绩效评价报告</w:t>
    </w:r>
    <w:r>
      <w:rPr>
        <w:b/>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D9DAD"/>
    <w:multiLevelType w:val="singleLevel"/>
    <w:tmpl w:val="00BD9DA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I2N2NlN2M3YjJkYjVhMDYxMWI2M2IzYzc0OGVmODMifQ=="/>
  </w:docVars>
  <w:rsids>
    <w:rsidRoot w:val="30D72258"/>
    <w:rsid w:val="0000045D"/>
    <w:rsid w:val="00000CE5"/>
    <w:rsid w:val="000022F7"/>
    <w:rsid w:val="00006847"/>
    <w:rsid w:val="00007371"/>
    <w:rsid w:val="00007E69"/>
    <w:rsid w:val="0001075B"/>
    <w:rsid w:val="000122B5"/>
    <w:rsid w:val="00012423"/>
    <w:rsid w:val="0001454F"/>
    <w:rsid w:val="00014F1B"/>
    <w:rsid w:val="00020FE2"/>
    <w:rsid w:val="00022936"/>
    <w:rsid w:val="00023F56"/>
    <w:rsid w:val="0002717C"/>
    <w:rsid w:val="0002750B"/>
    <w:rsid w:val="00030AED"/>
    <w:rsid w:val="00030C2B"/>
    <w:rsid w:val="00031AC4"/>
    <w:rsid w:val="00034765"/>
    <w:rsid w:val="000401D4"/>
    <w:rsid w:val="000413E2"/>
    <w:rsid w:val="00043E31"/>
    <w:rsid w:val="000452FA"/>
    <w:rsid w:val="00045C41"/>
    <w:rsid w:val="0005496A"/>
    <w:rsid w:val="00054C9A"/>
    <w:rsid w:val="00065919"/>
    <w:rsid w:val="0007327C"/>
    <w:rsid w:val="000751BC"/>
    <w:rsid w:val="00076042"/>
    <w:rsid w:val="00081084"/>
    <w:rsid w:val="00084360"/>
    <w:rsid w:val="000853C0"/>
    <w:rsid w:val="00090686"/>
    <w:rsid w:val="00090F9C"/>
    <w:rsid w:val="00096C35"/>
    <w:rsid w:val="000A0B1E"/>
    <w:rsid w:val="000A1F1A"/>
    <w:rsid w:val="000A3683"/>
    <w:rsid w:val="000A3ECB"/>
    <w:rsid w:val="000A7D4D"/>
    <w:rsid w:val="000B0478"/>
    <w:rsid w:val="000B0B53"/>
    <w:rsid w:val="000B0D7D"/>
    <w:rsid w:val="000B55DE"/>
    <w:rsid w:val="000B6512"/>
    <w:rsid w:val="000C083D"/>
    <w:rsid w:val="000C5730"/>
    <w:rsid w:val="000C7677"/>
    <w:rsid w:val="000C7CC9"/>
    <w:rsid w:val="000D2FA1"/>
    <w:rsid w:val="000D3358"/>
    <w:rsid w:val="000D7F61"/>
    <w:rsid w:val="000E18A6"/>
    <w:rsid w:val="000E39FD"/>
    <w:rsid w:val="000E47A0"/>
    <w:rsid w:val="000E74FE"/>
    <w:rsid w:val="000F113D"/>
    <w:rsid w:val="000F3282"/>
    <w:rsid w:val="000F4B18"/>
    <w:rsid w:val="000F7605"/>
    <w:rsid w:val="001000C7"/>
    <w:rsid w:val="001054DC"/>
    <w:rsid w:val="00105D1B"/>
    <w:rsid w:val="00122679"/>
    <w:rsid w:val="00122753"/>
    <w:rsid w:val="00122812"/>
    <w:rsid w:val="00126A9A"/>
    <w:rsid w:val="00130A72"/>
    <w:rsid w:val="001328D6"/>
    <w:rsid w:val="00137B2E"/>
    <w:rsid w:val="00140547"/>
    <w:rsid w:val="001425D7"/>
    <w:rsid w:val="00142D05"/>
    <w:rsid w:val="001437E3"/>
    <w:rsid w:val="001438C5"/>
    <w:rsid w:val="00144228"/>
    <w:rsid w:val="001454BF"/>
    <w:rsid w:val="00145B0B"/>
    <w:rsid w:val="00145D8A"/>
    <w:rsid w:val="00145F9F"/>
    <w:rsid w:val="00146BD5"/>
    <w:rsid w:val="00147BB7"/>
    <w:rsid w:val="00155381"/>
    <w:rsid w:val="00156E5B"/>
    <w:rsid w:val="00157F44"/>
    <w:rsid w:val="00161B55"/>
    <w:rsid w:val="00162EFC"/>
    <w:rsid w:val="00163ABB"/>
    <w:rsid w:val="00167D4A"/>
    <w:rsid w:val="00171094"/>
    <w:rsid w:val="00172B37"/>
    <w:rsid w:val="001746F2"/>
    <w:rsid w:val="00175856"/>
    <w:rsid w:val="001758FA"/>
    <w:rsid w:val="00176484"/>
    <w:rsid w:val="00180A0E"/>
    <w:rsid w:val="00184477"/>
    <w:rsid w:val="001845C9"/>
    <w:rsid w:val="00187AA9"/>
    <w:rsid w:val="001907B1"/>
    <w:rsid w:val="00192C11"/>
    <w:rsid w:val="00195176"/>
    <w:rsid w:val="00196DFC"/>
    <w:rsid w:val="001978B8"/>
    <w:rsid w:val="00197A7A"/>
    <w:rsid w:val="001A19D6"/>
    <w:rsid w:val="001A2FB6"/>
    <w:rsid w:val="001A4142"/>
    <w:rsid w:val="001A4305"/>
    <w:rsid w:val="001A6602"/>
    <w:rsid w:val="001A7E38"/>
    <w:rsid w:val="001B038D"/>
    <w:rsid w:val="001B184B"/>
    <w:rsid w:val="001B20C8"/>
    <w:rsid w:val="001B2481"/>
    <w:rsid w:val="001B39BE"/>
    <w:rsid w:val="001B66BB"/>
    <w:rsid w:val="001C0E1C"/>
    <w:rsid w:val="001C136B"/>
    <w:rsid w:val="001C149F"/>
    <w:rsid w:val="001C183A"/>
    <w:rsid w:val="001C2420"/>
    <w:rsid w:val="001C2809"/>
    <w:rsid w:val="001C3A26"/>
    <w:rsid w:val="001C3CB0"/>
    <w:rsid w:val="001C4D5C"/>
    <w:rsid w:val="001C59E6"/>
    <w:rsid w:val="001C6C1D"/>
    <w:rsid w:val="001C7559"/>
    <w:rsid w:val="001D35AA"/>
    <w:rsid w:val="001D572A"/>
    <w:rsid w:val="001D6F0C"/>
    <w:rsid w:val="001D7670"/>
    <w:rsid w:val="001E0D6A"/>
    <w:rsid w:val="001E27D4"/>
    <w:rsid w:val="001E6221"/>
    <w:rsid w:val="001F31CC"/>
    <w:rsid w:val="001F5DFB"/>
    <w:rsid w:val="001F66B0"/>
    <w:rsid w:val="00203AAC"/>
    <w:rsid w:val="00204270"/>
    <w:rsid w:val="00204E51"/>
    <w:rsid w:val="00213375"/>
    <w:rsid w:val="002138A9"/>
    <w:rsid w:val="00213ACE"/>
    <w:rsid w:val="00216862"/>
    <w:rsid w:val="0022208F"/>
    <w:rsid w:val="00224437"/>
    <w:rsid w:val="00224B40"/>
    <w:rsid w:val="00232BB9"/>
    <w:rsid w:val="00234A24"/>
    <w:rsid w:val="00234FA3"/>
    <w:rsid w:val="002401EB"/>
    <w:rsid w:val="002406B2"/>
    <w:rsid w:val="00242274"/>
    <w:rsid w:val="002433DD"/>
    <w:rsid w:val="00243C97"/>
    <w:rsid w:val="00245EF5"/>
    <w:rsid w:val="00246BA9"/>
    <w:rsid w:val="0025144B"/>
    <w:rsid w:val="0025174E"/>
    <w:rsid w:val="00251760"/>
    <w:rsid w:val="002523AF"/>
    <w:rsid w:val="00252470"/>
    <w:rsid w:val="00254050"/>
    <w:rsid w:val="00254A4E"/>
    <w:rsid w:val="00256271"/>
    <w:rsid w:val="00257793"/>
    <w:rsid w:val="00261757"/>
    <w:rsid w:val="002619D2"/>
    <w:rsid w:val="00262970"/>
    <w:rsid w:val="00267950"/>
    <w:rsid w:val="00267EBE"/>
    <w:rsid w:val="00276457"/>
    <w:rsid w:val="00276E39"/>
    <w:rsid w:val="00277882"/>
    <w:rsid w:val="0028478D"/>
    <w:rsid w:val="002921B7"/>
    <w:rsid w:val="00296EB5"/>
    <w:rsid w:val="002972FF"/>
    <w:rsid w:val="002976F3"/>
    <w:rsid w:val="002A27CE"/>
    <w:rsid w:val="002A3166"/>
    <w:rsid w:val="002A7934"/>
    <w:rsid w:val="002B36F1"/>
    <w:rsid w:val="002B4467"/>
    <w:rsid w:val="002B54C6"/>
    <w:rsid w:val="002C0F63"/>
    <w:rsid w:val="002C1D33"/>
    <w:rsid w:val="002C259E"/>
    <w:rsid w:val="002C3886"/>
    <w:rsid w:val="002C41CF"/>
    <w:rsid w:val="002E1AA9"/>
    <w:rsid w:val="002E23B6"/>
    <w:rsid w:val="002F0EB7"/>
    <w:rsid w:val="002F672E"/>
    <w:rsid w:val="002F6936"/>
    <w:rsid w:val="002F6DBE"/>
    <w:rsid w:val="00300AC7"/>
    <w:rsid w:val="00300B5C"/>
    <w:rsid w:val="0030251D"/>
    <w:rsid w:val="00305831"/>
    <w:rsid w:val="00307C78"/>
    <w:rsid w:val="00310CCD"/>
    <w:rsid w:val="00312563"/>
    <w:rsid w:val="00313AE4"/>
    <w:rsid w:val="00314DCC"/>
    <w:rsid w:val="003179C3"/>
    <w:rsid w:val="00317A22"/>
    <w:rsid w:val="00322351"/>
    <w:rsid w:val="0032327F"/>
    <w:rsid w:val="003242EF"/>
    <w:rsid w:val="00330F09"/>
    <w:rsid w:val="003349FD"/>
    <w:rsid w:val="00337211"/>
    <w:rsid w:val="003375ED"/>
    <w:rsid w:val="00342387"/>
    <w:rsid w:val="00342FF1"/>
    <w:rsid w:val="00343485"/>
    <w:rsid w:val="00344C1C"/>
    <w:rsid w:val="003479D5"/>
    <w:rsid w:val="00350A57"/>
    <w:rsid w:val="00355883"/>
    <w:rsid w:val="00360148"/>
    <w:rsid w:val="003622F3"/>
    <w:rsid w:val="003625DD"/>
    <w:rsid w:val="00362A67"/>
    <w:rsid w:val="00364599"/>
    <w:rsid w:val="00364B50"/>
    <w:rsid w:val="00366DB0"/>
    <w:rsid w:val="0037255C"/>
    <w:rsid w:val="00373A41"/>
    <w:rsid w:val="00374330"/>
    <w:rsid w:val="003760ED"/>
    <w:rsid w:val="003777C9"/>
    <w:rsid w:val="00377F2C"/>
    <w:rsid w:val="00381471"/>
    <w:rsid w:val="003828F5"/>
    <w:rsid w:val="003873CA"/>
    <w:rsid w:val="003877D0"/>
    <w:rsid w:val="003929F7"/>
    <w:rsid w:val="00396024"/>
    <w:rsid w:val="0039694A"/>
    <w:rsid w:val="0039768A"/>
    <w:rsid w:val="003A3DD0"/>
    <w:rsid w:val="003A3E9F"/>
    <w:rsid w:val="003A5CF8"/>
    <w:rsid w:val="003A646E"/>
    <w:rsid w:val="003B02D6"/>
    <w:rsid w:val="003B1DAB"/>
    <w:rsid w:val="003B3BB2"/>
    <w:rsid w:val="003B448B"/>
    <w:rsid w:val="003C151E"/>
    <w:rsid w:val="003C1F48"/>
    <w:rsid w:val="003C29E9"/>
    <w:rsid w:val="003C3FD7"/>
    <w:rsid w:val="003C7A2F"/>
    <w:rsid w:val="003C7DB8"/>
    <w:rsid w:val="003D22E8"/>
    <w:rsid w:val="003D5C97"/>
    <w:rsid w:val="003D6D14"/>
    <w:rsid w:val="003E5EA0"/>
    <w:rsid w:val="003F1B9C"/>
    <w:rsid w:val="003F4BD6"/>
    <w:rsid w:val="003F5E51"/>
    <w:rsid w:val="00400B8F"/>
    <w:rsid w:val="004030A5"/>
    <w:rsid w:val="00403F5A"/>
    <w:rsid w:val="00405A6C"/>
    <w:rsid w:val="00407266"/>
    <w:rsid w:val="0040741F"/>
    <w:rsid w:val="00410779"/>
    <w:rsid w:val="00411977"/>
    <w:rsid w:val="00411BAA"/>
    <w:rsid w:val="004120F1"/>
    <w:rsid w:val="00415E37"/>
    <w:rsid w:val="004164F7"/>
    <w:rsid w:val="004165FD"/>
    <w:rsid w:val="00420357"/>
    <w:rsid w:val="00420B9B"/>
    <w:rsid w:val="00423434"/>
    <w:rsid w:val="00433498"/>
    <w:rsid w:val="0043617C"/>
    <w:rsid w:val="00436841"/>
    <w:rsid w:val="00442232"/>
    <w:rsid w:val="004432D2"/>
    <w:rsid w:val="004468BC"/>
    <w:rsid w:val="00447DFF"/>
    <w:rsid w:val="00450D13"/>
    <w:rsid w:val="00453244"/>
    <w:rsid w:val="004562CB"/>
    <w:rsid w:val="004576A4"/>
    <w:rsid w:val="00460FB7"/>
    <w:rsid w:val="00462B7E"/>
    <w:rsid w:val="00465D22"/>
    <w:rsid w:val="00472226"/>
    <w:rsid w:val="00472FE3"/>
    <w:rsid w:val="00474207"/>
    <w:rsid w:val="00476C66"/>
    <w:rsid w:val="004811D5"/>
    <w:rsid w:val="00481318"/>
    <w:rsid w:val="0048257C"/>
    <w:rsid w:val="004842B0"/>
    <w:rsid w:val="00485ACF"/>
    <w:rsid w:val="00486C94"/>
    <w:rsid w:val="004932B9"/>
    <w:rsid w:val="0049651A"/>
    <w:rsid w:val="004A138D"/>
    <w:rsid w:val="004A2AAC"/>
    <w:rsid w:val="004A4040"/>
    <w:rsid w:val="004B3071"/>
    <w:rsid w:val="004B30A2"/>
    <w:rsid w:val="004B6215"/>
    <w:rsid w:val="004C1BDC"/>
    <w:rsid w:val="004C3A72"/>
    <w:rsid w:val="004C5B58"/>
    <w:rsid w:val="004C7D06"/>
    <w:rsid w:val="004D3D16"/>
    <w:rsid w:val="004D4C9A"/>
    <w:rsid w:val="004D5168"/>
    <w:rsid w:val="004E17A5"/>
    <w:rsid w:val="004E3400"/>
    <w:rsid w:val="004E655C"/>
    <w:rsid w:val="004E6B9C"/>
    <w:rsid w:val="004F0D46"/>
    <w:rsid w:val="004F70A4"/>
    <w:rsid w:val="0050673C"/>
    <w:rsid w:val="005070F6"/>
    <w:rsid w:val="005071B4"/>
    <w:rsid w:val="00510D66"/>
    <w:rsid w:val="00511325"/>
    <w:rsid w:val="00512F4F"/>
    <w:rsid w:val="00514ACC"/>
    <w:rsid w:val="005256CF"/>
    <w:rsid w:val="00526167"/>
    <w:rsid w:val="0052796D"/>
    <w:rsid w:val="005325D3"/>
    <w:rsid w:val="00534333"/>
    <w:rsid w:val="00536CBA"/>
    <w:rsid w:val="00536DAF"/>
    <w:rsid w:val="0054195B"/>
    <w:rsid w:val="00542521"/>
    <w:rsid w:val="00545807"/>
    <w:rsid w:val="00545ACC"/>
    <w:rsid w:val="00550AAE"/>
    <w:rsid w:val="005515AB"/>
    <w:rsid w:val="00551615"/>
    <w:rsid w:val="005524BB"/>
    <w:rsid w:val="00552698"/>
    <w:rsid w:val="00552960"/>
    <w:rsid w:val="00554260"/>
    <w:rsid w:val="00554392"/>
    <w:rsid w:val="005578B2"/>
    <w:rsid w:val="005600D5"/>
    <w:rsid w:val="0056023B"/>
    <w:rsid w:val="005602FA"/>
    <w:rsid w:val="00560530"/>
    <w:rsid w:val="00562551"/>
    <w:rsid w:val="00564893"/>
    <w:rsid w:val="00567700"/>
    <w:rsid w:val="00567A22"/>
    <w:rsid w:val="00574359"/>
    <w:rsid w:val="005745CA"/>
    <w:rsid w:val="00585A5D"/>
    <w:rsid w:val="00587DBC"/>
    <w:rsid w:val="00591F6C"/>
    <w:rsid w:val="00597A07"/>
    <w:rsid w:val="00597A73"/>
    <w:rsid w:val="005A019E"/>
    <w:rsid w:val="005A19EC"/>
    <w:rsid w:val="005A7029"/>
    <w:rsid w:val="005B2C4A"/>
    <w:rsid w:val="005B500F"/>
    <w:rsid w:val="005B6DBA"/>
    <w:rsid w:val="005B726E"/>
    <w:rsid w:val="005C2804"/>
    <w:rsid w:val="005C2AD7"/>
    <w:rsid w:val="005C3B84"/>
    <w:rsid w:val="005C4E1C"/>
    <w:rsid w:val="005D063E"/>
    <w:rsid w:val="005D1AAD"/>
    <w:rsid w:val="005D1FE9"/>
    <w:rsid w:val="005D2406"/>
    <w:rsid w:val="005D3506"/>
    <w:rsid w:val="005D72DB"/>
    <w:rsid w:val="005E127F"/>
    <w:rsid w:val="005E2555"/>
    <w:rsid w:val="005E4054"/>
    <w:rsid w:val="005E5274"/>
    <w:rsid w:val="005F0F5D"/>
    <w:rsid w:val="005F17A6"/>
    <w:rsid w:val="005F68F4"/>
    <w:rsid w:val="006019BD"/>
    <w:rsid w:val="00601C3B"/>
    <w:rsid w:val="006020AC"/>
    <w:rsid w:val="006032CF"/>
    <w:rsid w:val="00610EB7"/>
    <w:rsid w:val="006112DE"/>
    <w:rsid w:val="00612DE7"/>
    <w:rsid w:val="006149BA"/>
    <w:rsid w:val="00616A51"/>
    <w:rsid w:val="00616DBC"/>
    <w:rsid w:val="00616E00"/>
    <w:rsid w:val="006209EA"/>
    <w:rsid w:val="00623086"/>
    <w:rsid w:val="00627F85"/>
    <w:rsid w:val="00630B53"/>
    <w:rsid w:val="006317BF"/>
    <w:rsid w:val="006330F1"/>
    <w:rsid w:val="00634EFD"/>
    <w:rsid w:val="0063536D"/>
    <w:rsid w:val="00635443"/>
    <w:rsid w:val="00635A39"/>
    <w:rsid w:val="00635A5D"/>
    <w:rsid w:val="00636868"/>
    <w:rsid w:val="0064233B"/>
    <w:rsid w:val="006442AA"/>
    <w:rsid w:val="006458C9"/>
    <w:rsid w:val="00647968"/>
    <w:rsid w:val="00652EBE"/>
    <w:rsid w:val="00656069"/>
    <w:rsid w:val="00657950"/>
    <w:rsid w:val="00660087"/>
    <w:rsid w:val="006616DE"/>
    <w:rsid w:val="0066223E"/>
    <w:rsid w:val="006647D2"/>
    <w:rsid w:val="00671D87"/>
    <w:rsid w:val="00675708"/>
    <w:rsid w:val="00676D96"/>
    <w:rsid w:val="00680D37"/>
    <w:rsid w:val="0068358A"/>
    <w:rsid w:val="00683A12"/>
    <w:rsid w:val="00684C06"/>
    <w:rsid w:val="00686733"/>
    <w:rsid w:val="00686C94"/>
    <w:rsid w:val="00686F5E"/>
    <w:rsid w:val="00687697"/>
    <w:rsid w:val="00690C74"/>
    <w:rsid w:val="00691BCC"/>
    <w:rsid w:val="00692C40"/>
    <w:rsid w:val="006951C0"/>
    <w:rsid w:val="0069596F"/>
    <w:rsid w:val="00696FB6"/>
    <w:rsid w:val="006A0CE0"/>
    <w:rsid w:val="006A6E33"/>
    <w:rsid w:val="006B006B"/>
    <w:rsid w:val="006B0F25"/>
    <w:rsid w:val="006B2561"/>
    <w:rsid w:val="006B2746"/>
    <w:rsid w:val="006B3110"/>
    <w:rsid w:val="006B45AF"/>
    <w:rsid w:val="006C0CEA"/>
    <w:rsid w:val="006C20B5"/>
    <w:rsid w:val="006C2509"/>
    <w:rsid w:val="006C2788"/>
    <w:rsid w:val="006C6D9E"/>
    <w:rsid w:val="006D1570"/>
    <w:rsid w:val="006D167D"/>
    <w:rsid w:val="006D35DE"/>
    <w:rsid w:val="006D7BA0"/>
    <w:rsid w:val="006E247A"/>
    <w:rsid w:val="006E26A2"/>
    <w:rsid w:val="006E36CA"/>
    <w:rsid w:val="006E7371"/>
    <w:rsid w:val="006F0C1A"/>
    <w:rsid w:val="006F11C5"/>
    <w:rsid w:val="006F219D"/>
    <w:rsid w:val="006F40AE"/>
    <w:rsid w:val="006F5226"/>
    <w:rsid w:val="007030C2"/>
    <w:rsid w:val="00705101"/>
    <w:rsid w:val="00707A53"/>
    <w:rsid w:val="007111F7"/>
    <w:rsid w:val="00713396"/>
    <w:rsid w:val="0071531E"/>
    <w:rsid w:val="00716E6D"/>
    <w:rsid w:val="007200E6"/>
    <w:rsid w:val="007204C4"/>
    <w:rsid w:val="00725E66"/>
    <w:rsid w:val="0073267F"/>
    <w:rsid w:val="00732E05"/>
    <w:rsid w:val="00736503"/>
    <w:rsid w:val="0073739F"/>
    <w:rsid w:val="00737A05"/>
    <w:rsid w:val="00737AC5"/>
    <w:rsid w:val="00737D04"/>
    <w:rsid w:val="0074412E"/>
    <w:rsid w:val="007443EE"/>
    <w:rsid w:val="00747F2E"/>
    <w:rsid w:val="007514E9"/>
    <w:rsid w:val="007516CE"/>
    <w:rsid w:val="00752771"/>
    <w:rsid w:val="007579B5"/>
    <w:rsid w:val="0076327A"/>
    <w:rsid w:val="00766EA6"/>
    <w:rsid w:val="00767F53"/>
    <w:rsid w:val="0077118F"/>
    <w:rsid w:val="007714B2"/>
    <w:rsid w:val="007719A6"/>
    <w:rsid w:val="00777C26"/>
    <w:rsid w:val="0078297F"/>
    <w:rsid w:val="00782C51"/>
    <w:rsid w:val="00782CCC"/>
    <w:rsid w:val="00783BB8"/>
    <w:rsid w:val="0078487F"/>
    <w:rsid w:val="007850B2"/>
    <w:rsid w:val="00786134"/>
    <w:rsid w:val="00787AF3"/>
    <w:rsid w:val="00793B3A"/>
    <w:rsid w:val="00796456"/>
    <w:rsid w:val="007972F2"/>
    <w:rsid w:val="007A1772"/>
    <w:rsid w:val="007A4081"/>
    <w:rsid w:val="007B021C"/>
    <w:rsid w:val="007B0FCA"/>
    <w:rsid w:val="007B1E3E"/>
    <w:rsid w:val="007B3934"/>
    <w:rsid w:val="007B59CC"/>
    <w:rsid w:val="007C0778"/>
    <w:rsid w:val="007C0B5B"/>
    <w:rsid w:val="007C285D"/>
    <w:rsid w:val="007C2910"/>
    <w:rsid w:val="007C68E9"/>
    <w:rsid w:val="007C70E4"/>
    <w:rsid w:val="007D0AED"/>
    <w:rsid w:val="007D1201"/>
    <w:rsid w:val="007D583C"/>
    <w:rsid w:val="007E0418"/>
    <w:rsid w:val="007E11D5"/>
    <w:rsid w:val="007E1D91"/>
    <w:rsid w:val="007E6AB9"/>
    <w:rsid w:val="007F0E99"/>
    <w:rsid w:val="007F153D"/>
    <w:rsid w:val="007F3E93"/>
    <w:rsid w:val="007F46D5"/>
    <w:rsid w:val="007F5B3D"/>
    <w:rsid w:val="007F6B07"/>
    <w:rsid w:val="0080035A"/>
    <w:rsid w:val="008009B9"/>
    <w:rsid w:val="00802481"/>
    <w:rsid w:val="0080491A"/>
    <w:rsid w:val="00804EC4"/>
    <w:rsid w:val="00810C70"/>
    <w:rsid w:val="00816168"/>
    <w:rsid w:val="00816E23"/>
    <w:rsid w:val="0081723C"/>
    <w:rsid w:val="00820590"/>
    <w:rsid w:val="008236FC"/>
    <w:rsid w:val="008240E7"/>
    <w:rsid w:val="00824412"/>
    <w:rsid w:val="008253FA"/>
    <w:rsid w:val="00826CDD"/>
    <w:rsid w:val="0082777F"/>
    <w:rsid w:val="00831518"/>
    <w:rsid w:val="00833AB8"/>
    <w:rsid w:val="00835142"/>
    <w:rsid w:val="00840757"/>
    <w:rsid w:val="00844370"/>
    <w:rsid w:val="008449D1"/>
    <w:rsid w:val="00846176"/>
    <w:rsid w:val="00851150"/>
    <w:rsid w:val="00851D58"/>
    <w:rsid w:val="00854E45"/>
    <w:rsid w:val="00855512"/>
    <w:rsid w:val="0086480B"/>
    <w:rsid w:val="008651E7"/>
    <w:rsid w:val="008652CD"/>
    <w:rsid w:val="00865918"/>
    <w:rsid w:val="00865C8A"/>
    <w:rsid w:val="00866BAB"/>
    <w:rsid w:val="00870516"/>
    <w:rsid w:val="00875A41"/>
    <w:rsid w:val="00877571"/>
    <w:rsid w:val="008813EA"/>
    <w:rsid w:val="00886796"/>
    <w:rsid w:val="00890C22"/>
    <w:rsid w:val="008910B7"/>
    <w:rsid w:val="00892562"/>
    <w:rsid w:val="008950EE"/>
    <w:rsid w:val="00897DB2"/>
    <w:rsid w:val="008A0E2D"/>
    <w:rsid w:val="008A15DF"/>
    <w:rsid w:val="008A2CCE"/>
    <w:rsid w:val="008A4884"/>
    <w:rsid w:val="008A7791"/>
    <w:rsid w:val="008B0496"/>
    <w:rsid w:val="008B0FE1"/>
    <w:rsid w:val="008B15B3"/>
    <w:rsid w:val="008B2797"/>
    <w:rsid w:val="008B2F6E"/>
    <w:rsid w:val="008B36E6"/>
    <w:rsid w:val="008B6808"/>
    <w:rsid w:val="008C46A4"/>
    <w:rsid w:val="008C4C92"/>
    <w:rsid w:val="008C5EAC"/>
    <w:rsid w:val="008C6353"/>
    <w:rsid w:val="008C648F"/>
    <w:rsid w:val="008D0826"/>
    <w:rsid w:val="008D2345"/>
    <w:rsid w:val="008D4B6B"/>
    <w:rsid w:val="008E0240"/>
    <w:rsid w:val="008E1A7F"/>
    <w:rsid w:val="008E1AF2"/>
    <w:rsid w:val="008E49C2"/>
    <w:rsid w:val="008E59FF"/>
    <w:rsid w:val="008E654F"/>
    <w:rsid w:val="008E6984"/>
    <w:rsid w:val="008F3934"/>
    <w:rsid w:val="008F4247"/>
    <w:rsid w:val="008F4572"/>
    <w:rsid w:val="008F4BCE"/>
    <w:rsid w:val="008F58D3"/>
    <w:rsid w:val="008F7667"/>
    <w:rsid w:val="008F786C"/>
    <w:rsid w:val="00900FA8"/>
    <w:rsid w:val="0090166D"/>
    <w:rsid w:val="00902805"/>
    <w:rsid w:val="00902AD6"/>
    <w:rsid w:val="00904BB8"/>
    <w:rsid w:val="00906501"/>
    <w:rsid w:val="00906760"/>
    <w:rsid w:val="00910C18"/>
    <w:rsid w:val="00912BB7"/>
    <w:rsid w:val="00916E4B"/>
    <w:rsid w:val="009252D9"/>
    <w:rsid w:val="009253D8"/>
    <w:rsid w:val="009308F7"/>
    <w:rsid w:val="00943B5D"/>
    <w:rsid w:val="00944924"/>
    <w:rsid w:val="00945285"/>
    <w:rsid w:val="00945DAD"/>
    <w:rsid w:val="00947872"/>
    <w:rsid w:val="009511FC"/>
    <w:rsid w:val="00953F20"/>
    <w:rsid w:val="0095715C"/>
    <w:rsid w:val="00957F9A"/>
    <w:rsid w:val="00962943"/>
    <w:rsid w:val="0096606E"/>
    <w:rsid w:val="0097660E"/>
    <w:rsid w:val="00977554"/>
    <w:rsid w:val="00981B0D"/>
    <w:rsid w:val="009837DE"/>
    <w:rsid w:val="00987287"/>
    <w:rsid w:val="00990EC4"/>
    <w:rsid w:val="00990F3B"/>
    <w:rsid w:val="00992ED0"/>
    <w:rsid w:val="00993A7C"/>
    <w:rsid w:val="00994829"/>
    <w:rsid w:val="00994845"/>
    <w:rsid w:val="009A2B4F"/>
    <w:rsid w:val="009A6460"/>
    <w:rsid w:val="009A7F8D"/>
    <w:rsid w:val="009B19D2"/>
    <w:rsid w:val="009B1F3F"/>
    <w:rsid w:val="009B3065"/>
    <w:rsid w:val="009B4AD1"/>
    <w:rsid w:val="009B6934"/>
    <w:rsid w:val="009B70ED"/>
    <w:rsid w:val="009C4C93"/>
    <w:rsid w:val="009C7CAC"/>
    <w:rsid w:val="009D37D3"/>
    <w:rsid w:val="009D3E6D"/>
    <w:rsid w:val="009D42E9"/>
    <w:rsid w:val="009D44BA"/>
    <w:rsid w:val="009D6C16"/>
    <w:rsid w:val="009E075B"/>
    <w:rsid w:val="009E4B48"/>
    <w:rsid w:val="009E7E8F"/>
    <w:rsid w:val="009F0297"/>
    <w:rsid w:val="009F57AD"/>
    <w:rsid w:val="00A012A0"/>
    <w:rsid w:val="00A032C1"/>
    <w:rsid w:val="00A07BB5"/>
    <w:rsid w:val="00A10BF0"/>
    <w:rsid w:val="00A11DD3"/>
    <w:rsid w:val="00A13445"/>
    <w:rsid w:val="00A13D55"/>
    <w:rsid w:val="00A13D61"/>
    <w:rsid w:val="00A13DA1"/>
    <w:rsid w:val="00A140EA"/>
    <w:rsid w:val="00A16D63"/>
    <w:rsid w:val="00A220EF"/>
    <w:rsid w:val="00A227C4"/>
    <w:rsid w:val="00A22E0E"/>
    <w:rsid w:val="00A252FB"/>
    <w:rsid w:val="00A25F88"/>
    <w:rsid w:val="00A274C6"/>
    <w:rsid w:val="00A3026A"/>
    <w:rsid w:val="00A3068E"/>
    <w:rsid w:val="00A326FB"/>
    <w:rsid w:val="00A32B31"/>
    <w:rsid w:val="00A32E91"/>
    <w:rsid w:val="00A33042"/>
    <w:rsid w:val="00A41C12"/>
    <w:rsid w:val="00A433AA"/>
    <w:rsid w:val="00A439E8"/>
    <w:rsid w:val="00A457A1"/>
    <w:rsid w:val="00A46362"/>
    <w:rsid w:val="00A46D5C"/>
    <w:rsid w:val="00A47E4B"/>
    <w:rsid w:val="00A522E4"/>
    <w:rsid w:val="00A5731D"/>
    <w:rsid w:val="00A60023"/>
    <w:rsid w:val="00A6208D"/>
    <w:rsid w:val="00A621D3"/>
    <w:rsid w:val="00A64370"/>
    <w:rsid w:val="00A70516"/>
    <w:rsid w:val="00A75027"/>
    <w:rsid w:val="00A77196"/>
    <w:rsid w:val="00A77C89"/>
    <w:rsid w:val="00A800DC"/>
    <w:rsid w:val="00A82380"/>
    <w:rsid w:val="00A8547F"/>
    <w:rsid w:val="00A961FB"/>
    <w:rsid w:val="00A97450"/>
    <w:rsid w:val="00A97C07"/>
    <w:rsid w:val="00AA009C"/>
    <w:rsid w:val="00AA2EB7"/>
    <w:rsid w:val="00AA324A"/>
    <w:rsid w:val="00AA4B78"/>
    <w:rsid w:val="00AA6FEE"/>
    <w:rsid w:val="00AB006F"/>
    <w:rsid w:val="00AB2FC0"/>
    <w:rsid w:val="00AB31C5"/>
    <w:rsid w:val="00AB6C08"/>
    <w:rsid w:val="00AB6E8D"/>
    <w:rsid w:val="00AC044C"/>
    <w:rsid w:val="00AC5B57"/>
    <w:rsid w:val="00AC5C5B"/>
    <w:rsid w:val="00AC660A"/>
    <w:rsid w:val="00AE53C9"/>
    <w:rsid w:val="00AF126A"/>
    <w:rsid w:val="00AF3778"/>
    <w:rsid w:val="00AF76A7"/>
    <w:rsid w:val="00B00C30"/>
    <w:rsid w:val="00B0559E"/>
    <w:rsid w:val="00B11A04"/>
    <w:rsid w:val="00B23E09"/>
    <w:rsid w:val="00B25181"/>
    <w:rsid w:val="00B27A11"/>
    <w:rsid w:val="00B319A5"/>
    <w:rsid w:val="00B340F9"/>
    <w:rsid w:val="00B34870"/>
    <w:rsid w:val="00B37834"/>
    <w:rsid w:val="00B379F5"/>
    <w:rsid w:val="00B4272F"/>
    <w:rsid w:val="00B43B68"/>
    <w:rsid w:val="00B51186"/>
    <w:rsid w:val="00B5385D"/>
    <w:rsid w:val="00B56416"/>
    <w:rsid w:val="00B57A77"/>
    <w:rsid w:val="00B60F89"/>
    <w:rsid w:val="00B64C1B"/>
    <w:rsid w:val="00B64D6D"/>
    <w:rsid w:val="00B65998"/>
    <w:rsid w:val="00B67EA3"/>
    <w:rsid w:val="00B71AAB"/>
    <w:rsid w:val="00B71B34"/>
    <w:rsid w:val="00B7721F"/>
    <w:rsid w:val="00B84A6A"/>
    <w:rsid w:val="00B84D4B"/>
    <w:rsid w:val="00B92992"/>
    <w:rsid w:val="00B9433F"/>
    <w:rsid w:val="00B94429"/>
    <w:rsid w:val="00B95D22"/>
    <w:rsid w:val="00B961E7"/>
    <w:rsid w:val="00B966F3"/>
    <w:rsid w:val="00BA1F76"/>
    <w:rsid w:val="00BA46C8"/>
    <w:rsid w:val="00BA47EF"/>
    <w:rsid w:val="00BB3050"/>
    <w:rsid w:val="00BB4CF3"/>
    <w:rsid w:val="00BC0BDA"/>
    <w:rsid w:val="00BC4900"/>
    <w:rsid w:val="00BC63B5"/>
    <w:rsid w:val="00BC63EF"/>
    <w:rsid w:val="00BD2A41"/>
    <w:rsid w:val="00BD7420"/>
    <w:rsid w:val="00BE0ED0"/>
    <w:rsid w:val="00BE39B0"/>
    <w:rsid w:val="00BE4B77"/>
    <w:rsid w:val="00BE5921"/>
    <w:rsid w:val="00BF413A"/>
    <w:rsid w:val="00BF4210"/>
    <w:rsid w:val="00BF52AF"/>
    <w:rsid w:val="00BF730A"/>
    <w:rsid w:val="00C05639"/>
    <w:rsid w:val="00C07B5C"/>
    <w:rsid w:val="00C10B16"/>
    <w:rsid w:val="00C11CEE"/>
    <w:rsid w:val="00C14391"/>
    <w:rsid w:val="00C2354B"/>
    <w:rsid w:val="00C23D62"/>
    <w:rsid w:val="00C24030"/>
    <w:rsid w:val="00C312F4"/>
    <w:rsid w:val="00C31AD3"/>
    <w:rsid w:val="00C331DB"/>
    <w:rsid w:val="00C3329B"/>
    <w:rsid w:val="00C33ED8"/>
    <w:rsid w:val="00C33F6A"/>
    <w:rsid w:val="00C4027D"/>
    <w:rsid w:val="00C42431"/>
    <w:rsid w:val="00C4346F"/>
    <w:rsid w:val="00C43A04"/>
    <w:rsid w:val="00C43E0E"/>
    <w:rsid w:val="00C509EC"/>
    <w:rsid w:val="00C516D5"/>
    <w:rsid w:val="00C5731C"/>
    <w:rsid w:val="00C6228F"/>
    <w:rsid w:val="00C62FE8"/>
    <w:rsid w:val="00C63525"/>
    <w:rsid w:val="00C63A53"/>
    <w:rsid w:val="00C64ACE"/>
    <w:rsid w:val="00C65643"/>
    <w:rsid w:val="00C671F0"/>
    <w:rsid w:val="00C7097A"/>
    <w:rsid w:val="00C726AB"/>
    <w:rsid w:val="00C737E1"/>
    <w:rsid w:val="00C80099"/>
    <w:rsid w:val="00C8206E"/>
    <w:rsid w:val="00C83014"/>
    <w:rsid w:val="00C84458"/>
    <w:rsid w:val="00C86B88"/>
    <w:rsid w:val="00C94EC6"/>
    <w:rsid w:val="00C95713"/>
    <w:rsid w:val="00CA6296"/>
    <w:rsid w:val="00CA756B"/>
    <w:rsid w:val="00CB0BE0"/>
    <w:rsid w:val="00CB1DCB"/>
    <w:rsid w:val="00CB26EF"/>
    <w:rsid w:val="00CB422C"/>
    <w:rsid w:val="00CB44AB"/>
    <w:rsid w:val="00CB65C3"/>
    <w:rsid w:val="00CB6859"/>
    <w:rsid w:val="00CC65D5"/>
    <w:rsid w:val="00CC6B0E"/>
    <w:rsid w:val="00CD26B2"/>
    <w:rsid w:val="00CD4F4D"/>
    <w:rsid w:val="00CD6738"/>
    <w:rsid w:val="00CD71E7"/>
    <w:rsid w:val="00CE235F"/>
    <w:rsid w:val="00CE3DE3"/>
    <w:rsid w:val="00CE6895"/>
    <w:rsid w:val="00CE6CB0"/>
    <w:rsid w:val="00CF0588"/>
    <w:rsid w:val="00CF2702"/>
    <w:rsid w:val="00D0382D"/>
    <w:rsid w:val="00D04E9F"/>
    <w:rsid w:val="00D05696"/>
    <w:rsid w:val="00D056D5"/>
    <w:rsid w:val="00D05737"/>
    <w:rsid w:val="00D05B86"/>
    <w:rsid w:val="00D06E36"/>
    <w:rsid w:val="00D1034F"/>
    <w:rsid w:val="00D14D20"/>
    <w:rsid w:val="00D16F04"/>
    <w:rsid w:val="00D22021"/>
    <w:rsid w:val="00D24D52"/>
    <w:rsid w:val="00D252BB"/>
    <w:rsid w:val="00D256E3"/>
    <w:rsid w:val="00D31827"/>
    <w:rsid w:val="00D33C94"/>
    <w:rsid w:val="00D35231"/>
    <w:rsid w:val="00D35CD1"/>
    <w:rsid w:val="00D37C7E"/>
    <w:rsid w:val="00D43C87"/>
    <w:rsid w:val="00D46684"/>
    <w:rsid w:val="00D56E98"/>
    <w:rsid w:val="00D57443"/>
    <w:rsid w:val="00D576B4"/>
    <w:rsid w:val="00D60D81"/>
    <w:rsid w:val="00D62489"/>
    <w:rsid w:val="00D644B3"/>
    <w:rsid w:val="00D66C40"/>
    <w:rsid w:val="00D70D2F"/>
    <w:rsid w:val="00D7211A"/>
    <w:rsid w:val="00D74B02"/>
    <w:rsid w:val="00D76070"/>
    <w:rsid w:val="00D76988"/>
    <w:rsid w:val="00D76A9B"/>
    <w:rsid w:val="00D805F0"/>
    <w:rsid w:val="00D81D5B"/>
    <w:rsid w:val="00D86F6B"/>
    <w:rsid w:val="00D91692"/>
    <w:rsid w:val="00D931A0"/>
    <w:rsid w:val="00D948BC"/>
    <w:rsid w:val="00D95181"/>
    <w:rsid w:val="00D961D4"/>
    <w:rsid w:val="00D97249"/>
    <w:rsid w:val="00D97622"/>
    <w:rsid w:val="00DA18BA"/>
    <w:rsid w:val="00DA3FEE"/>
    <w:rsid w:val="00DB3D68"/>
    <w:rsid w:val="00DB65CE"/>
    <w:rsid w:val="00DC021E"/>
    <w:rsid w:val="00DC06EF"/>
    <w:rsid w:val="00DC0DC0"/>
    <w:rsid w:val="00DC249A"/>
    <w:rsid w:val="00DC3881"/>
    <w:rsid w:val="00DC5742"/>
    <w:rsid w:val="00DD0239"/>
    <w:rsid w:val="00DD0DF1"/>
    <w:rsid w:val="00DD30E1"/>
    <w:rsid w:val="00DD4ECA"/>
    <w:rsid w:val="00DD5C99"/>
    <w:rsid w:val="00DD6573"/>
    <w:rsid w:val="00DD772A"/>
    <w:rsid w:val="00DD7B91"/>
    <w:rsid w:val="00DE1908"/>
    <w:rsid w:val="00DE1EDB"/>
    <w:rsid w:val="00DE350A"/>
    <w:rsid w:val="00DE38CC"/>
    <w:rsid w:val="00DE61D1"/>
    <w:rsid w:val="00DE7B7D"/>
    <w:rsid w:val="00DE7FA7"/>
    <w:rsid w:val="00DE7FAD"/>
    <w:rsid w:val="00DF0C2C"/>
    <w:rsid w:val="00DF1B0E"/>
    <w:rsid w:val="00DF1F71"/>
    <w:rsid w:val="00DF3A97"/>
    <w:rsid w:val="00E00A03"/>
    <w:rsid w:val="00E00B08"/>
    <w:rsid w:val="00E027A0"/>
    <w:rsid w:val="00E039C3"/>
    <w:rsid w:val="00E060AA"/>
    <w:rsid w:val="00E069F2"/>
    <w:rsid w:val="00E2360D"/>
    <w:rsid w:val="00E24A55"/>
    <w:rsid w:val="00E259BB"/>
    <w:rsid w:val="00E3219B"/>
    <w:rsid w:val="00E327F0"/>
    <w:rsid w:val="00E34C05"/>
    <w:rsid w:val="00E34F88"/>
    <w:rsid w:val="00E35906"/>
    <w:rsid w:val="00E36B06"/>
    <w:rsid w:val="00E37516"/>
    <w:rsid w:val="00E37A48"/>
    <w:rsid w:val="00E37DC9"/>
    <w:rsid w:val="00E41BC9"/>
    <w:rsid w:val="00E41F11"/>
    <w:rsid w:val="00E41FEB"/>
    <w:rsid w:val="00E42A3A"/>
    <w:rsid w:val="00E42D19"/>
    <w:rsid w:val="00E45B06"/>
    <w:rsid w:val="00E45CAD"/>
    <w:rsid w:val="00E47021"/>
    <w:rsid w:val="00E474F9"/>
    <w:rsid w:val="00E47CF1"/>
    <w:rsid w:val="00E52830"/>
    <w:rsid w:val="00E56172"/>
    <w:rsid w:val="00E60042"/>
    <w:rsid w:val="00E61D8A"/>
    <w:rsid w:val="00E620E5"/>
    <w:rsid w:val="00E657D7"/>
    <w:rsid w:val="00E65EF8"/>
    <w:rsid w:val="00E700E6"/>
    <w:rsid w:val="00E7027C"/>
    <w:rsid w:val="00E70ABB"/>
    <w:rsid w:val="00E7168D"/>
    <w:rsid w:val="00E73D18"/>
    <w:rsid w:val="00E77C9C"/>
    <w:rsid w:val="00E81FE6"/>
    <w:rsid w:val="00E86893"/>
    <w:rsid w:val="00E86ED4"/>
    <w:rsid w:val="00E8787D"/>
    <w:rsid w:val="00E902F4"/>
    <w:rsid w:val="00E9602C"/>
    <w:rsid w:val="00EA4BBE"/>
    <w:rsid w:val="00EA7B66"/>
    <w:rsid w:val="00EB7A4D"/>
    <w:rsid w:val="00EB7B16"/>
    <w:rsid w:val="00EC0B69"/>
    <w:rsid w:val="00EC4850"/>
    <w:rsid w:val="00EC7D86"/>
    <w:rsid w:val="00ED0046"/>
    <w:rsid w:val="00ED411D"/>
    <w:rsid w:val="00ED5729"/>
    <w:rsid w:val="00EE6216"/>
    <w:rsid w:val="00EE6334"/>
    <w:rsid w:val="00EF1203"/>
    <w:rsid w:val="00EF1CE0"/>
    <w:rsid w:val="00EF23F6"/>
    <w:rsid w:val="00EF2CD1"/>
    <w:rsid w:val="00EF49F6"/>
    <w:rsid w:val="00EF6D3C"/>
    <w:rsid w:val="00F014DF"/>
    <w:rsid w:val="00F016F5"/>
    <w:rsid w:val="00F0191F"/>
    <w:rsid w:val="00F03B1D"/>
    <w:rsid w:val="00F06417"/>
    <w:rsid w:val="00F0699D"/>
    <w:rsid w:val="00F06AD6"/>
    <w:rsid w:val="00F0778A"/>
    <w:rsid w:val="00F07E64"/>
    <w:rsid w:val="00F100D4"/>
    <w:rsid w:val="00F15E23"/>
    <w:rsid w:val="00F243EF"/>
    <w:rsid w:val="00F334E2"/>
    <w:rsid w:val="00F3601A"/>
    <w:rsid w:val="00F37CDC"/>
    <w:rsid w:val="00F421B7"/>
    <w:rsid w:val="00F45ACD"/>
    <w:rsid w:val="00F53567"/>
    <w:rsid w:val="00F53C05"/>
    <w:rsid w:val="00F53E7B"/>
    <w:rsid w:val="00F53EDF"/>
    <w:rsid w:val="00F6281F"/>
    <w:rsid w:val="00F710C9"/>
    <w:rsid w:val="00F72C55"/>
    <w:rsid w:val="00F72C74"/>
    <w:rsid w:val="00F7304E"/>
    <w:rsid w:val="00F75F50"/>
    <w:rsid w:val="00F770B9"/>
    <w:rsid w:val="00F77A26"/>
    <w:rsid w:val="00F828F3"/>
    <w:rsid w:val="00F9006B"/>
    <w:rsid w:val="00F93210"/>
    <w:rsid w:val="00F93A53"/>
    <w:rsid w:val="00F95720"/>
    <w:rsid w:val="00F96747"/>
    <w:rsid w:val="00F96916"/>
    <w:rsid w:val="00F97765"/>
    <w:rsid w:val="00FA2C18"/>
    <w:rsid w:val="00FA6DE9"/>
    <w:rsid w:val="00FC003A"/>
    <w:rsid w:val="00FC0803"/>
    <w:rsid w:val="00FC4D69"/>
    <w:rsid w:val="00FC5702"/>
    <w:rsid w:val="00FC6218"/>
    <w:rsid w:val="00FC74DC"/>
    <w:rsid w:val="00FD0D9C"/>
    <w:rsid w:val="00FD3228"/>
    <w:rsid w:val="00FD3882"/>
    <w:rsid w:val="00FE44B3"/>
    <w:rsid w:val="00FE5D90"/>
    <w:rsid w:val="00FE6CA6"/>
    <w:rsid w:val="00FE749B"/>
    <w:rsid w:val="00FF5B56"/>
    <w:rsid w:val="00FF73A7"/>
    <w:rsid w:val="0111235D"/>
    <w:rsid w:val="019B07FD"/>
    <w:rsid w:val="01EC5C3E"/>
    <w:rsid w:val="035304AB"/>
    <w:rsid w:val="040846E4"/>
    <w:rsid w:val="045F53C9"/>
    <w:rsid w:val="05D47A02"/>
    <w:rsid w:val="0812512D"/>
    <w:rsid w:val="081D591A"/>
    <w:rsid w:val="09356B62"/>
    <w:rsid w:val="09BE3EC5"/>
    <w:rsid w:val="09EA5535"/>
    <w:rsid w:val="0A894E5B"/>
    <w:rsid w:val="0B4D35E6"/>
    <w:rsid w:val="0E417312"/>
    <w:rsid w:val="0F7714E3"/>
    <w:rsid w:val="110A069A"/>
    <w:rsid w:val="11793471"/>
    <w:rsid w:val="11FD7C00"/>
    <w:rsid w:val="14AA7834"/>
    <w:rsid w:val="14FD59CB"/>
    <w:rsid w:val="151573B8"/>
    <w:rsid w:val="165317AC"/>
    <w:rsid w:val="168D3704"/>
    <w:rsid w:val="177A5D78"/>
    <w:rsid w:val="188F0D9E"/>
    <w:rsid w:val="1A940CBD"/>
    <w:rsid w:val="1B604ED7"/>
    <w:rsid w:val="1BC6172B"/>
    <w:rsid w:val="1C774C7F"/>
    <w:rsid w:val="1CC077BA"/>
    <w:rsid w:val="1D2523EC"/>
    <w:rsid w:val="1EFA59E6"/>
    <w:rsid w:val="20095733"/>
    <w:rsid w:val="202D222E"/>
    <w:rsid w:val="217C26E3"/>
    <w:rsid w:val="24422B02"/>
    <w:rsid w:val="258E070F"/>
    <w:rsid w:val="25A57114"/>
    <w:rsid w:val="25B0095A"/>
    <w:rsid w:val="25CD1A32"/>
    <w:rsid w:val="26273D13"/>
    <w:rsid w:val="26B52CF3"/>
    <w:rsid w:val="26DD0F26"/>
    <w:rsid w:val="281710D2"/>
    <w:rsid w:val="29B41DBB"/>
    <w:rsid w:val="29E55C04"/>
    <w:rsid w:val="2A4C15EA"/>
    <w:rsid w:val="2AC74DEE"/>
    <w:rsid w:val="2C2C2F57"/>
    <w:rsid w:val="2C834B93"/>
    <w:rsid w:val="2D906155"/>
    <w:rsid w:val="30491623"/>
    <w:rsid w:val="30D72258"/>
    <w:rsid w:val="319F4D29"/>
    <w:rsid w:val="32922615"/>
    <w:rsid w:val="33547718"/>
    <w:rsid w:val="339356A4"/>
    <w:rsid w:val="33DD61FA"/>
    <w:rsid w:val="343F4D55"/>
    <w:rsid w:val="345D3D41"/>
    <w:rsid w:val="35582181"/>
    <w:rsid w:val="35817B77"/>
    <w:rsid w:val="3635718D"/>
    <w:rsid w:val="364A5E03"/>
    <w:rsid w:val="36AD25CD"/>
    <w:rsid w:val="37737B4A"/>
    <w:rsid w:val="384548DB"/>
    <w:rsid w:val="3A515734"/>
    <w:rsid w:val="3A635E4A"/>
    <w:rsid w:val="3AE33835"/>
    <w:rsid w:val="3B64373D"/>
    <w:rsid w:val="3BEB6E8E"/>
    <w:rsid w:val="3DA41A92"/>
    <w:rsid w:val="3DD75AA9"/>
    <w:rsid w:val="3DE763A7"/>
    <w:rsid w:val="3E4631E6"/>
    <w:rsid w:val="3FB05C45"/>
    <w:rsid w:val="402828F4"/>
    <w:rsid w:val="40736A16"/>
    <w:rsid w:val="40B111DA"/>
    <w:rsid w:val="42C61FDA"/>
    <w:rsid w:val="42D300E4"/>
    <w:rsid w:val="436037BB"/>
    <w:rsid w:val="43856F31"/>
    <w:rsid w:val="476C70C1"/>
    <w:rsid w:val="4828061F"/>
    <w:rsid w:val="48682067"/>
    <w:rsid w:val="4B067097"/>
    <w:rsid w:val="4BFF1E0C"/>
    <w:rsid w:val="4CDA43AF"/>
    <w:rsid w:val="4D244A20"/>
    <w:rsid w:val="4D3D6130"/>
    <w:rsid w:val="4DDF40D9"/>
    <w:rsid w:val="4E3A35CA"/>
    <w:rsid w:val="4E8F5A68"/>
    <w:rsid w:val="51062165"/>
    <w:rsid w:val="531B14AC"/>
    <w:rsid w:val="53844D5D"/>
    <w:rsid w:val="5386165F"/>
    <w:rsid w:val="53953491"/>
    <w:rsid w:val="54901C75"/>
    <w:rsid w:val="54A43EF6"/>
    <w:rsid w:val="55795C87"/>
    <w:rsid w:val="561A5A4B"/>
    <w:rsid w:val="57482A8C"/>
    <w:rsid w:val="57AE7901"/>
    <w:rsid w:val="5B1315BF"/>
    <w:rsid w:val="5CCB48BF"/>
    <w:rsid w:val="5D3171D9"/>
    <w:rsid w:val="5DCE397C"/>
    <w:rsid w:val="5E0A20DD"/>
    <w:rsid w:val="5E7361CD"/>
    <w:rsid w:val="5F134362"/>
    <w:rsid w:val="5F4F2B85"/>
    <w:rsid w:val="60160FEF"/>
    <w:rsid w:val="60945B1A"/>
    <w:rsid w:val="63983622"/>
    <w:rsid w:val="66A03D4A"/>
    <w:rsid w:val="68627A5E"/>
    <w:rsid w:val="690C3963"/>
    <w:rsid w:val="6977750B"/>
    <w:rsid w:val="6AC65D4A"/>
    <w:rsid w:val="6B1B5B95"/>
    <w:rsid w:val="6B23319C"/>
    <w:rsid w:val="6BDA62E1"/>
    <w:rsid w:val="6E0377C5"/>
    <w:rsid w:val="6E5576C0"/>
    <w:rsid w:val="6F845B89"/>
    <w:rsid w:val="716360A0"/>
    <w:rsid w:val="727E6F0A"/>
    <w:rsid w:val="743A1C38"/>
    <w:rsid w:val="751B7155"/>
    <w:rsid w:val="75D02D87"/>
    <w:rsid w:val="76DE5487"/>
    <w:rsid w:val="772305B0"/>
    <w:rsid w:val="799B2660"/>
    <w:rsid w:val="79A8159F"/>
    <w:rsid w:val="7A0643B5"/>
    <w:rsid w:val="7A69427E"/>
    <w:rsid w:val="7A72226E"/>
    <w:rsid w:val="7B16745D"/>
    <w:rsid w:val="7B717D29"/>
    <w:rsid w:val="7B7D36C6"/>
    <w:rsid w:val="7BDE71C8"/>
    <w:rsid w:val="7CFF185D"/>
    <w:rsid w:val="7D456FA2"/>
    <w:rsid w:val="7D724643"/>
    <w:rsid w:val="7E3A462D"/>
    <w:rsid w:val="7F8A12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320" w:leftChars="100" w:right="100" w:rightChars="100"/>
      <w:jc w:val="both"/>
    </w:pPr>
    <w:rPr>
      <w:rFonts w:eastAsia="仿宋_GB2312" w:asciiTheme="minorHAnsi" w:hAnsiTheme="minorHAnsi" w:cstheme="minorBidi"/>
      <w:kern w:val="2"/>
      <w:sz w:val="32"/>
      <w:szCs w:val="24"/>
      <w:lang w:val="en-US" w:eastAsia="zh-CN" w:bidi="ar-SA"/>
    </w:rPr>
  </w:style>
  <w:style w:type="paragraph" w:styleId="3">
    <w:name w:val="heading 1"/>
    <w:basedOn w:val="4"/>
    <w:next w:val="1"/>
    <w:link w:val="40"/>
    <w:qFormat/>
    <w:uiPriority w:val="0"/>
    <w:pPr>
      <w:ind w:firstLine="0" w:firstLineChars="0"/>
      <w:outlineLvl w:val="0"/>
    </w:pPr>
    <w:rPr>
      <w:bCs w:val="0"/>
      <w:kern w:val="44"/>
      <w:sz w:val="32"/>
      <w:szCs w:val="44"/>
    </w:rPr>
  </w:style>
  <w:style w:type="paragraph" w:styleId="4">
    <w:name w:val="heading 2"/>
    <w:basedOn w:val="1"/>
    <w:next w:val="1"/>
    <w:link w:val="42"/>
    <w:unhideWhenUsed/>
    <w:qFormat/>
    <w:uiPriority w:val="0"/>
    <w:pPr>
      <w:keepNext/>
      <w:keepLines/>
      <w:ind w:left="0" w:leftChars="0" w:right="0" w:rightChars="0" w:firstLine="200" w:firstLineChars="200"/>
      <w:outlineLvl w:val="1"/>
    </w:pPr>
    <w:rPr>
      <w:rFonts w:ascii="Times New Roman" w:hAnsi="Times New Roman" w:eastAsia="仿宋" w:cstheme="majorBidi"/>
      <w:b/>
      <w:bCs/>
      <w:sz w:val="30"/>
      <w:szCs w:val="32"/>
    </w:rPr>
  </w:style>
  <w:style w:type="paragraph" w:styleId="5">
    <w:name w:val="heading 3"/>
    <w:basedOn w:val="1"/>
    <w:next w:val="1"/>
    <w:link w:val="43"/>
    <w:unhideWhenUsed/>
    <w:qFormat/>
    <w:uiPriority w:val="0"/>
    <w:pPr>
      <w:keepNext/>
      <w:keepLines/>
      <w:ind w:left="0" w:leftChars="0" w:right="0" w:rightChars="0" w:firstLine="200" w:firstLineChars="200"/>
      <w:outlineLvl w:val="2"/>
    </w:pPr>
    <w:rPr>
      <w:rFonts w:ascii="Times New Roman" w:hAnsi="Times New Roman" w:eastAsia="仿宋"/>
      <w:b/>
      <w:bCs/>
      <w:sz w:val="28"/>
      <w:szCs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39"/>
    <w:qFormat/>
    <w:uiPriority w:val="0"/>
    <w:pPr>
      <w:ind w:left="0" w:leftChars="0" w:right="0" w:rightChars="0" w:firstLine="200" w:firstLineChars="200"/>
    </w:pPr>
    <w:rPr>
      <w:rFonts w:ascii="Times New Roman" w:hAnsi="Times New Roman" w:eastAsia="仿宋" w:cs="Courier New"/>
      <w:sz w:val="28"/>
      <w:szCs w:val="21"/>
    </w:rPr>
  </w:style>
  <w:style w:type="paragraph" w:styleId="6">
    <w:name w:val="toc 7"/>
    <w:basedOn w:val="1"/>
    <w:next w:val="1"/>
    <w:qFormat/>
    <w:uiPriority w:val="0"/>
    <w:pPr>
      <w:ind w:left="1920"/>
      <w:jc w:val="left"/>
    </w:pPr>
    <w:rPr>
      <w:sz w:val="18"/>
      <w:szCs w:val="18"/>
    </w:rPr>
  </w:style>
  <w:style w:type="paragraph" w:styleId="7">
    <w:name w:val="Normal Indent"/>
    <w:basedOn w:val="1"/>
    <w:unhideWhenUsed/>
    <w:qFormat/>
    <w:uiPriority w:val="99"/>
    <w:pPr>
      <w:spacing w:line="240" w:lineRule="auto"/>
      <w:ind w:left="0" w:leftChars="0" w:right="0" w:rightChars="0" w:firstLine="420" w:firstLineChars="200"/>
    </w:pPr>
    <w:rPr>
      <w:rFonts w:ascii="Calibri" w:hAnsi="Calibri" w:eastAsia="宋体" w:cs="Times New Roman"/>
      <w:sz w:val="21"/>
    </w:rPr>
  </w:style>
  <w:style w:type="paragraph" w:styleId="8">
    <w:name w:val="Document Map"/>
    <w:basedOn w:val="1"/>
    <w:link w:val="46"/>
    <w:semiHidden/>
    <w:unhideWhenUsed/>
    <w:qFormat/>
    <w:uiPriority w:val="0"/>
    <w:rPr>
      <w:rFonts w:ascii="宋体" w:eastAsia="宋体"/>
      <w:sz w:val="18"/>
      <w:szCs w:val="18"/>
    </w:rPr>
  </w:style>
  <w:style w:type="paragraph" w:styleId="9">
    <w:name w:val="annotation text"/>
    <w:basedOn w:val="1"/>
    <w:link w:val="35"/>
    <w:qFormat/>
    <w:uiPriority w:val="0"/>
    <w:pPr>
      <w:jc w:val="left"/>
    </w:pPr>
  </w:style>
  <w:style w:type="paragraph" w:styleId="10">
    <w:name w:val="Body Text Indent"/>
    <w:basedOn w:val="1"/>
    <w:unhideWhenUsed/>
    <w:qFormat/>
    <w:uiPriority w:val="99"/>
    <w:pPr>
      <w:spacing w:after="120"/>
      <w:ind w:left="420" w:leftChars="200"/>
    </w:pPr>
  </w:style>
  <w:style w:type="paragraph" w:styleId="11">
    <w:name w:val="toc 5"/>
    <w:basedOn w:val="1"/>
    <w:next w:val="1"/>
    <w:qFormat/>
    <w:uiPriority w:val="0"/>
    <w:pPr>
      <w:ind w:left="1280"/>
      <w:jc w:val="left"/>
    </w:pPr>
    <w:rPr>
      <w:sz w:val="18"/>
      <w:szCs w:val="18"/>
    </w:rPr>
  </w:style>
  <w:style w:type="paragraph" w:styleId="12">
    <w:name w:val="toc 3"/>
    <w:basedOn w:val="1"/>
    <w:next w:val="1"/>
    <w:qFormat/>
    <w:uiPriority w:val="39"/>
    <w:pPr>
      <w:ind w:left="640"/>
      <w:jc w:val="left"/>
    </w:pPr>
    <w:rPr>
      <w:i/>
      <w:iCs/>
      <w:sz w:val="20"/>
      <w:szCs w:val="20"/>
    </w:rPr>
  </w:style>
  <w:style w:type="paragraph" w:styleId="13">
    <w:name w:val="toc 8"/>
    <w:basedOn w:val="1"/>
    <w:next w:val="1"/>
    <w:qFormat/>
    <w:uiPriority w:val="0"/>
    <w:pPr>
      <w:ind w:left="2240"/>
      <w:jc w:val="left"/>
    </w:pPr>
    <w:rPr>
      <w:sz w:val="18"/>
      <w:szCs w:val="18"/>
    </w:rPr>
  </w:style>
  <w:style w:type="paragraph" w:styleId="14">
    <w:name w:val="Date"/>
    <w:basedOn w:val="1"/>
    <w:next w:val="1"/>
    <w:link w:val="45"/>
    <w:qFormat/>
    <w:uiPriority w:val="0"/>
    <w:pPr>
      <w:ind w:left="100" w:leftChars="2500"/>
    </w:pPr>
  </w:style>
  <w:style w:type="paragraph" w:styleId="15">
    <w:name w:val="Balloon Text"/>
    <w:basedOn w:val="1"/>
    <w:link w:val="37"/>
    <w:qFormat/>
    <w:uiPriority w:val="0"/>
    <w:rPr>
      <w:sz w:val="18"/>
      <w:szCs w:val="18"/>
    </w:rPr>
  </w:style>
  <w:style w:type="paragraph" w:styleId="16">
    <w:name w:val="footer"/>
    <w:basedOn w:val="1"/>
    <w:link w:val="34"/>
    <w:qFormat/>
    <w:uiPriority w:val="99"/>
    <w:pPr>
      <w:tabs>
        <w:tab w:val="center" w:pos="4153"/>
        <w:tab w:val="right" w:pos="8306"/>
      </w:tabs>
      <w:snapToGrid w:val="0"/>
      <w:jc w:val="left"/>
    </w:pPr>
    <w:rPr>
      <w:sz w:val="18"/>
      <w:szCs w:val="18"/>
    </w:rPr>
  </w:style>
  <w:style w:type="paragraph" w:styleId="17">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ind w:left="0"/>
      <w:jc w:val="left"/>
    </w:pPr>
    <w:rPr>
      <w:b/>
      <w:bCs/>
      <w:caps/>
      <w:sz w:val="20"/>
      <w:szCs w:val="20"/>
    </w:rPr>
  </w:style>
  <w:style w:type="paragraph" w:styleId="19">
    <w:name w:val="toc 4"/>
    <w:basedOn w:val="1"/>
    <w:next w:val="1"/>
    <w:qFormat/>
    <w:uiPriority w:val="0"/>
    <w:pPr>
      <w:ind w:left="960"/>
      <w:jc w:val="left"/>
    </w:pPr>
    <w:rPr>
      <w:sz w:val="18"/>
      <w:szCs w:val="18"/>
    </w:rPr>
  </w:style>
  <w:style w:type="paragraph" w:styleId="20">
    <w:name w:val="toc 6"/>
    <w:basedOn w:val="1"/>
    <w:next w:val="1"/>
    <w:qFormat/>
    <w:uiPriority w:val="0"/>
    <w:pPr>
      <w:ind w:left="1600"/>
      <w:jc w:val="left"/>
    </w:pPr>
    <w:rPr>
      <w:sz w:val="18"/>
      <w:szCs w:val="18"/>
    </w:rPr>
  </w:style>
  <w:style w:type="paragraph" w:styleId="21">
    <w:name w:val="toc 2"/>
    <w:basedOn w:val="1"/>
    <w:next w:val="1"/>
    <w:qFormat/>
    <w:uiPriority w:val="39"/>
    <w:pPr>
      <w:jc w:val="left"/>
    </w:pPr>
    <w:rPr>
      <w:smallCaps/>
      <w:sz w:val="20"/>
      <w:szCs w:val="20"/>
    </w:rPr>
  </w:style>
  <w:style w:type="paragraph" w:styleId="22">
    <w:name w:val="toc 9"/>
    <w:basedOn w:val="1"/>
    <w:next w:val="1"/>
    <w:qFormat/>
    <w:uiPriority w:val="0"/>
    <w:pPr>
      <w:ind w:left="2560"/>
      <w:jc w:val="left"/>
    </w:pPr>
    <w:rPr>
      <w:sz w:val="18"/>
      <w:szCs w:val="18"/>
    </w:rPr>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24">
    <w:name w:val="Normal (Web)"/>
    <w:basedOn w:val="1"/>
    <w:semiHidden/>
    <w:unhideWhenUsed/>
    <w:qFormat/>
    <w:uiPriority w:val="0"/>
    <w:pPr>
      <w:spacing w:beforeAutospacing="1" w:afterAutospacing="1"/>
      <w:ind w:left="0" w:right="0"/>
      <w:jc w:val="left"/>
    </w:pPr>
    <w:rPr>
      <w:rFonts w:cs="Times New Roman"/>
      <w:kern w:val="0"/>
      <w:sz w:val="24"/>
    </w:rPr>
  </w:style>
  <w:style w:type="paragraph" w:styleId="25">
    <w:name w:val="Title"/>
    <w:basedOn w:val="1"/>
    <w:qFormat/>
    <w:uiPriority w:val="0"/>
    <w:pPr>
      <w:spacing w:line="700" w:lineRule="exact"/>
      <w:jc w:val="center"/>
      <w:outlineLvl w:val="0"/>
    </w:pPr>
    <w:rPr>
      <w:rFonts w:ascii="Arial" w:hAnsi="Arial" w:eastAsia="方正小标宋简体"/>
      <w:sz w:val="44"/>
    </w:rPr>
  </w:style>
  <w:style w:type="paragraph" w:styleId="26">
    <w:name w:val="annotation subject"/>
    <w:basedOn w:val="9"/>
    <w:next w:val="9"/>
    <w:link w:val="36"/>
    <w:qFormat/>
    <w:uiPriority w:val="0"/>
    <w:rPr>
      <w:b/>
      <w:bCs/>
    </w:rPr>
  </w:style>
  <w:style w:type="paragraph" w:styleId="27">
    <w:name w:val="Body Text First Indent 2"/>
    <w:basedOn w:val="10"/>
    <w:qFormat/>
    <w:uiPriority w:val="0"/>
    <w:pPr>
      <w:ind w:firstLine="420" w:firstLineChars="200"/>
    </w:pPr>
    <w:rPr>
      <w:rFonts w:hint="eastAsia"/>
      <w:szCs w:val="22"/>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Hyperlink"/>
    <w:basedOn w:val="30"/>
    <w:unhideWhenUsed/>
    <w:qFormat/>
    <w:uiPriority w:val="99"/>
    <w:rPr>
      <w:color w:val="0563C1" w:themeColor="hyperlink"/>
      <w:u w:val="single"/>
    </w:rPr>
  </w:style>
  <w:style w:type="character" w:styleId="32">
    <w:name w:val="annotation reference"/>
    <w:basedOn w:val="30"/>
    <w:qFormat/>
    <w:uiPriority w:val="0"/>
    <w:rPr>
      <w:sz w:val="21"/>
      <w:szCs w:val="21"/>
    </w:rPr>
  </w:style>
  <w:style w:type="character" w:customStyle="1" w:styleId="33">
    <w:name w:val="页眉 Char"/>
    <w:basedOn w:val="30"/>
    <w:link w:val="17"/>
    <w:qFormat/>
    <w:uiPriority w:val="0"/>
    <w:rPr>
      <w:rFonts w:asciiTheme="minorHAnsi" w:hAnsiTheme="minorHAnsi" w:eastAsiaTheme="minorEastAsia" w:cstheme="minorBidi"/>
      <w:kern w:val="2"/>
      <w:sz w:val="18"/>
      <w:szCs w:val="18"/>
    </w:rPr>
  </w:style>
  <w:style w:type="character" w:customStyle="1" w:styleId="34">
    <w:name w:val="页脚 Char"/>
    <w:basedOn w:val="30"/>
    <w:link w:val="16"/>
    <w:qFormat/>
    <w:uiPriority w:val="99"/>
    <w:rPr>
      <w:rFonts w:asciiTheme="minorHAnsi" w:hAnsiTheme="minorHAnsi" w:eastAsiaTheme="minorEastAsia" w:cstheme="minorBidi"/>
      <w:kern w:val="2"/>
      <w:sz w:val="18"/>
      <w:szCs w:val="18"/>
    </w:rPr>
  </w:style>
  <w:style w:type="character" w:customStyle="1" w:styleId="35">
    <w:name w:val="批注文字 Char"/>
    <w:basedOn w:val="30"/>
    <w:link w:val="9"/>
    <w:qFormat/>
    <w:uiPriority w:val="0"/>
    <w:rPr>
      <w:rFonts w:asciiTheme="minorHAnsi" w:hAnsiTheme="minorHAnsi" w:eastAsiaTheme="minorEastAsia" w:cstheme="minorBidi"/>
      <w:kern w:val="2"/>
      <w:sz w:val="21"/>
      <w:szCs w:val="24"/>
    </w:rPr>
  </w:style>
  <w:style w:type="character" w:customStyle="1" w:styleId="36">
    <w:name w:val="批注主题 Char"/>
    <w:basedOn w:val="35"/>
    <w:link w:val="26"/>
    <w:qFormat/>
    <w:uiPriority w:val="0"/>
    <w:rPr>
      <w:rFonts w:asciiTheme="minorHAnsi" w:hAnsiTheme="minorHAnsi" w:eastAsiaTheme="minorEastAsia" w:cstheme="minorBidi"/>
      <w:b/>
      <w:bCs/>
      <w:kern w:val="2"/>
      <w:sz w:val="21"/>
      <w:szCs w:val="24"/>
    </w:rPr>
  </w:style>
  <w:style w:type="character" w:customStyle="1" w:styleId="37">
    <w:name w:val="批注框文本 Char"/>
    <w:basedOn w:val="30"/>
    <w:link w:val="15"/>
    <w:qFormat/>
    <w:uiPriority w:val="0"/>
    <w:rPr>
      <w:rFonts w:asciiTheme="minorHAnsi" w:hAnsiTheme="minorHAnsi" w:eastAsiaTheme="minorEastAsia" w:cstheme="minorBidi"/>
      <w:kern w:val="2"/>
      <w:sz w:val="18"/>
      <w:szCs w:val="18"/>
    </w:rPr>
  </w:style>
  <w:style w:type="paragraph" w:customStyle="1" w:styleId="38">
    <w:name w:val="样式1"/>
    <w:basedOn w:val="1"/>
    <w:link w:val="41"/>
    <w:qFormat/>
    <w:uiPriority w:val="0"/>
    <w:pPr>
      <w:ind w:left="0" w:leftChars="0" w:right="320" w:firstLine="640" w:firstLineChars="200"/>
    </w:pPr>
    <w:rPr>
      <w:rFonts w:ascii="仿宋_GB2312" w:hAnsi="仿宋_GB2312" w:cs="仿宋_GB2312"/>
      <w:color w:val="000000" w:themeColor="text1"/>
      <w:szCs w:val="32"/>
    </w:rPr>
  </w:style>
  <w:style w:type="character" w:customStyle="1" w:styleId="39">
    <w:name w:val="纯文本 Char"/>
    <w:basedOn w:val="30"/>
    <w:link w:val="2"/>
    <w:qFormat/>
    <w:uiPriority w:val="0"/>
    <w:rPr>
      <w:rFonts w:eastAsia="仿宋" w:cs="Courier New"/>
      <w:kern w:val="2"/>
      <w:sz w:val="28"/>
      <w:szCs w:val="21"/>
    </w:rPr>
  </w:style>
  <w:style w:type="character" w:customStyle="1" w:styleId="40">
    <w:name w:val="标题 1 Char"/>
    <w:basedOn w:val="30"/>
    <w:link w:val="3"/>
    <w:qFormat/>
    <w:uiPriority w:val="0"/>
    <w:rPr>
      <w:rFonts w:eastAsia="仿宋" w:cstheme="majorBidi"/>
      <w:b/>
      <w:kern w:val="44"/>
      <w:sz w:val="32"/>
      <w:szCs w:val="44"/>
    </w:rPr>
  </w:style>
  <w:style w:type="character" w:customStyle="1" w:styleId="41">
    <w:name w:val="样式1 Char"/>
    <w:basedOn w:val="30"/>
    <w:link w:val="38"/>
    <w:qFormat/>
    <w:uiPriority w:val="0"/>
    <w:rPr>
      <w:rFonts w:ascii="仿宋_GB2312" w:hAnsi="仿宋_GB2312" w:eastAsia="仿宋_GB2312" w:cs="仿宋_GB2312"/>
      <w:color w:val="000000" w:themeColor="text1"/>
      <w:kern w:val="2"/>
      <w:sz w:val="32"/>
      <w:szCs w:val="32"/>
    </w:rPr>
  </w:style>
  <w:style w:type="character" w:customStyle="1" w:styleId="42">
    <w:name w:val="标题 2 Char"/>
    <w:basedOn w:val="30"/>
    <w:link w:val="4"/>
    <w:qFormat/>
    <w:uiPriority w:val="0"/>
    <w:rPr>
      <w:rFonts w:eastAsia="仿宋" w:cstheme="majorBidi"/>
      <w:b/>
      <w:bCs/>
      <w:kern w:val="2"/>
      <w:sz w:val="30"/>
      <w:szCs w:val="32"/>
    </w:rPr>
  </w:style>
  <w:style w:type="character" w:customStyle="1" w:styleId="43">
    <w:name w:val="标题 3 Char"/>
    <w:basedOn w:val="30"/>
    <w:link w:val="5"/>
    <w:qFormat/>
    <w:uiPriority w:val="0"/>
    <w:rPr>
      <w:rFonts w:eastAsia="仿宋" w:cstheme="minorBidi"/>
      <w:b/>
      <w:bCs/>
      <w:kern w:val="2"/>
      <w:sz w:val="28"/>
      <w:szCs w:val="32"/>
    </w:rPr>
  </w:style>
  <w:style w:type="paragraph" w:customStyle="1" w:styleId="44">
    <w:name w:val="TOC 标题1"/>
    <w:basedOn w:val="3"/>
    <w:next w:val="1"/>
    <w:unhideWhenUsed/>
    <w:qFormat/>
    <w:uiPriority w:val="39"/>
    <w:pPr>
      <w:widowControl/>
      <w:spacing w:before="240" w:line="259" w:lineRule="auto"/>
      <w:jc w:val="left"/>
      <w:outlineLvl w:val="9"/>
    </w:pPr>
    <w:rPr>
      <w:rFonts w:asciiTheme="majorHAnsi" w:hAnsiTheme="majorHAnsi" w:eastAsiaTheme="majorEastAsia"/>
      <w:b w:val="0"/>
      <w:color w:val="2E75B5" w:themeColor="accent1" w:themeShade="BF"/>
      <w:kern w:val="0"/>
      <w:szCs w:val="32"/>
    </w:rPr>
  </w:style>
  <w:style w:type="character" w:customStyle="1" w:styleId="45">
    <w:name w:val="日期 Char"/>
    <w:basedOn w:val="30"/>
    <w:link w:val="14"/>
    <w:qFormat/>
    <w:uiPriority w:val="0"/>
    <w:rPr>
      <w:rFonts w:eastAsia="仿宋_GB2312" w:asciiTheme="minorHAnsi" w:hAnsiTheme="minorHAnsi" w:cstheme="minorBidi"/>
      <w:kern w:val="2"/>
      <w:sz w:val="32"/>
      <w:szCs w:val="24"/>
    </w:rPr>
  </w:style>
  <w:style w:type="character" w:customStyle="1" w:styleId="46">
    <w:name w:val="文档结构图 Char"/>
    <w:basedOn w:val="30"/>
    <w:link w:val="8"/>
    <w:semiHidden/>
    <w:qFormat/>
    <w:uiPriority w:val="0"/>
    <w:rPr>
      <w:rFonts w:ascii="宋体" w:hAnsiTheme="minorHAnsi" w:cstheme="minorBidi"/>
      <w:kern w:val="2"/>
      <w:sz w:val="18"/>
      <w:szCs w:val="18"/>
    </w:rPr>
  </w:style>
  <w:style w:type="character" w:customStyle="1" w:styleId="47">
    <w:name w:val="font41"/>
    <w:basedOn w:val="30"/>
    <w:qFormat/>
    <w:uiPriority w:val="0"/>
    <w:rPr>
      <w:rFonts w:hint="default" w:ascii="Times New Roman" w:hAnsi="Times New Roman" w:cs="Times New Roman"/>
      <w:color w:val="000000"/>
      <w:sz w:val="24"/>
      <w:szCs w:val="24"/>
      <w:u w:val="none"/>
    </w:rPr>
  </w:style>
  <w:style w:type="character" w:customStyle="1" w:styleId="48">
    <w:name w:val="font11"/>
    <w:basedOn w:val="30"/>
    <w:qFormat/>
    <w:uiPriority w:val="0"/>
    <w:rPr>
      <w:rFonts w:hint="eastAsia" w:ascii="宋体" w:hAnsi="宋体" w:eastAsia="宋体" w:cs="宋体"/>
      <w:color w:val="000000"/>
      <w:sz w:val="24"/>
      <w:szCs w:val="24"/>
      <w:u w:val="none"/>
    </w:rPr>
  </w:style>
  <w:style w:type="character" w:customStyle="1" w:styleId="49">
    <w:name w:val="font121"/>
    <w:basedOn w:val="30"/>
    <w:qFormat/>
    <w:uiPriority w:val="0"/>
    <w:rPr>
      <w:rFonts w:ascii="仿宋" w:hAnsi="仿宋" w:eastAsia="仿宋" w:cs="仿宋"/>
      <w:b/>
      <w:bCs/>
      <w:color w:val="000000"/>
      <w:sz w:val="24"/>
      <w:szCs w:val="24"/>
      <w:u w:val="none"/>
    </w:rPr>
  </w:style>
  <w:style w:type="character" w:customStyle="1" w:styleId="50">
    <w:name w:val="font31"/>
    <w:basedOn w:val="30"/>
    <w:qFormat/>
    <w:uiPriority w:val="0"/>
    <w:rPr>
      <w:rFonts w:hint="eastAsia" w:ascii="仿宋" w:hAnsi="仿宋" w:eastAsia="仿宋" w:cs="仿宋"/>
      <w:color w:val="000000"/>
      <w:sz w:val="22"/>
      <w:szCs w:val="22"/>
      <w:u w:val="none"/>
    </w:rPr>
  </w:style>
  <w:style w:type="character" w:customStyle="1" w:styleId="51">
    <w:name w:val="font131"/>
    <w:basedOn w:val="3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chart" Target="charts/chart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H:\&#25919;&#24220;&#36141;&#20080;&#26381;&#21153;&#31532;&#19977;&#26041;&#35780;&#20272;\&#32489;&#25928;&#35780;&#20272;\20210316\&#35780;&#20215;&#25253;&#21578;\&#23453;&#20016;&#21439;&#22303;&#22320;&#25910;&#36141;&#20648;&#22791;&#20013;&#24515;&#8220;&#23453;&#20016;&#21439;&#23439;&#21457;&#38081;&#19994;&#20302;&#25928;&#29992;&#22320;&#25910;&#20648;&#39033;&#30446;&#8221;&#39033;&#30446;&#25903;&#20986;&#32489;&#25928;&#35780;&#20215;&#20307;&#319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latin typeface="黑体" panose="02010609060101010101" charset="-122"/>
                <a:ea typeface="黑体" panose="02010609060101010101" charset="-122"/>
              </a:rPr>
              <a:t>图</a:t>
            </a:r>
            <a:r>
              <a:rPr lang="en-US" altLang="zh-CN" sz="1400" b="0">
                <a:latin typeface="黑体" panose="02010609060101010101" charset="-122"/>
                <a:ea typeface="黑体" panose="02010609060101010101" charset="-122"/>
              </a:rPr>
              <a:t>1</a:t>
            </a:r>
            <a:r>
              <a:rPr lang="en-US" altLang="zh-CN" sz="1400" b="0" baseline="0">
                <a:latin typeface="黑体" panose="02010609060101010101" charset="-122"/>
                <a:ea typeface="黑体" panose="02010609060101010101" charset="-122"/>
              </a:rPr>
              <a:t>  </a:t>
            </a:r>
            <a:r>
              <a:rPr lang="zh-CN" altLang="en-US" sz="1400" b="0">
                <a:latin typeface="黑体" panose="02010609060101010101" charset="-122"/>
                <a:ea typeface="黑体" panose="02010609060101010101" charset="-122"/>
              </a:rPr>
              <a:t>评价指标分布情况</a:t>
            </a:r>
            <a:endParaRPr lang="zh-CN" altLang="en-US" sz="1400" b="0">
              <a:latin typeface="黑体" panose="02010609060101010101" charset="-122"/>
              <a:ea typeface="黑体" panose="02010609060101010101" charset="-122"/>
            </a:endParaRPr>
          </a:p>
        </c:rich>
      </c:tx>
      <c:layout/>
      <c:overlay val="0"/>
    </c:title>
    <c:autoTitleDeleted val="0"/>
    <c:plotArea>
      <c:layout/>
      <c:pieChart>
        <c:varyColors val="1"/>
        <c:ser>
          <c:idx val="0"/>
          <c:order val="0"/>
          <c:tx>
            <c:strRef>
              <c:f>Sheet1!$B$3</c:f>
              <c:strCache>
                <c:ptCount val="1"/>
                <c:pt idx="0">
                  <c:v>评价指标分布情况</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Sheet1!$B$4:$B$7</c:f>
              <c:strCache>
                <c:ptCount val="4"/>
                <c:pt idx="0">
                  <c:v>决策</c:v>
                </c:pt>
                <c:pt idx="1">
                  <c:v>过程</c:v>
                </c:pt>
                <c:pt idx="2">
                  <c:v>产 出</c:v>
                </c:pt>
                <c:pt idx="3">
                  <c:v>效 果</c:v>
                </c:pt>
              </c:strCache>
            </c:strRef>
          </c:cat>
          <c:val>
            <c:numRef>
              <c:f>Sheet1!$C$4:$C$7</c:f>
              <c:numCache>
                <c:formatCode>General</c:formatCode>
                <c:ptCount val="4"/>
                <c:pt idx="0">
                  <c:v>15</c:v>
                </c:pt>
                <c:pt idx="1">
                  <c:v>25</c:v>
                </c:pt>
                <c:pt idx="2">
                  <c:v>30</c:v>
                </c:pt>
                <c:pt idx="3">
                  <c:v>30</c:v>
                </c:pt>
              </c:numCache>
            </c:numRef>
          </c:val>
        </c:ser>
        <c:ser>
          <c:idx val="1"/>
          <c:order val="1"/>
          <c:tx>
            <c:strRef>
              <c:f>Sheet1!$B$3</c:f>
              <c:strCache>
                <c:ptCount val="1"/>
                <c:pt idx="0">
                  <c:v>评价指标分布情况</c:v>
                </c:pt>
              </c:strCache>
            </c:strRef>
          </c:tx>
          <c:explosion val="0"/>
          <c:dPt>
            <c:idx val="0"/>
            <c:bubble3D val="0"/>
          </c:dPt>
          <c:dPt>
            <c:idx val="1"/>
            <c:bubble3D val="0"/>
          </c:dPt>
          <c:dPt>
            <c:idx val="2"/>
            <c:bubble3D val="0"/>
          </c:dPt>
          <c:dPt>
            <c:idx val="3"/>
            <c:bubble3D val="0"/>
          </c:dPt>
          <c:dLbls>
            <c:delete val="1"/>
          </c:dLbls>
          <c:cat>
            <c:strRef>
              <c:f>Sheet1!$B$4:$B$7</c:f>
              <c:strCache>
                <c:ptCount val="4"/>
                <c:pt idx="0">
                  <c:v>决策</c:v>
                </c:pt>
                <c:pt idx="1">
                  <c:v>过程</c:v>
                </c:pt>
                <c:pt idx="2">
                  <c:v>产 出</c:v>
                </c:pt>
                <c:pt idx="3">
                  <c:v>效 果</c:v>
                </c:pt>
              </c:strCache>
            </c:strRef>
          </c:cat>
          <c:val>
            <c:numRef>
              <c:f>Sheet1!$D$4:$D$7</c:f>
              <c:numCache>
                <c:formatCode>0%</c:formatCode>
                <c:ptCount val="4"/>
                <c:pt idx="0">
                  <c:v>0.15</c:v>
                </c:pt>
                <c:pt idx="1">
                  <c:v>0.25</c:v>
                </c:pt>
                <c:pt idx="2">
                  <c:v>0.3</c:v>
                </c:pt>
                <c:pt idx="3">
                  <c:v>0.3</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E37A14-5C62-4ACB-B9A9-DF662A4423BD}">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15870</Words>
  <Characters>17359</Characters>
  <Lines>184</Lines>
  <Paragraphs>52</Paragraphs>
  <TotalTime>0</TotalTime>
  <ScaleCrop>false</ScaleCrop>
  <LinksUpToDate>false</LinksUpToDate>
  <CharactersWithSpaces>17588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2021-06-30T05:51:00Z</dcterms:created>
  <dc:creator>Administrator</dc:creator>
  <cp:lastModifiedBy>云飞扬</cp:lastModifiedBy>
  <cp:lastPrinted>2022-12-07T08:48:00Z</cp:lastPrinted>
  <dcterms:modified xsi:type="dcterms:W3CDTF">2022-12-08T11:27:35Z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C73F03D864B447238769CD95816F9FE8</vt:lpwstr>
  </property>
</Properties>
</file>