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ind w:leftChars="0" w:rightChars="0"/>
        <w:rPr>
          <w:rFonts w:hint="default" w:ascii="Times New Roman" w:hAnsi="Times New Roman" w:eastAsia="黑体"/>
          <w:color w:val="000000" w:themeColor="text1"/>
          <w:sz w:val="32"/>
          <w:szCs w:val="32"/>
        </w:rPr>
      </w:pPr>
    </w:p>
    <w:p>
      <w:pPr>
        <w:spacing w:line="240" w:lineRule="auto"/>
        <w:ind w:left="0" w:leftChars="0" w:right="0" w:rightChars="0"/>
        <w:jc w:val="center"/>
        <w:rPr>
          <w:rFonts w:ascii="Times New Roman" w:hAnsi="Times New Roman" w:eastAsia="仿宋" w:cs="Times New Roman"/>
          <w:b/>
          <w:bCs/>
          <w:color w:val="000000" w:themeColor="text1"/>
          <w:sz w:val="56"/>
          <w:szCs w:val="44"/>
        </w:rPr>
      </w:pPr>
    </w:p>
    <w:p>
      <w:pPr>
        <w:ind w:left="0" w:leftChars="0" w:right="0" w:rightChars="0"/>
        <w:jc w:val="center"/>
        <w:rPr>
          <w:rFonts w:hint="eastAsia" w:ascii="仿宋" w:hAnsi="仿宋" w:eastAsia="仿宋" w:cs="仿宋"/>
          <w:b/>
          <w:bCs/>
          <w:color w:val="000000" w:themeColor="text1"/>
          <w:sz w:val="44"/>
          <w:szCs w:val="44"/>
        </w:rPr>
      </w:pPr>
      <w:bookmarkStart w:id="0" w:name="_Hlk67409639"/>
      <w:r>
        <w:rPr>
          <w:rFonts w:hint="eastAsia" w:ascii="仿宋" w:hAnsi="仿宋" w:eastAsia="仿宋" w:cs="仿宋"/>
          <w:b/>
          <w:bCs/>
          <w:color w:val="000000" w:themeColor="text1"/>
          <w:sz w:val="44"/>
          <w:szCs w:val="44"/>
          <w:lang w:val="en-US" w:eastAsia="zh-CN"/>
        </w:rPr>
        <w:t xml:space="preserve">  </w:t>
      </w:r>
      <w:r>
        <w:rPr>
          <w:rFonts w:hint="eastAsia" w:ascii="仿宋" w:hAnsi="仿宋" w:eastAsia="仿宋" w:cs="仿宋"/>
          <w:b/>
          <w:bCs/>
          <w:color w:val="000000" w:themeColor="text1"/>
          <w:sz w:val="44"/>
          <w:szCs w:val="44"/>
        </w:rPr>
        <w:t>行政服务中心工作经费</w:t>
      </w:r>
    </w:p>
    <w:p>
      <w:pPr>
        <w:spacing w:line="240" w:lineRule="auto"/>
        <w:ind w:left="0" w:leftChars="0" w:right="0" w:rightChars="0"/>
        <w:jc w:val="center"/>
        <w:rPr>
          <w:rFonts w:hint="eastAsia" w:ascii="仿宋" w:hAnsi="仿宋" w:eastAsia="仿宋" w:cs="仿宋"/>
          <w:b/>
          <w:bCs/>
          <w:color w:val="000000" w:themeColor="text1"/>
          <w:sz w:val="44"/>
          <w:szCs w:val="44"/>
        </w:rPr>
      </w:pPr>
      <w:r>
        <w:rPr>
          <w:rFonts w:hint="eastAsia" w:ascii="仿宋" w:hAnsi="仿宋" w:eastAsia="仿宋" w:cs="仿宋"/>
          <w:b/>
          <w:bCs/>
          <w:color w:val="000000" w:themeColor="text1"/>
          <w:sz w:val="44"/>
          <w:szCs w:val="44"/>
          <w:lang w:val="en-US" w:eastAsia="zh-CN"/>
        </w:rPr>
        <w:t xml:space="preserve">  </w:t>
      </w:r>
      <w:r>
        <w:rPr>
          <w:rFonts w:hint="eastAsia" w:ascii="仿宋" w:hAnsi="仿宋" w:eastAsia="仿宋" w:cs="仿宋"/>
          <w:b/>
          <w:bCs/>
          <w:color w:val="000000" w:themeColor="text1"/>
          <w:sz w:val="44"/>
          <w:szCs w:val="44"/>
        </w:rPr>
        <w:t>项目支出绩效评价报告</w:t>
      </w:r>
      <w:bookmarkStart w:id="98" w:name="_GoBack"/>
      <w:bookmarkEnd w:id="98"/>
    </w:p>
    <w:p>
      <w:pPr>
        <w:pStyle w:val="12"/>
        <w:ind w:firstLine="560"/>
        <w:rPr>
          <w:rFonts w:cs="Times New Roman"/>
        </w:rPr>
      </w:pPr>
    </w:p>
    <w:p>
      <w:pPr>
        <w:pStyle w:val="12"/>
        <w:ind w:firstLine="560"/>
        <w:rPr>
          <w:rFonts w:cs="Times New Roman"/>
        </w:rPr>
      </w:pPr>
    </w:p>
    <w:bookmarkEnd w:id="0"/>
    <w:p>
      <w:pPr>
        <w:pStyle w:val="12"/>
        <w:spacing w:line="480" w:lineRule="auto"/>
        <w:ind w:left="-480" w:leftChars="-150" w:firstLine="643"/>
        <w:rPr>
          <w:rFonts w:cs="Times New Roman"/>
          <w:b/>
          <w:bCs/>
          <w:sz w:val="32"/>
          <w:szCs w:val="32"/>
        </w:rPr>
      </w:pPr>
    </w:p>
    <w:p>
      <w:pPr>
        <w:pStyle w:val="12"/>
        <w:spacing w:line="480" w:lineRule="auto"/>
        <w:ind w:left="-480" w:leftChars="-150" w:firstLine="643"/>
        <w:rPr>
          <w:rFonts w:cs="Times New Roman"/>
          <w:b/>
          <w:bCs/>
          <w:sz w:val="32"/>
          <w:szCs w:val="32"/>
        </w:rPr>
      </w:pPr>
    </w:p>
    <w:p>
      <w:pPr>
        <w:pStyle w:val="12"/>
        <w:spacing w:line="480" w:lineRule="auto"/>
        <w:ind w:left="-480" w:leftChars="-150" w:firstLine="643"/>
        <w:rPr>
          <w:rFonts w:cs="Times New Roman"/>
          <w:sz w:val="32"/>
          <w:szCs w:val="32"/>
        </w:rPr>
      </w:pPr>
      <w:r>
        <w:rPr>
          <w:rFonts w:cs="Times New Roman"/>
          <w:b/>
          <w:bCs/>
          <w:sz w:val="32"/>
          <w:szCs w:val="32"/>
        </w:rPr>
        <w:t>评 价 类 型</w:t>
      </w:r>
      <w:r>
        <w:rPr>
          <w:rFonts w:cs="Times New Roman"/>
          <w:sz w:val="32"/>
          <w:szCs w:val="32"/>
        </w:rPr>
        <w:t xml:space="preserve"> ：□阶段评价        </w:t>
      </w:r>
      <w:r>
        <w:rPr>
          <w:rFonts w:ascii="Segoe UI Symbol" w:hAnsi="Segoe UI Symbol" w:cs="Segoe UI Symbol"/>
          <w:sz w:val="32"/>
          <w:szCs w:val="32"/>
        </w:rPr>
        <w:t>☑</w:t>
      </w:r>
      <w:r>
        <w:rPr>
          <w:rFonts w:cs="Times New Roman"/>
          <w:sz w:val="32"/>
          <w:szCs w:val="32"/>
        </w:rPr>
        <w:t>结束评价</w:t>
      </w:r>
    </w:p>
    <w:p>
      <w:pPr>
        <w:pStyle w:val="12"/>
        <w:spacing w:line="480" w:lineRule="auto"/>
        <w:ind w:left="-480" w:leftChars="-150" w:firstLine="643"/>
        <w:rPr>
          <w:rFonts w:cs="Times New Roman"/>
          <w:sz w:val="32"/>
          <w:szCs w:val="32"/>
        </w:rPr>
      </w:pPr>
      <w:r>
        <w:rPr>
          <w:rFonts w:cs="Times New Roman"/>
          <w:b/>
          <w:bCs/>
          <w:sz w:val="32"/>
          <w:szCs w:val="32"/>
        </w:rPr>
        <w:t>评 价 方 式</w:t>
      </w:r>
      <w:r>
        <w:rPr>
          <w:rFonts w:cs="Times New Roman"/>
          <w:sz w:val="32"/>
          <w:szCs w:val="32"/>
        </w:rPr>
        <w:t xml:space="preserve"> ：□直接组织评价    </w:t>
      </w:r>
      <w:r>
        <w:rPr>
          <w:rFonts w:ascii="Segoe UI Symbol" w:hAnsi="Segoe UI Symbol" w:cs="Segoe UI Symbol"/>
          <w:sz w:val="32"/>
          <w:szCs w:val="32"/>
        </w:rPr>
        <w:t>☑</w:t>
      </w:r>
      <w:r>
        <w:rPr>
          <w:rFonts w:cs="Times New Roman"/>
          <w:sz w:val="32"/>
          <w:szCs w:val="32"/>
        </w:rPr>
        <w:t>委托协助评价</w:t>
      </w:r>
    </w:p>
    <w:p>
      <w:pPr>
        <w:pStyle w:val="12"/>
        <w:spacing w:line="480" w:lineRule="auto"/>
        <w:ind w:left="-480" w:leftChars="-150" w:firstLine="643"/>
        <w:rPr>
          <w:rFonts w:cs="Times New Roman"/>
          <w:sz w:val="32"/>
          <w:szCs w:val="32"/>
          <w:u w:val="single"/>
        </w:rPr>
      </w:pPr>
      <w:r>
        <w:rPr>
          <w:rFonts w:cs="Times New Roman"/>
          <w:b/>
          <w:bCs/>
          <w:sz w:val="32"/>
          <w:szCs w:val="32"/>
        </w:rPr>
        <w:t>项 目 名 称</w:t>
      </w:r>
      <w:r>
        <w:rPr>
          <w:rFonts w:cs="Times New Roman"/>
          <w:sz w:val="32"/>
          <w:szCs w:val="32"/>
        </w:rPr>
        <w:t xml:space="preserve"> ：</w:t>
      </w:r>
      <w:r>
        <w:rPr>
          <w:rFonts w:hint="eastAsia" w:cs="Times New Roman"/>
          <w:sz w:val="32"/>
          <w:szCs w:val="32"/>
          <w:u w:val="single"/>
        </w:rPr>
        <w:t>行政服务中心工作经费</w:t>
      </w:r>
    </w:p>
    <w:p>
      <w:pPr>
        <w:pStyle w:val="12"/>
        <w:spacing w:line="480" w:lineRule="auto"/>
        <w:ind w:left="-480" w:leftChars="-150" w:firstLine="643"/>
        <w:rPr>
          <w:rFonts w:cs="Times New Roman"/>
          <w:sz w:val="32"/>
          <w:szCs w:val="32"/>
          <w:u w:val="single"/>
        </w:rPr>
      </w:pPr>
      <w:r>
        <w:rPr>
          <w:rFonts w:cs="Times New Roman"/>
          <w:b/>
          <w:bCs/>
          <w:sz w:val="32"/>
          <w:szCs w:val="32"/>
        </w:rPr>
        <w:t>项目承担单位</w:t>
      </w:r>
      <w:r>
        <w:rPr>
          <w:rFonts w:cs="Times New Roman"/>
          <w:sz w:val="32"/>
          <w:szCs w:val="32"/>
        </w:rPr>
        <w:t>：</w:t>
      </w:r>
      <w:r>
        <w:rPr>
          <w:rFonts w:hint="eastAsia" w:cs="Times New Roman"/>
          <w:sz w:val="32"/>
          <w:szCs w:val="32"/>
          <w:u w:val="single"/>
        </w:rPr>
        <w:t>漯河经济技术开发区行政服务中心</w:t>
      </w:r>
    </w:p>
    <w:p>
      <w:pPr>
        <w:pStyle w:val="12"/>
        <w:spacing w:line="480" w:lineRule="auto"/>
        <w:ind w:left="-480" w:leftChars="-150" w:firstLine="643"/>
        <w:rPr>
          <w:rFonts w:cs="Times New Roman"/>
          <w:sz w:val="32"/>
          <w:szCs w:val="32"/>
          <w:highlight w:val="yellow"/>
          <w:u w:val="single"/>
        </w:rPr>
      </w:pPr>
      <w:r>
        <w:rPr>
          <w:rFonts w:cs="Times New Roman"/>
          <w:b/>
          <w:bCs/>
          <w:sz w:val="32"/>
          <w:szCs w:val="32"/>
        </w:rPr>
        <w:t>项目主管部门</w:t>
      </w:r>
      <w:r>
        <w:rPr>
          <w:rFonts w:cs="Times New Roman"/>
          <w:sz w:val="32"/>
          <w:szCs w:val="32"/>
        </w:rPr>
        <w:t>：</w:t>
      </w:r>
      <w:r>
        <w:rPr>
          <w:rFonts w:hint="eastAsia" w:cs="Times New Roman"/>
          <w:sz w:val="32"/>
          <w:szCs w:val="32"/>
          <w:u w:val="single"/>
        </w:rPr>
        <w:t>漯河经济技术开发区行政服务中心</w:t>
      </w:r>
    </w:p>
    <w:p>
      <w:pPr>
        <w:pStyle w:val="12"/>
        <w:ind w:firstLine="643"/>
        <w:jc w:val="center"/>
        <w:rPr>
          <w:rFonts w:cs="Times New Roman"/>
          <w:b/>
          <w:bCs/>
          <w:sz w:val="32"/>
          <w:szCs w:val="32"/>
        </w:rPr>
      </w:pPr>
    </w:p>
    <w:p>
      <w:pPr>
        <w:pStyle w:val="12"/>
        <w:ind w:right="320" w:firstLine="643"/>
        <w:jc w:val="center"/>
        <w:rPr>
          <w:rFonts w:cs="Times New Roman"/>
          <w:b/>
          <w:bCs/>
          <w:sz w:val="32"/>
          <w:szCs w:val="32"/>
        </w:rPr>
      </w:pPr>
    </w:p>
    <w:p>
      <w:pPr>
        <w:pStyle w:val="12"/>
        <w:ind w:right="320" w:firstLine="643"/>
        <w:jc w:val="center"/>
        <w:rPr>
          <w:rFonts w:cs="Times New Roman"/>
          <w:b/>
          <w:bCs/>
          <w:sz w:val="32"/>
          <w:szCs w:val="32"/>
        </w:rPr>
      </w:pPr>
    </w:p>
    <w:p>
      <w:pPr>
        <w:pStyle w:val="12"/>
        <w:ind w:right="320" w:firstLine="643"/>
        <w:jc w:val="center"/>
        <w:rPr>
          <w:rFonts w:cs="Times New Roman"/>
          <w:b/>
          <w:bCs/>
          <w:sz w:val="32"/>
          <w:szCs w:val="36"/>
        </w:rPr>
      </w:pPr>
      <w:r>
        <w:rPr>
          <w:rFonts w:hint="eastAsia" w:cs="Times New Roman"/>
          <w:b/>
          <w:bCs/>
          <w:sz w:val="32"/>
          <w:szCs w:val="36"/>
        </w:rPr>
        <w:t>河南新卓房地产评估有限公司</w:t>
      </w:r>
    </w:p>
    <w:p>
      <w:pPr>
        <w:pStyle w:val="12"/>
        <w:ind w:right="320" w:firstLine="643"/>
        <w:jc w:val="center"/>
        <w:rPr>
          <w:rFonts w:cs="Times New Roman"/>
        </w:rPr>
      </w:pPr>
      <w:r>
        <w:rPr>
          <w:rFonts w:cs="Times New Roman"/>
          <w:b/>
          <w:bCs/>
          <w:sz w:val="32"/>
          <w:szCs w:val="36"/>
        </w:rPr>
        <w:t>二〇二</w:t>
      </w:r>
      <w:r>
        <w:rPr>
          <w:rFonts w:hint="eastAsia" w:cs="Times New Roman"/>
          <w:b/>
          <w:bCs/>
          <w:sz w:val="32"/>
          <w:szCs w:val="36"/>
        </w:rPr>
        <w:t>二</w:t>
      </w:r>
      <w:r>
        <w:rPr>
          <w:rFonts w:cs="Times New Roman"/>
          <w:b/>
          <w:bCs/>
          <w:sz w:val="32"/>
          <w:szCs w:val="36"/>
        </w:rPr>
        <w:t>年</w:t>
      </w:r>
      <w:r>
        <w:rPr>
          <w:rFonts w:hint="eastAsia" w:cs="Times New Roman"/>
          <w:b/>
          <w:bCs/>
          <w:sz w:val="32"/>
          <w:szCs w:val="36"/>
          <w:lang w:eastAsia="zh-CN"/>
        </w:rPr>
        <w:t>五</w:t>
      </w:r>
      <w:r>
        <w:rPr>
          <w:rFonts w:cs="Times New Roman"/>
          <w:b/>
          <w:bCs/>
          <w:sz w:val="32"/>
          <w:szCs w:val="36"/>
        </w:rPr>
        <w:t>月</w:t>
      </w:r>
    </w:p>
    <w:p>
      <w:pPr>
        <w:pStyle w:val="12"/>
        <w:ind w:right="320" w:firstLine="640"/>
        <w:jc w:val="center"/>
        <w:rPr>
          <w:rFonts w:cs="Times New Roman"/>
          <w:sz w:val="32"/>
          <w:szCs w:val="2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1"/>
          <w:cols w:space="425" w:num="1"/>
          <w:titlePg/>
          <w:docGrid w:type="lines" w:linePitch="435" w:charSpace="0"/>
        </w:sectPr>
      </w:pPr>
    </w:p>
    <w:sdt>
      <w:sdtPr>
        <w:rPr>
          <w:rFonts w:eastAsia="仿宋_GB2312" w:cs="Times New Roman" w:asciiTheme="minorHAnsi" w:hAnsiTheme="minorHAnsi"/>
          <w:b/>
          <w:bCs/>
          <w:caps/>
          <w:sz w:val="32"/>
          <w:szCs w:val="24"/>
          <w:lang w:val="zh-CN"/>
        </w:rPr>
        <w:id w:val="-1861501395"/>
        <w:docPartObj>
          <w:docPartGallery w:val="Table of Contents"/>
          <w:docPartUnique/>
        </w:docPartObj>
      </w:sdtPr>
      <w:sdtEndPr>
        <w:rPr>
          <w:rFonts w:eastAsia="仿宋_GB2312" w:cs="Times New Roman" w:asciiTheme="minorHAnsi" w:hAnsiTheme="minorHAnsi"/>
          <w:b/>
          <w:bCs/>
          <w:caps/>
          <w:sz w:val="28"/>
          <w:szCs w:val="28"/>
          <w:lang w:val="zh-CN"/>
        </w:rPr>
      </w:sdtEndPr>
      <w:sdtContent>
        <w:p>
          <w:pPr>
            <w:pStyle w:val="12"/>
            <w:ind w:right="320" w:firstLine="643"/>
            <w:jc w:val="center"/>
            <w:rPr>
              <w:rFonts w:cs="Times New Roman"/>
              <w:b/>
              <w:bCs/>
              <w:sz w:val="24"/>
              <w:szCs w:val="24"/>
            </w:rPr>
          </w:pPr>
          <w:r>
            <w:rPr>
              <w:rFonts w:cs="Times New Roman"/>
              <w:b/>
              <w:bCs/>
              <w:sz w:val="24"/>
              <w:szCs w:val="24"/>
              <w:lang w:val="zh-CN"/>
            </w:rPr>
            <w:t>目录</w:t>
          </w:r>
        </w:p>
        <w:p>
          <w:pPr>
            <w:pStyle w:val="18"/>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_Toc15842 </w:instrText>
          </w:r>
          <w:r>
            <w:rPr>
              <w:rFonts w:hint="eastAsia" w:ascii="仿宋" w:hAnsi="仿宋" w:eastAsia="仿宋" w:cs="仿宋"/>
              <w:szCs w:val="24"/>
            </w:rPr>
            <w:fldChar w:fldCharType="separate"/>
          </w:r>
          <w:r>
            <w:rPr>
              <w:rFonts w:cs="Times New Roman"/>
            </w:rPr>
            <w:t>一、基本情况</w:t>
          </w:r>
          <w:r>
            <w:tab/>
          </w:r>
          <w:r>
            <w:fldChar w:fldCharType="begin"/>
          </w:r>
          <w:r>
            <w:instrText xml:space="preserve"> PAGEREF _Toc15842 \h </w:instrText>
          </w:r>
          <w:r>
            <w:fldChar w:fldCharType="separate"/>
          </w:r>
          <w:r>
            <w:t>4</w:t>
          </w:r>
          <w:r>
            <w:fldChar w:fldCharType="end"/>
          </w:r>
          <w:r>
            <w:rPr>
              <w:rFonts w:hint="eastAsia" w:ascii="仿宋" w:hAnsi="仿宋" w:eastAsia="仿宋" w:cs="仿宋"/>
              <w:szCs w:val="24"/>
            </w:rPr>
            <w:fldChar w:fldCharType="end"/>
          </w:r>
        </w:p>
        <w:p>
          <w:pPr>
            <w:pStyle w:val="2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_Toc28952 </w:instrText>
          </w:r>
          <w:r>
            <w:rPr>
              <w:rFonts w:hint="eastAsia" w:ascii="仿宋" w:hAnsi="仿宋" w:eastAsia="仿宋" w:cs="仿宋"/>
              <w:szCs w:val="24"/>
              <w:lang w:val="zh-CN"/>
            </w:rPr>
            <w:fldChar w:fldCharType="separate"/>
          </w:r>
          <w:r>
            <w:rPr>
              <w:rFonts w:cs="Times New Roman"/>
            </w:rPr>
            <w:t>（一）项目概况</w:t>
          </w:r>
          <w:r>
            <w:tab/>
          </w:r>
          <w:r>
            <w:fldChar w:fldCharType="begin"/>
          </w:r>
          <w:r>
            <w:instrText xml:space="preserve"> PAGEREF _Toc28952 \h </w:instrText>
          </w:r>
          <w:r>
            <w:fldChar w:fldCharType="separate"/>
          </w:r>
          <w:r>
            <w:t>4</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_Toc1141 </w:instrText>
          </w:r>
          <w:r>
            <w:rPr>
              <w:rFonts w:hint="eastAsia" w:ascii="仿宋" w:hAnsi="仿宋" w:eastAsia="仿宋" w:cs="仿宋"/>
              <w:szCs w:val="24"/>
              <w:lang w:val="zh-CN"/>
            </w:rPr>
            <w:fldChar w:fldCharType="separate"/>
          </w:r>
          <w:r>
            <w:rPr>
              <w:rFonts w:cs="Times New Roman"/>
            </w:rPr>
            <w:t>1.项目单位基本情况</w:t>
          </w:r>
          <w:r>
            <w:tab/>
          </w:r>
          <w:r>
            <w:fldChar w:fldCharType="begin"/>
          </w:r>
          <w:r>
            <w:instrText xml:space="preserve"> PAGEREF _Toc1141 \h </w:instrText>
          </w:r>
          <w:r>
            <w:fldChar w:fldCharType="separate"/>
          </w:r>
          <w:r>
            <w:t>4</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_Toc2514 </w:instrText>
          </w:r>
          <w:r>
            <w:rPr>
              <w:rFonts w:hint="eastAsia" w:ascii="仿宋" w:hAnsi="仿宋" w:eastAsia="仿宋" w:cs="仿宋"/>
              <w:szCs w:val="24"/>
              <w:lang w:val="zh-CN"/>
            </w:rPr>
            <w:fldChar w:fldCharType="separate"/>
          </w:r>
          <w:r>
            <w:rPr>
              <w:rFonts w:cs="Times New Roman"/>
            </w:rPr>
            <w:t>2.项目背景</w:t>
          </w:r>
          <w:r>
            <w:tab/>
          </w:r>
          <w:r>
            <w:fldChar w:fldCharType="begin"/>
          </w:r>
          <w:r>
            <w:instrText xml:space="preserve"> PAGEREF _Toc2514 \h </w:instrText>
          </w:r>
          <w:r>
            <w:fldChar w:fldCharType="separate"/>
          </w:r>
          <w:r>
            <w:t>5</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_Toc10255 </w:instrText>
          </w:r>
          <w:r>
            <w:rPr>
              <w:rFonts w:hint="eastAsia" w:ascii="仿宋" w:hAnsi="仿宋" w:eastAsia="仿宋" w:cs="仿宋"/>
              <w:szCs w:val="24"/>
              <w:lang w:val="zh-CN"/>
            </w:rPr>
            <w:fldChar w:fldCharType="separate"/>
          </w:r>
          <w:r>
            <w:rPr>
              <w:rFonts w:cs="Times New Roman"/>
            </w:rPr>
            <w:t>3.主要内容</w:t>
          </w:r>
          <w:r>
            <w:tab/>
          </w:r>
          <w:r>
            <w:fldChar w:fldCharType="begin"/>
          </w:r>
          <w:r>
            <w:instrText xml:space="preserve"> PAGEREF _Toc10255 \h </w:instrText>
          </w:r>
          <w:r>
            <w:fldChar w:fldCharType="separate"/>
          </w:r>
          <w:r>
            <w:t>5</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_Toc15432 </w:instrText>
          </w:r>
          <w:r>
            <w:rPr>
              <w:rFonts w:hint="eastAsia" w:ascii="仿宋" w:hAnsi="仿宋" w:eastAsia="仿宋" w:cs="仿宋"/>
              <w:szCs w:val="24"/>
              <w:lang w:val="zh-CN"/>
            </w:rPr>
            <w:fldChar w:fldCharType="separate"/>
          </w:r>
          <w:r>
            <w:rPr>
              <w:rFonts w:cs="Times New Roman"/>
            </w:rPr>
            <w:t>4.实施情况</w:t>
          </w:r>
          <w:r>
            <w:tab/>
          </w:r>
          <w:r>
            <w:fldChar w:fldCharType="begin"/>
          </w:r>
          <w:r>
            <w:instrText xml:space="preserve"> PAGEREF _Toc15432 \h </w:instrText>
          </w:r>
          <w:r>
            <w:fldChar w:fldCharType="separate"/>
          </w:r>
          <w:r>
            <w:t>6</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_Toc1280 </w:instrText>
          </w:r>
          <w:r>
            <w:rPr>
              <w:rFonts w:hint="eastAsia" w:ascii="仿宋" w:hAnsi="仿宋" w:eastAsia="仿宋" w:cs="仿宋"/>
              <w:szCs w:val="24"/>
              <w:lang w:val="zh-CN"/>
            </w:rPr>
            <w:fldChar w:fldCharType="separate"/>
          </w:r>
          <w:r>
            <w:rPr>
              <w:rFonts w:cs="Times New Roman"/>
            </w:rPr>
            <w:t>5.资金投入及使用情况</w:t>
          </w:r>
          <w:r>
            <w:tab/>
          </w:r>
          <w:r>
            <w:fldChar w:fldCharType="begin"/>
          </w:r>
          <w:r>
            <w:instrText xml:space="preserve"> PAGEREF _Toc1280 \h </w:instrText>
          </w:r>
          <w:r>
            <w:fldChar w:fldCharType="separate"/>
          </w:r>
          <w:r>
            <w:t>6</w:t>
          </w:r>
          <w:r>
            <w:fldChar w:fldCharType="end"/>
          </w:r>
          <w:r>
            <w:rPr>
              <w:rFonts w:hint="eastAsia" w:ascii="仿宋" w:hAnsi="仿宋" w:eastAsia="仿宋" w:cs="仿宋"/>
              <w:szCs w:val="24"/>
              <w:lang w:val="zh-CN"/>
            </w:rPr>
            <w:fldChar w:fldCharType="end"/>
          </w:r>
        </w:p>
        <w:p>
          <w:pPr>
            <w:pStyle w:val="2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_Toc25631 </w:instrText>
          </w:r>
          <w:r>
            <w:rPr>
              <w:rFonts w:hint="eastAsia" w:ascii="仿宋" w:hAnsi="仿宋" w:eastAsia="仿宋" w:cs="仿宋"/>
              <w:szCs w:val="24"/>
              <w:lang w:val="zh-CN"/>
            </w:rPr>
            <w:fldChar w:fldCharType="separate"/>
          </w:r>
          <w:r>
            <w:rPr>
              <w:rFonts w:cs="Times New Roman"/>
            </w:rPr>
            <w:t>（二）项目绩效目标</w:t>
          </w:r>
          <w:r>
            <w:tab/>
          </w:r>
          <w:r>
            <w:fldChar w:fldCharType="begin"/>
          </w:r>
          <w:r>
            <w:instrText xml:space="preserve"> PAGEREF _Toc25631 \h </w:instrText>
          </w:r>
          <w:r>
            <w:fldChar w:fldCharType="separate"/>
          </w:r>
          <w:r>
            <w:t>6</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_Toc32418 </w:instrText>
          </w:r>
          <w:r>
            <w:rPr>
              <w:rFonts w:hint="eastAsia" w:ascii="仿宋" w:hAnsi="仿宋" w:eastAsia="仿宋" w:cs="仿宋"/>
              <w:szCs w:val="24"/>
              <w:lang w:val="zh-CN"/>
            </w:rPr>
            <w:fldChar w:fldCharType="separate"/>
          </w:r>
          <w:r>
            <w:rPr>
              <w:rFonts w:cs="Times New Roman"/>
            </w:rPr>
            <w:t>1.总体目标</w:t>
          </w:r>
          <w:r>
            <w:tab/>
          </w:r>
          <w:r>
            <w:fldChar w:fldCharType="begin"/>
          </w:r>
          <w:r>
            <w:instrText xml:space="preserve"> PAGEREF _Toc32418 \h </w:instrText>
          </w:r>
          <w:r>
            <w:fldChar w:fldCharType="separate"/>
          </w:r>
          <w:r>
            <w:t>6</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_Toc7271 </w:instrText>
          </w:r>
          <w:r>
            <w:rPr>
              <w:rFonts w:hint="eastAsia" w:ascii="仿宋" w:hAnsi="仿宋" w:eastAsia="仿宋" w:cs="仿宋"/>
              <w:szCs w:val="24"/>
              <w:lang w:val="zh-CN"/>
            </w:rPr>
            <w:fldChar w:fldCharType="separate"/>
          </w:r>
          <w:r>
            <w:rPr>
              <w:rFonts w:cs="Times New Roman"/>
            </w:rPr>
            <w:t>2.阶段性目标</w:t>
          </w:r>
          <w:r>
            <w:tab/>
          </w:r>
          <w:r>
            <w:fldChar w:fldCharType="begin"/>
          </w:r>
          <w:r>
            <w:instrText xml:space="preserve"> PAGEREF _Toc7271 \h </w:instrText>
          </w:r>
          <w:r>
            <w:fldChar w:fldCharType="separate"/>
          </w:r>
          <w:r>
            <w:t>7</w:t>
          </w:r>
          <w:r>
            <w:fldChar w:fldCharType="end"/>
          </w:r>
          <w:r>
            <w:rPr>
              <w:rFonts w:hint="eastAsia" w:ascii="仿宋" w:hAnsi="仿宋" w:eastAsia="仿宋" w:cs="仿宋"/>
              <w:szCs w:val="24"/>
              <w:lang w:val="zh-CN"/>
            </w:rPr>
            <w:fldChar w:fldCharType="end"/>
          </w:r>
        </w:p>
        <w:p>
          <w:pPr>
            <w:pStyle w:val="18"/>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_Toc31835 </w:instrText>
          </w:r>
          <w:r>
            <w:rPr>
              <w:rFonts w:hint="eastAsia" w:ascii="仿宋" w:hAnsi="仿宋" w:eastAsia="仿宋" w:cs="仿宋"/>
              <w:szCs w:val="24"/>
              <w:lang w:val="zh-CN"/>
            </w:rPr>
            <w:fldChar w:fldCharType="separate"/>
          </w:r>
          <w:r>
            <w:rPr>
              <w:rFonts w:hint="eastAsia"/>
            </w:rPr>
            <w:t>二、</w:t>
          </w:r>
          <w:r>
            <w:t>绩效评价工作开展情况</w:t>
          </w:r>
          <w:r>
            <w:tab/>
          </w:r>
          <w:r>
            <w:fldChar w:fldCharType="begin"/>
          </w:r>
          <w:r>
            <w:instrText xml:space="preserve"> PAGEREF _Toc31835 \h </w:instrText>
          </w:r>
          <w:r>
            <w:fldChar w:fldCharType="separate"/>
          </w:r>
          <w:r>
            <w:t>8</w:t>
          </w:r>
          <w:r>
            <w:fldChar w:fldCharType="end"/>
          </w:r>
          <w:r>
            <w:rPr>
              <w:rFonts w:hint="eastAsia" w:ascii="仿宋" w:hAnsi="仿宋" w:eastAsia="仿宋" w:cs="仿宋"/>
              <w:szCs w:val="24"/>
              <w:lang w:val="zh-CN"/>
            </w:rPr>
            <w:fldChar w:fldCharType="end"/>
          </w:r>
        </w:p>
        <w:p>
          <w:pPr>
            <w:pStyle w:val="2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_Toc27938 </w:instrText>
          </w:r>
          <w:r>
            <w:rPr>
              <w:rFonts w:hint="eastAsia" w:ascii="仿宋" w:hAnsi="仿宋" w:eastAsia="仿宋" w:cs="仿宋"/>
              <w:szCs w:val="24"/>
              <w:lang w:val="zh-CN"/>
            </w:rPr>
            <w:fldChar w:fldCharType="separate"/>
          </w:r>
          <w:r>
            <w:t>（一）绩效评价目的、对象和范围</w:t>
          </w:r>
          <w:r>
            <w:tab/>
          </w:r>
          <w:r>
            <w:fldChar w:fldCharType="begin"/>
          </w:r>
          <w:r>
            <w:instrText xml:space="preserve"> PAGEREF _Toc27938 \h </w:instrText>
          </w:r>
          <w:r>
            <w:fldChar w:fldCharType="separate"/>
          </w:r>
          <w:r>
            <w:t>8</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_Toc29589 </w:instrText>
          </w:r>
          <w:r>
            <w:rPr>
              <w:rFonts w:hint="eastAsia" w:ascii="仿宋" w:hAnsi="仿宋" w:eastAsia="仿宋" w:cs="仿宋"/>
              <w:szCs w:val="24"/>
              <w:lang w:val="zh-CN"/>
            </w:rPr>
            <w:fldChar w:fldCharType="separate"/>
          </w:r>
          <w:r>
            <w:rPr>
              <w:rFonts w:cs="Times New Roman"/>
            </w:rPr>
            <w:t>1.绩效评价目的</w:t>
          </w:r>
          <w:r>
            <w:tab/>
          </w:r>
          <w:r>
            <w:fldChar w:fldCharType="begin"/>
          </w:r>
          <w:r>
            <w:instrText xml:space="preserve"> PAGEREF _Toc29589 \h </w:instrText>
          </w:r>
          <w:r>
            <w:fldChar w:fldCharType="separate"/>
          </w:r>
          <w:r>
            <w:t>8</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_Toc30166 </w:instrText>
          </w:r>
          <w:r>
            <w:rPr>
              <w:rFonts w:hint="eastAsia" w:ascii="仿宋" w:hAnsi="仿宋" w:eastAsia="仿宋" w:cs="仿宋"/>
              <w:szCs w:val="24"/>
              <w:lang w:val="zh-CN"/>
            </w:rPr>
            <w:fldChar w:fldCharType="separate"/>
          </w:r>
          <w:r>
            <w:rPr>
              <w:rFonts w:cs="Times New Roman"/>
            </w:rPr>
            <w:t>2.绩效评价对象</w:t>
          </w:r>
          <w:r>
            <w:tab/>
          </w:r>
          <w:r>
            <w:fldChar w:fldCharType="begin"/>
          </w:r>
          <w:r>
            <w:instrText xml:space="preserve"> PAGEREF _Toc30166 \h </w:instrText>
          </w:r>
          <w:r>
            <w:fldChar w:fldCharType="separate"/>
          </w:r>
          <w:r>
            <w:t>8</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_Toc3701 </w:instrText>
          </w:r>
          <w:r>
            <w:rPr>
              <w:rFonts w:hint="eastAsia" w:ascii="仿宋" w:hAnsi="仿宋" w:eastAsia="仿宋" w:cs="仿宋"/>
              <w:szCs w:val="24"/>
              <w:lang w:val="zh-CN"/>
            </w:rPr>
            <w:fldChar w:fldCharType="separate"/>
          </w:r>
          <w:r>
            <w:rPr>
              <w:rFonts w:cs="Times New Roman"/>
            </w:rPr>
            <w:t>3.绩效评价范围</w:t>
          </w:r>
          <w:r>
            <w:tab/>
          </w:r>
          <w:r>
            <w:fldChar w:fldCharType="begin"/>
          </w:r>
          <w:r>
            <w:instrText xml:space="preserve"> PAGEREF _Toc3701 \h </w:instrText>
          </w:r>
          <w:r>
            <w:fldChar w:fldCharType="separate"/>
          </w:r>
          <w:r>
            <w:t>8</w:t>
          </w:r>
          <w:r>
            <w:fldChar w:fldCharType="end"/>
          </w:r>
          <w:r>
            <w:rPr>
              <w:rFonts w:hint="eastAsia" w:ascii="仿宋" w:hAnsi="仿宋" w:eastAsia="仿宋" w:cs="仿宋"/>
              <w:szCs w:val="24"/>
              <w:lang w:val="zh-CN"/>
            </w:rPr>
            <w:fldChar w:fldCharType="end"/>
          </w:r>
        </w:p>
        <w:p>
          <w:pPr>
            <w:pStyle w:val="2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_Toc1509 </w:instrText>
          </w:r>
          <w:r>
            <w:rPr>
              <w:rFonts w:hint="eastAsia" w:ascii="仿宋" w:hAnsi="仿宋" w:eastAsia="仿宋" w:cs="仿宋"/>
              <w:szCs w:val="24"/>
              <w:lang w:val="zh-CN"/>
            </w:rPr>
            <w:fldChar w:fldCharType="separate"/>
          </w:r>
          <w:r>
            <w:rPr>
              <w:rFonts w:cs="Times New Roman"/>
            </w:rPr>
            <w:t>（二）绩效评价原则、评价指标体系、评价方法及评价依据</w:t>
          </w:r>
          <w:r>
            <w:tab/>
          </w:r>
          <w:r>
            <w:fldChar w:fldCharType="begin"/>
          </w:r>
          <w:r>
            <w:instrText xml:space="preserve"> PAGEREF _Toc1509 \h </w:instrText>
          </w:r>
          <w:r>
            <w:fldChar w:fldCharType="separate"/>
          </w:r>
          <w:r>
            <w:t>8</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_Toc15710 </w:instrText>
          </w:r>
          <w:r>
            <w:rPr>
              <w:rFonts w:hint="eastAsia" w:ascii="仿宋" w:hAnsi="仿宋" w:eastAsia="仿宋" w:cs="仿宋"/>
              <w:szCs w:val="24"/>
              <w:lang w:val="zh-CN"/>
            </w:rPr>
            <w:fldChar w:fldCharType="separate"/>
          </w:r>
          <w:r>
            <w:rPr>
              <w:rFonts w:cs="Times New Roman"/>
            </w:rPr>
            <w:t>1. 绩效评价原则</w:t>
          </w:r>
          <w:r>
            <w:tab/>
          </w:r>
          <w:r>
            <w:fldChar w:fldCharType="begin"/>
          </w:r>
          <w:r>
            <w:instrText xml:space="preserve"> PAGEREF _Toc15710 \h </w:instrText>
          </w:r>
          <w:r>
            <w:fldChar w:fldCharType="separate"/>
          </w:r>
          <w:r>
            <w:t>8</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_Toc22663 </w:instrText>
          </w:r>
          <w:r>
            <w:rPr>
              <w:rFonts w:hint="eastAsia" w:ascii="仿宋" w:hAnsi="仿宋" w:eastAsia="仿宋" w:cs="仿宋"/>
              <w:szCs w:val="24"/>
              <w:lang w:val="zh-CN"/>
            </w:rPr>
            <w:fldChar w:fldCharType="separate"/>
          </w:r>
          <w:r>
            <w:rPr>
              <w:rFonts w:cs="Times New Roman"/>
            </w:rPr>
            <w:t>2.评价指标体系</w:t>
          </w:r>
          <w:r>
            <w:tab/>
          </w:r>
          <w:r>
            <w:fldChar w:fldCharType="begin"/>
          </w:r>
          <w:r>
            <w:instrText xml:space="preserve"> PAGEREF _Toc22663 \h </w:instrText>
          </w:r>
          <w:r>
            <w:fldChar w:fldCharType="separate"/>
          </w:r>
          <w:r>
            <w:t>9</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_Toc12677 </w:instrText>
          </w:r>
          <w:r>
            <w:rPr>
              <w:rFonts w:hint="eastAsia" w:ascii="仿宋" w:hAnsi="仿宋" w:eastAsia="仿宋" w:cs="仿宋"/>
              <w:szCs w:val="24"/>
              <w:lang w:val="zh-CN"/>
            </w:rPr>
            <w:fldChar w:fldCharType="separate"/>
          </w:r>
          <w:r>
            <w:rPr>
              <w:rFonts w:cs="Times New Roman"/>
            </w:rPr>
            <w:t>3.评价方法</w:t>
          </w:r>
          <w:r>
            <w:tab/>
          </w:r>
          <w:r>
            <w:fldChar w:fldCharType="begin"/>
          </w:r>
          <w:r>
            <w:instrText xml:space="preserve"> PAGEREF _Toc12677 \h </w:instrText>
          </w:r>
          <w:r>
            <w:fldChar w:fldCharType="separate"/>
          </w:r>
          <w:r>
            <w:t>10</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_Toc6541 </w:instrText>
          </w:r>
          <w:r>
            <w:rPr>
              <w:rFonts w:hint="eastAsia" w:ascii="仿宋" w:hAnsi="仿宋" w:eastAsia="仿宋" w:cs="仿宋"/>
              <w:szCs w:val="24"/>
              <w:lang w:val="zh-CN"/>
            </w:rPr>
            <w:fldChar w:fldCharType="separate"/>
          </w:r>
          <w:r>
            <w:rPr>
              <w:rFonts w:cs="Times New Roman"/>
            </w:rPr>
            <w:t>4.评价依据</w:t>
          </w:r>
          <w:r>
            <w:tab/>
          </w:r>
          <w:r>
            <w:fldChar w:fldCharType="begin"/>
          </w:r>
          <w:r>
            <w:instrText xml:space="preserve"> PAGEREF _Toc6541 \h </w:instrText>
          </w:r>
          <w:r>
            <w:fldChar w:fldCharType="separate"/>
          </w:r>
          <w:r>
            <w:t>10</w:t>
          </w:r>
          <w:r>
            <w:fldChar w:fldCharType="end"/>
          </w:r>
          <w:r>
            <w:rPr>
              <w:rFonts w:hint="eastAsia" w:ascii="仿宋" w:hAnsi="仿宋" w:eastAsia="仿宋" w:cs="仿宋"/>
              <w:szCs w:val="24"/>
              <w:lang w:val="zh-CN"/>
            </w:rPr>
            <w:fldChar w:fldCharType="end"/>
          </w:r>
        </w:p>
        <w:p>
          <w:pPr>
            <w:pStyle w:val="2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_Toc28958 </w:instrText>
          </w:r>
          <w:r>
            <w:rPr>
              <w:rFonts w:hint="eastAsia" w:ascii="仿宋" w:hAnsi="仿宋" w:eastAsia="仿宋" w:cs="仿宋"/>
              <w:szCs w:val="24"/>
              <w:lang w:val="zh-CN"/>
            </w:rPr>
            <w:fldChar w:fldCharType="separate"/>
          </w:r>
          <w:r>
            <w:rPr>
              <w:rFonts w:cs="Times New Roman"/>
            </w:rPr>
            <w:t>（三）绩效评价工作过程</w:t>
          </w:r>
          <w:r>
            <w:tab/>
          </w:r>
          <w:r>
            <w:fldChar w:fldCharType="begin"/>
          </w:r>
          <w:r>
            <w:instrText xml:space="preserve"> PAGEREF _Toc28958 \h </w:instrText>
          </w:r>
          <w:r>
            <w:fldChar w:fldCharType="separate"/>
          </w:r>
          <w:r>
            <w:t>12</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_Toc16737 </w:instrText>
          </w:r>
          <w:r>
            <w:rPr>
              <w:rFonts w:hint="eastAsia" w:ascii="仿宋" w:hAnsi="仿宋" w:eastAsia="仿宋" w:cs="仿宋"/>
              <w:szCs w:val="24"/>
              <w:lang w:val="zh-CN"/>
            </w:rPr>
            <w:fldChar w:fldCharType="separate"/>
          </w:r>
          <w:r>
            <w:rPr>
              <w:rFonts w:cs="Times New Roman"/>
            </w:rPr>
            <w:t>1、评价前期准备阶段</w:t>
          </w:r>
          <w:r>
            <w:tab/>
          </w:r>
          <w:r>
            <w:fldChar w:fldCharType="begin"/>
          </w:r>
          <w:r>
            <w:instrText xml:space="preserve"> PAGEREF _Toc16737 \h </w:instrText>
          </w:r>
          <w:r>
            <w:fldChar w:fldCharType="separate"/>
          </w:r>
          <w:r>
            <w:t>12</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_Toc31205 </w:instrText>
          </w:r>
          <w:r>
            <w:rPr>
              <w:rFonts w:hint="eastAsia" w:ascii="仿宋" w:hAnsi="仿宋" w:eastAsia="仿宋" w:cs="仿宋"/>
              <w:szCs w:val="24"/>
              <w:lang w:val="zh-CN"/>
            </w:rPr>
            <w:fldChar w:fldCharType="separate"/>
          </w:r>
          <w:r>
            <w:rPr>
              <w:rFonts w:cs="Times New Roman"/>
            </w:rPr>
            <w:t>2、评价指标体系及方案设计阶段</w:t>
          </w:r>
          <w:r>
            <w:tab/>
          </w:r>
          <w:r>
            <w:fldChar w:fldCharType="begin"/>
          </w:r>
          <w:r>
            <w:instrText xml:space="preserve"> PAGEREF _Toc31205 \h </w:instrText>
          </w:r>
          <w:r>
            <w:fldChar w:fldCharType="separate"/>
          </w:r>
          <w:r>
            <w:t>13</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_Toc2525 </w:instrText>
          </w:r>
          <w:r>
            <w:rPr>
              <w:rFonts w:hint="eastAsia" w:ascii="仿宋" w:hAnsi="仿宋" w:eastAsia="仿宋" w:cs="仿宋"/>
              <w:szCs w:val="24"/>
              <w:lang w:val="zh-CN"/>
            </w:rPr>
            <w:fldChar w:fldCharType="separate"/>
          </w:r>
          <w:r>
            <w:rPr>
              <w:rFonts w:cs="Times New Roman"/>
            </w:rPr>
            <w:t>3、评价实施阶段</w:t>
          </w:r>
          <w:r>
            <w:tab/>
          </w:r>
          <w:r>
            <w:fldChar w:fldCharType="begin"/>
          </w:r>
          <w:r>
            <w:instrText xml:space="preserve"> PAGEREF _Toc2525 \h </w:instrText>
          </w:r>
          <w:r>
            <w:fldChar w:fldCharType="separate"/>
          </w:r>
          <w:r>
            <w:t>13</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_Toc19739 </w:instrText>
          </w:r>
          <w:r>
            <w:rPr>
              <w:rFonts w:hint="eastAsia" w:ascii="仿宋" w:hAnsi="仿宋" w:eastAsia="仿宋" w:cs="仿宋"/>
              <w:szCs w:val="24"/>
              <w:lang w:val="zh-CN"/>
            </w:rPr>
            <w:fldChar w:fldCharType="separate"/>
          </w:r>
          <w:r>
            <w:rPr>
              <w:rFonts w:cs="Times New Roman"/>
            </w:rPr>
            <w:t>4、评价报告阶段</w:t>
          </w:r>
          <w:r>
            <w:tab/>
          </w:r>
          <w:r>
            <w:fldChar w:fldCharType="begin"/>
          </w:r>
          <w:r>
            <w:instrText xml:space="preserve"> PAGEREF _Toc19739 \h </w:instrText>
          </w:r>
          <w:r>
            <w:fldChar w:fldCharType="separate"/>
          </w:r>
          <w:r>
            <w:t>14</w:t>
          </w:r>
          <w:r>
            <w:fldChar w:fldCharType="end"/>
          </w:r>
          <w:r>
            <w:rPr>
              <w:rFonts w:hint="eastAsia" w:ascii="仿宋" w:hAnsi="仿宋" w:eastAsia="仿宋" w:cs="仿宋"/>
              <w:szCs w:val="24"/>
              <w:lang w:val="zh-CN"/>
            </w:rPr>
            <w:fldChar w:fldCharType="end"/>
          </w:r>
        </w:p>
        <w:p>
          <w:pPr>
            <w:pStyle w:val="18"/>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_Toc2790 </w:instrText>
          </w:r>
          <w:r>
            <w:rPr>
              <w:rFonts w:hint="eastAsia" w:ascii="仿宋" w:hAnsi="仿宋" w:eastAsia="仿宋" w:cs="仿宋"/>
              <w:szCs w:val="24"/>
              <w:lang w:val="zh-CN"/>
            </w:rPr>
            <w:fldChar w:fldCharType="separate"/>
          </w:r>
          <w:r>
            <w:rPr>
              <w:rFonts w:cs="Times New Roman"/>
            </w:rPr>
            <w:t>三、综合评价情况及评价结论</w:t>
          </w:r>
          <w:r>
            <w:tab/>
          </w:r>
          <w:r>
            <w:fldChar w:fldCharType="begin"/>
          </w:r>
          <w:r>
            <w:instrText xml:space="preserve"> PAGEREF _Toc2790 \h </w:instrText>
          </w:r>
          <w:r>
            <w:fldChar w:fldCharType="separate"/>
          </w:r>
          <w:r>
            <w:t>15</w:t>
          </w:r>
          <w:r>
            <w:fldChar w:fldCharType="end"/>
          </w:r>
          <w:r>
            <w:rPr>
              <w:rFonts w:hint="eastAsia" w:ascii="仿宋" w:hAnsi="仿宋" w:eastAsia="仿宋" w:cs="仿宋"/>
              <w:szCs w:val="24"/>
              <w:lang w:val="zh-CN"/>
            </w:rPr>
            <w:fldChar w:fldCharType="end"/>
          </w:r>
        </w:p>
        <w:p>
          <w:pPr>
            <w:pStyle w:val="18"/>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_Toc22564 </w:instrText>
          </w:r>
          <w:r>
            <w:rPr>
              <w:rFonts w:hint="eastAsia" w:ascii="仿宋" w:hAnsi="仿宋" w:eastAsia="仿宋" w:cs="仿宋"/>
              <w:szCs w:val="24"/>
              <w:lang w:val="zh-CN"/>
            </w:rPr>
            <w:fldChar w:fldCharType="separate"/>
          </w:r>
          <w:r>
            <w:rPr>
              <w:rFonts w:cs="Times New Roman"/>
            </w:rPr>
            <w:t>四、绩效评价指标分析</w:t>
          </w:r>
          <w:r>
            <w:tab/>
          </w:r>
          <w:r>
            <w:fldChar w:fldCharType="begin"/>
          </w:r>
          <w:r>
            <w:instrText xml:space="preserve"> PAGEREF _Toc22564 \h </w:instrText>
          </w:r>
          <w:r>
            <w:fldChar w:fldCharType="separate"/>
          </w:r>
          <w:r>
            <w:t>17</w:t>
          </w:r>
          <w:r>
            <w:fldChar w:fldCharType="end"/>
          </w:r>
          <w:r>
            <w:rPr>
              <w:rFonts w:hint="eastAsia" w:ascii="仿宋" w:hAnsi="仿宋" w:eastAsia="仿宋" w:cs="仿宋"/>
              <w:szCs w:val="24"/>
              <w:lang w:val="zh-CN"/>
            </w:rPr>
            <w:fldChar w:fldCharType="end"/>
          </w:r>
        </w:p>
        <w:p>
          <w:pPr>
            <w:pStyle w:val="2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_Toc17659 </w:instrText>
          </w:r>
          <w:r>
            <w:rPr>
              <w:rFonts w:hint="eastAsia" w:ascii="仿宋" w:hAnsi="仿宋" w:eastAsia="仿宋" w:cs="仿宋"/>
              <w:szCs w:val="24"/>
              <w:lang w:val="zh-CN"/>
            </w:rPr>
            <w:fldChar w:fldCharType="separate"/>
          </w:r>
          <w:r>
            <w:rPr>
              <w:rFonts w:cs="Times New Roman"/>
            </w:rPr>
            <w:t>（一）项目决策情况（权重15，得分</w:t>
          </w:r>
          <w:r>
            <w:rPr>
              <w:rFonts w:hint="eastAsia" w:cs="Times New Roman"/>
            </w:rPr>
            <w:t>10.25</w:t>
          </w:r>
          <w:r>
            <w:rPr>
              <w:rFonts w:cs="Times New Roman"/>
            </w:rPr>
            <w:t>）</w:t>
          </w:r>
          <w:r>
            <w:tab/>
          </w:r>
          <w:r>
            <w:fldChar w:fldCharType="begin"/>
          </w:r>
          <w:r>
            <w:instrText xml:space="preserve"> PAGEREF _Toc17659 \h </w:instrText>
          </w:r>
          <w:r>
            <w:fldChar w:fldCharType="separate"/>
          </w:r>
          <w:r>
            <w:t>17</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_Toc1904 </w:instrText>
          </w:r>
          <w:r>
            <w:rPr>
              <w:rFonts w:hint="eastAsia" w:ascii="仿宋" w:hAnsi="仿宋" w:eastAsia="仿宋" w:cs="仿宋"/>
              <w:szCs w:val="24"/>
              <w:lang w:val="zh-CN"/>
            </w:rPr>
            <w:fldChar w:fldCharType="separate"/>
          </w:r>
          <w:r>
            <w:rPr>
              <w:rFonts w:cs="Times New Roman"/>
            </w:rPr>
            <w:t>1.项目立项（权重5，得分</w:t>
          </w:r>
          <w:r>
            <w:rPr>
              <w:rFonts w:hint="eastAsia" w:cs="Times New Roman"/>
            </w:rPr>
            <w:t>4.5</w:t>
          </w:r>
          <w:r>
            <w:rPr>
              <w:rFonts w:cs="Times New Roman"/>
            </w:rPr>
            <w:t>）</w:t>
          </w:r>
          <w:r>
            <w:tab/>
          </w:r>
          <w:r>
            <w:fldChar w:fldCharType="begin"/>
          </w:r>
          <w:r>
            <w:instrText xml:space="preserve"> PAGEREF _Toc1904 \h </w:instrText>
          </w:r>
          <w:r>
            <w:fldChar w:fldCharType="separate"/>
          </w:r>
          <w:r>
            <w:t>17</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_Toc20755 </w:instrText>
          </w:r>
          <w:r>
            <w:rPr>
              <w:rFonts w:hint="eastAsia" w:ascii="仿宋" w:hAnsi="仿宋" w:eastAsia="仿宋" w:cs="仿宋"/>
              <w:szCs w:val="24"/>
              <w:lang w:val="zh-CN"/>
            </w:rPr>
            <w:fldChar w:fldCharType="separate"/>
          </w:r>
          <w:r>
            <w:rPr>
              <w:rFonts w:cs="Times New Roman"/>
            </w:rPr>
            <w:t>2.绩效目标（权重5，得分</w:t>
          </w:r>
          <w:r>
            <w:rPr>
              <w:rFonts w:hint="eastAsia" w:cs="Times New Roman"/>
            </w:rPr>
            <w:t>3.75</w:t>
          </w:r>
          <w:r>
            <w:rPr>
              <w:rFonts w:cs="Times New Roman"/>
            </w:rPr>
            <w:t>）</w:t>
          </w:r>
          <w:r>
            <w:tab/>
          </w:r>
          <w:r>
            <w:fldChar w:fldCharType="begin"/>
          </w:r>
          <w:r>
            <w:instrText xml:space="preserve"> PAGEREF _Toc20755 \h </w:instrText>
          </w:r>
          <w:r>
            <w:fldChar w:fldCharType="separate"/>
          </w:r>
          <w:r>
            <w:t>19</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_Toc32087 </w:instrText>
          </w:r>
          <w:r>
            <w:rPr>
              <w:rFonts w:hint="eastAsia" w:ascii="仿宋" w:hAnsi="仿宋" w:eastAsia="仿宋" w:cs="仿宋"/>
              <w:szCs w:val="24"/>
              <w:lang w:val="zh-CN"/>
            </w:rPr>
            <w:fldChar w:fldCharType="separate"/>
          </w:r>
          <w:r>
            <w:rPr>
              <w:rFonts w:cs="Times New Roman"/>
            </w:rPr>
            <w:t>3.资金安排（权重5，得分</w:t>
          </w:r>
          <w:r>
            <w:rPr>
              <w:rFonts w:hint="eastAsia" w:cs="Times New Roman"/>
            </w:rPr>
            <w:t>2</w:t>
          </w:r>
          <w:r>
            <w:rPr>
              <w:rFonts w:cs="Times New Roman"/>
            </w:rPr>
            <w:t>）</w:t>
          </w:r>
          <w:r>
            <w:tab/>
          </w:r>
          <w:r>
            <w:fldChar w:fldCharType="begin"/>
          </w:r>
          <w:r>
            <w:instrText xml:space="preserve"> PAGEREF _Toc32087 \h </w:instrText>
          </w:r>
          <w:r>
            <w:fldChar w:fldCharType="separate"/>
          </w:r>
          <w:r>
            <w:t>22</w:t>
          </w:r>
          <w:r>
            <w:fldChar w:fldCharType="end"/>
          </w:r>
          <w:r>
            <w:rPr>
              <w:rFonts w:hint="eastAsia" w:ascii="仿宋" w:hAnsi="仿宋" w:eastAsia="仿宋" w:cs="仿宋"/>
              <w:szCs w:val="24"/>
              <w:lang w:val="zh-CN"/>
            </w:rPr>
            <w:fldChar w:fldCharType="end"/>
          </w:r>
        </w:p>
        <w:p>
          <w:pPr>
            <w:pStyle w:val="2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_Toc26743 </w:instrText>
          </w:r>
          <w:r>
            <w:rPr>
              <w:rFonts w:hint="eastAsia" w:ascii="仿宋" w:hAnsi="仿宋" w:eastAsia="仿宋" w:cs="仿宋"/>
              <w:szCs w:val="24"/>
              <w:lang w:val="zh-CN"/>
            </w:rPr>
            <w:fldChar w:fldCharType="separate"/>
          </w:r>
          <w:r>
            <w:rPr>
              <w:rFonts w:cs="Times New Roman"/>
            </w:rPr>
            <w:t>（二）项目过程情况（权重25，得分</w:t>
          </w:r>
          <w:r>
            <w:rPr>
              <w:rFonts w:hint="eastAsia" w:cs="Times New Roman"/>
            </w:rPr>
            <w:t>16.7</w:t>
          </w:r>
          <w:r>
            <w:rPr>
              <w:rFonts w:cs="Times New Roman"/>
            </w:rPr>
            <w:t>）</w:t>
          </w:r>
          <w:r>
            <w:tab/>
          </w:r>
          <w:r>
            <w:fldChar w:fldCharType="begin"/>
          </w:r>
          <w:r>
            <w:instrText xml:space="preserve"> PAGEREF _Toc26743 \h </w:instrText>
          </w:r>
          <w:r>
            <w:fldChar w:fldCharType="separate"/>
          </w:r>
          <w:r>
            <w:t>24</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_Toc29955 </w:instrText>
          </w:r>
          <w:r>
            <w:rPr>
              <w:rFonts w:hint="eastAsia" w:ascii="仿宋" w:hAnsi="仿宋" w:eastAsia="仿宋" w:cs="仿宋"/>
              <w:szCs w:val="24"/>
              <w:lang w:val="zh-CN"/>
            </w:rPr>
            <w:fldChar w:fldCharType="separate"/>
          </w:r>
          <w:r>
            <w:rPr>
              <w:rFonts w:cs="Times New Roman"/>
            </w:rPr>
            <w:t>1.业务管理（权重10，得分</w:t>
          </w:r>
          <w:r>
            <w:rPr>
              <w:rFonts w:hint="eastAsia" w:cs="Times New Roman"/>
            </w:rPr>
            <w:t>8.75</w:t>
          </w:r>
          <w:r>
            <w:rPr>
              <w:rFonts w:cs="Times New Roman"/>
            </w:rPr>
            <w:t>）</w:t>
          </w:r>
          <w:r>
            <w:tab/>
          </w:r>
          <w:r>
            <w:fldChar w:fldCharType="begin"/>
          </w:r>
          <w:r>
            <w:instrText xml:space="preserve"> PAGEREF _Toc29955 \h </w:instrText>
          </w:r>
          <w:r>
            <w:fldChar w:fldCharType="separate"/>
          </w:r>
          <w:r>
            <w:t>24</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_Toc19591 </w:instrText>
          </w:r>
          <w:r>
            <w:rPr>
              <w:rFonts w:hint="eastAsia" w:ascii="仿宋" w:hAnsi="仿宋" w:eastAsia="仿宋" w:cs="仿宋"/>
              <w:szCs w:val="24"/>
              <w:lang w:val="zh-CN"/>
            </w:rPr>
            <w:fldChar w:fldCharType="separate"/>
          </w:r>
          <w:r>
            <w:rPr>
              <w:rFonts w:cs="Times New Roman"/>
            </w:rPr>
            <w:t>2.预算管理（权重15，得分</w:t>
          </w:r>
          <w:r>
            <w:rPr>
              <w:rFonts w:hint="eastAsia" w:cs="Times New Roman"/>
            </w:rPr>
            <w:t>7.95</w:t>
          </w:r>
          <w:r>
            <w:rPr>
              <w:rFonts w:cs="Times New Roman"/>
            </w:rPr>
            <w:t>）</w:t>
          </w:r>
          <w:r>
            <w:tab/>
          </w:r>
          <w:r>
            <w:fldChar w:fldCharType="begin"/>
          </w:r>
          <w:r>
            <w:instrText xml:space="preserve"> PAGEREF _Toc19591 \h </w:instrText>
          </w:r>
          <w:r>
            <w:fldChar w:fldCharType="separate"/>
          </w:r>
          <w:r>
            <w:t>27</w:t>
          </w:r>
          <w:r>
            <w:fldChar w:fldCharType="end"/>
          </w:r>
          <w:r>
            <w:rPr>
              <w:rFonts w:hint="eastAsia" w:ascii="仿宋" w:hAnsi="仿宋" w:eastAsia="仿宋" w:cs="仿宋"/>
              <w:szCs w:val="24"/>
              <w:lang w:val="zh-CN"/>
            </w:rPr>
            <w:fldChar w:fldCharType="end"/>
          </w:r>
        </w:p>
        <w:p>
          <w:pPr>
            <w:pStyle w:val="2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_Toc22959 </w:instrText>
          </w:r>
          <w:r>
            <w:rPr>
              <w:rFonts w:hint="eastAsia" w:ascii="仿宋" w:hAnsi="仿宋" w:eastAsia="仿宋" w:cs="仿宋"/>
              <w:szCs w:val="24"/>
              <w:lang w:val="zh-CN"/>
            </w:rPr>
            <w:fldChar w:fldCharType="separate"/>
          </w:r>
          <w:r>
            <w:rPr>
              <w:rFonts w:cs="Times New Roman"/>
            </w:rPr>
            <w:t>（三）项目产出情况（权重30，得分</w:t>
          </w:r>
          <w:r>
            <w:rPr>
              <w:rFonts w:hint="eastAsia" w:cs="Times New Roman"/>
            </w:rPr>
            <w:t>30</w:t>
          </w:r>
          <w:r>
            <w:rPr>
              <w:rFonts w:cs="Times New Roman"/>
            </w:rPr>
            <w:t>）</w:t>
          </w:r>
          <w:r>
            <w:tab/>
          </w:r>
          <w:r>
            <w:fldChar w:fldCharType="begin"/>
          </w:r>
          <w:r>
            <w:instrText xml:space="preserve"> PAGEREF _Toc22959 \h </w:instrText>
          </w:r>
          <w:r>
            <w:fldChar w:fldCharType="separate"/>
          </w:r>
          <w:r>
            <w:t>32</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_Toc5513 </w:instrText>
          </w:r>
          <w:r>
            <w:rPr>
              <w:rFonts w:hint="eastAsia" w:ascii="仿宋" w:hAnsi="仿宋" w:eastAsia="仿宋" w:cs="仿宋"/>
              <w:szCs w:val="24"/>
              <w:lang w:val="zh-CN"/>
            </w:rPr>
            <w:fldChar w:fldCharType="separate"/>
          </w:r>
          <w:r>
            <w:rPr>
              <w:rFonts w:cs="Times New Roman"/>
            </w:rPr>
            <w:t>1.产出数量（权重7.5，得分7.5）</w:t>
          </w:r>
          <w:r>
            <w:tab/>
          </w:r>
          <w:r>
            <w:fldChar w:fldCharType="begin"/>
          </w:r>
          <w:r>
            <w:instrText xml:space="preserve"> PAGEREF _Toc5513 \h </w:instrText>
          </w:r>
          <w:r>
            <w:fldChar w:fldCharType="separate"/>
          </w:r>
          <w:r>
            <w:t>32</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_Toc7352 </w:instrText>
          </w:r>
          <w:r>
            <w:rPr>
              <w:rFonts w:hint="eastAsia" w:ascii="仿宋" w:hAnsi="仿宋" w:eastAsia="仿宋" w:cs="仿宋"/>
              <w:szCs w:val="24"/>
              <w:lang w:val="zh-CN"/>
            </w:rPr>
            <w:fldChar w:fldCharType="separate"/>
          </w:r>
          <w:r>
            <w:rPr>
              <w:rFonts w:cs="Times New Roman"/>
            </w:rPr>
            <w:t>2.产出时效（权重7.5，得分7.5）</w:t>
          </w:r>
          <w:r>
            <w:tab/>
          </w:r>
          <w:r>
            <w:fldChar w:fldCharType="begin"/>
          </w:r>
          <w:r>
            <w:instrText xml:space="preserve"> PAGEREF _Toc7352 \h </w:instrText>
          </w:r>
          <w:r>
            <w:fldChar w:fldCharType="separate"/>
          </w:r>
          <w:r>
            <w:t>34</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_Toc26856 </w:instrText>
          </w:r>
          <w:r>
            <w:rPr>
              <w:rFonts w:hint="eastAsia" w:ascii="仿宋" w:hAnsi="仿宋" w:eastAsia="仿宋" w:cs="仿宋"/>
              <w:szCs w:val="24"/>
              <w:lang w:val="zh-CN"/>
            </w:rPr>
            <w:fldChar w:fldCharType="separate"/>
          </w:r>
          <w:r>
            <w:rPr>
              <w:rFonts w:cs="Times New Roman"/>
            </w:rPr>
            <w:t>3.产出质量（权重7.5，得分7.5）</w:t>
          </w:r>
          <w:r>
            <w:tab/>
          </w:r>
          <w:r>
            <w:fldChar w:fldCharType="begin"/>
          </w:r>
          <w:r>
            <w:instrText xml:space="preserve"> PAGEREF _Toc26856 \h </w:instrText>
          </w:r>
          <w:r>
            <w:fldChar w:fldCharType="separate"/>
          </w:r>
          <w:r>
            <w:t>35</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_Toc26961 </w:instrText>
          </w:r>
          <w:r>
            <w:rPr>
              <w:rFonts w:hint="eastAsia" w:ascii="仿宋" w:hAnsi="仿宋" w:eastAsia="仿宋" w:cs="仿宋"/>
              <w:szCs w:val="24"/>
              <w:lang w:val="zh-CN"/>
            </w:rPr>
            <w:fldChar w:fldCharType="separate"/>
          </w:r>
          <w:r>
            <w:rPr>
              <w:rFonts w:cs="Times New Roman"/>
            </w:rPr>
            <w:t>4.产出成本（权重7.5，得分7.5）</w:t>
          </w:r>
          <w:r>
            <w:tab/>
          </w:r>
          <w:r>
            <w:fldChar w:fldCharType="begin"/>
          </w:r>
          <w:r>
            <w:instrText xml:space="preserve"> PAGEREF _Toc26961 \h </w:instrText>
          </w:r>
          <w:r>
            <w:fldChar w:fldCharType="separate"/>
          </w:r>
          <w:r>
            <w:t>36</w:t>
          </w:r>
          <w:r>
            <w:fldChar w:fldCharType="end"/>
          </w:r>
          <w:r>
            <w:rPr>
              <w:rFonts w:hint="eastAsia" w:ascii="仿宋" w:hAnsi="仿宋" w:eastAsia="仿宋" w:cs="仿宋"/>
              <w:szCs w:val="24"/>
              <w:lang w:val="zh-CN"/>
            </w:rPr>
            <w:fldChar w:fldCharType="end"/>
          </w:r>
        </w:p>
        <w:p>
          <w:pPr>
            <w:pStyle w:val="2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_Toc23194 </w:instrText>
          </w:r>
          <w:r>
            <w:rPr>
              <w:rFonts w:hint="eastAsia" w:ascii="仿宋" w:hAnsi="仿宋" w:eastAsia="仿宋" w:cs="仿宋"/>
              <w:szCs w:val="24"/>
              <w:lang w:val="zh-CN"/>
            </w:rPr>
            <w:fldChar w:fldCharType="separate"/>
          </w:r>
          <w:r>
            <w:rPr>
              <w:rFonts w:cs="Times New Roman"/>
            </w:rPr>
            <w:t>（四）项目效益情况（权重30，得分</w:t>
          </w:r>
          <w:r>
            <w:rPr>
              <w:rFonts w:hint="eastAsia" w:cs="Times New Roman"/>
            </w:rPr>
            <w:t>30</w:t>
          </w:r>
          <w:r>
            <w:rPr>
              <w:rFonts w:cs="Times New Roman"/>
            </w:rPr>
            <w:t>）</w:t>
          </w:r>
          <w:r>
            <w:tab/>
          </w:r>
          <w:r>
            <w:fldChar w:fldCharType="begin"/>
          </w:r>
          <w:r>
            <w:instrText xml:space="preserve"> PAGEREF _Toc23194 \h </w:instrText>
          </w:r>
          <w:r>
            <w:fldChar w:fldCharType="separate"/>
          </w:r>
          <w:r>
            <w:t>38</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_Toc2788 </w:instrText>
          </w:r>
          <w:r>
            <w:rPr>
              <w:rFonts w:hint="eastAsia" w:ascii="仿宋" w:hAnsi="仿宋" w:eastAsia="仿宋" w:cs="仿宋"/>
              <w:szCs w:val="24"/>
              <w:lang w:val="zh-CN"/>
            </w:rPr>
            <w:fldChar w:fldCharType="separate"/>
          </w:r>
          <w:r>
            <w:rPr>
              <w:rFonts w:hint="eastAsia" w:cs="Times New Roman"/>
            </w:rPr>
            <w:t>1</w:t>
          </w:r>
          <w:r>
            <w:rPr>
              <w:rFonts w:cs="Times New Roman"/>
            </w:rPr>
            <w:t>.社会效益（权重</w:t>
          </w:r>
          <w:r>
            <w:rPr>
              <w:rFonts w:hint="eastAsia" w:cs="Times New Roman"/>
            </w:rPr>
            <w:t>8</w:t>
          </w:r>
          <w:r>
            <w:rPr>
              <w:rFonts w:cs="Times New Roman"/>
            </w:rPr>
            <w:t>，得分</w:t>
          </w:r>
          <w:r>
            <w:rPr>
              <w:rFonts w:hint="eastAsia" w:cs="Times New Roman"/>
            </w:rPr>
            <w:t>8</w:t>
          </w:r>
          <w:r>
            <w:rPr>
              <w:rFonts w:cs="Times New Roman"/>
            </w:rPr>
            <w:t>）</w:t>
          </w:r>
          <w:r>
            <w:tab/>
          </w:r>
          <w:r>
            <w:fldChar w:fldCharType="begin"/>
          </w:r>
          <w:r>
            <w:instrText xml:space="preserve"> PAGEREF _Toc2788 \h </w:instrText>
          </w:r>
          <w:r>
            <w:fldChar w:fldCharType="separate"/>
          </w:r>
          <w:r>
            <w:t>38</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_Toc6787 </w:instrText>
          </w:r>
          <w:r>
            <w:rPr>
              <w:rFonts w:hint="eastAsia" w:ascii="仿宋" w:hAnsi="仿宋" w:eastAsia="仿宋" w:cs="仿宋"/>
              <w:szCs w:val="24"/>
              <w:lang w:val="zh-CN"/>
            </w:rPr>
            <w:fldChar w:fldCharType="separate"/>
          </w:r>
          <w:r>
            <w:rPr>
              <w:rFonts w:hint="eastAsia" w:cs="Times New Roman"/>
            </w:rPr>
            <w:t>2.可持续影响（权重8，得分8）</w:t>
          </w:r>
          <w:r>
            <w:tab/>
          </w:r>
          <w:r>
            <w:fldChar w:fldCharType="begin"/>
          </w:r>
          <w:r>
            <w:instrText xml:space="preserve"> PAGEREF _Toc6787 \h </w:instrText>
          </w:r>
          <w:r>
            <w:fldChar w:fldCharType="separate"/>
          </w:r>
          <w:r>
            <w:t>38</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_Toc17249 </w:instrText>
          </w:r>
          <w:r>
            <w:rPr>
              <w:rFonts w:hint="eastAsia" w:ascii="仿宋" w:hAnsi="仿宋" w:eastAsia="仿宋" w:cs="仿宋"/>
              <w:szCs w:val="24"/>
              <w:lang w:val="zh-CN"/>
            </w:rPr>
            <w:fldChar w:fldCharType="separate"/>
          </w:r>
          <w:r>
            <w:rPr>
              <w:rFonts w:hint="eastAsia" w:cs="Times New Roman"/>
            </w:rPr>
            <w:t>3.社会公众满意度（权重14，得分14）</w:t>
          </w:r>
          <w:r>
            <w:tab/>
          </w:r>
          <w:r>
            <w:fldChar w:fldCharType="begin"/>
          </w:r>
          <w:r>
            <w:instrText xml:space="preserve"> PAGEREF _Toc17249 \h </w:instrText>
          </w:r>
          <w:r>
            <w:fldChar w:fldCharType="separate"/>
          </w:r>
          <w:r>
            <w:t>39</w:t>
          </w:r>
          <w:r>
            <w:fldChar w:fldCharType="end"/>
          </w:r>
          <w:r>
            <w:rPr>
              <w:rFonts w:hint="eastAsia" w:ascii="仿宋" w:hAnsi="仿宋" w:eastAsia="仿宋" w:cs="仿宋"/>
              <w:szCs w:val="24"/>
              <w:lang w:val="zh-CN"/>
            </w:rPr>
            <w:fldChar w:fldCharType="end"/>
          </w:r>
        </w:p>
        <w:p>
          <w:pPr>
            <w:pStyle w:val="18"/>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_Toc22022 </w:instrText>
          </w:r>
          <w:r>
            <w:rPr>
              <w:rFonts w:hint="eastAsia" w:ascii="仿宋" w:hAnsi="仿宋" w:eastAsia="仿宋" w:cs="仿宋"/>
              <w:szCs w:val="24"/>
              <w:lang w:val="zh-CN"/>
            </w:rPr>
            <w:fldChar w:fldCharType="separate"/>
          </w:r>
          <w:r>
            <w:rPr>
              <w:rFonts w:cs="Times New Roman"/>
            </w:rPr>
            <w:t>五、主要经验及做法、存在的问题及原因分析</w:t>
          </w:r>
          <w:r>
            <w:tab/>
          </w:r>
          <w:r>
            <w:fldChar w:fldCharType="begin"/>
          </w:r>
          <w:r>
            <w:instrText xml:space="preserve"> PAGEREF _Toc22022 \h </w:instrText>
          </w:r>
          <w:r>
            <w:fldChar w:fldCharType="separate"/>
          </w:r>
          <w:r>
            <w:t>40</w:t>
          </w:r>
          <w:r>
            <w:fldChar w:fldCharType="end"/>
          </w:r>
          <w:r>
            <w:rPr>
              <w:rFonts w:hint="eastAsia" w:ascii="仿宋" w:hAnsi="仿宋" w:eastAsia="仿宋" w:cs="仿宋"/>
              <w:szCs w:val="24"/>
              <w:lang w:val="zh-CN"/>
            </w:rPr>
            <w:fldChar w:fldCharType="end"/>
          </w:r>
        </w:p>
        <w:p>
          <w:pPr>
            <w:pStyle w:val="2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_Toc30981 </w:instrText>
          </w:r>
          <w:r>
            <w:rPr>
              <w:rFonts w:hint="eastAsia" w:ascii="仿宋" w:hAnsi="仿宋" w:eastAsia="仿宋" w:cs="仿宋"/>
              <w:szCs w:val="24"/>
              <w:lang w:val="zh-CN"/>
            </w:rPr>
            <w:fldChar w:fldCharType="separate"/>
          </w:r>
          <w:r>
            <w:rPr>
              <w:rFonts w:cs="Times New Roman"/>
            </w:rPr>
            <w:t>（一）主要经验及做法</w:t>
          </w:r>
          <w:r>
            <w:tab/>
          </w:r>
          <w:r>
            <w:fldChar w:fldCharType="begin"/>
          </w:r>
          <w:r>
            <w:instrText xml:space="preserve"> PAGEREF _Toc30981 \h </w:instrText>
          </w:r>
          <w:r>
            <w:fldChar w:fldCharType="separate"/>
          </w:r>
          <w:r>
            <w:t>40</w:t>
          </w:r>
          <w:r>
            <w:fldChar w:fldCharType="end"/>
          </w:r>
          <w:r>
            <w:rPr>
              <w:rFonts w:hint="eastAsia" w:ascii="仿宋" w:hAnsi="仿宋" w:eastAsia="仿宋" w:cs="仿宋"/>
              <w:szCs w:val="24"/>
              <w:lang w:val="zh-CN"/>
            </w:rPr>
            <w:fldChar w:fldCharType="end"/>
          </w:r>
        </w:p>
        <w:p>
          <w:pPr>
            <w:pStyle w:val="2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_Toc14130 </w:instrText>
          </w:r>
          <w:r>
            <w:rPr>
              <w:rFonts w:hint="eastAsia" w:ascii="仿宋" w:hAnsi="仿宋" w:eastAsia="仿宋" w:cs="仿宋"/>
              <w:szCs w:val="24"/>
              <w:lang w:val="zh-CN"/>
            </w:rPr>
            <w:fldChar w:fldCharType="separate"/>
          </w:r>
          <w:r>
            <w:rPr>
              <w:rFonts w:cs="Times New Roman"/>
            </w:rPr>
            <w:t>（二）存在的问题及原因分析</w:t>
          </w:r>
          <w:r>
            <w:tab/>
          </w:r>
          <w:r>
            <w:fldChar w:fldCharType="begin"/>
          </w:r>
          <w:r>
            <w:instrText xml:space="preserve"> PAGEREF _Toc14130 \h </w:instrText>
          </w:r>
          <w:r>
            <w:fldChar w:fldCharType="separate"/>
          </w:r>
          <w:r>
            <w:t>40</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_Toc8032 </w:instrText>
          </w:r>
          <w:r>
            <w:rPr>
              <w:rFonts w:hint="eastAsia" w:ascii="仿宋" w:hAnsi="仿宋" w:eastAsia="仿宋" w:cs="仿宋"/>
              <w:szCs w:val="24"/>
              <w:lang w:val="zh-CN"/>
            </w:rPr>
            <w:fldChar w:fldCharType="separate"/>
          </w:r>
          <w:r>
            <w:rPr>
              <w:rFonts w:hint="eastAsia" w:cs="Times New Roman"/>
            </w:rPr>
            <w:t>1.经费支出管理有待提高</w:t>
          </w:r>
          <w:r>
            <w:tab/>
          </w:r>
          <w:r>
            <w:fldChar w:fldCharType="begin"/>
          </w:r>
          <w:r>
            <w:instrText xml:space="preserve"> PAGEREF _Toc8032 \h </w:instrText>
          </w:r>
          <w:r>
            <w:fldChar w:fldCharType="separate"/>
          </w:r>
          <w:r>
            <w:t>41</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_Toc30241 </w:instrText>
          </w:r>
          <w:r>
            <w:rPr>
              <w:rFonts w:hint="eastAsia" w:ascii="仿宋" w:hAnsi="仿宋" w:eastAsia="仿宋" w:cs="仿宋"/>
              <w:szCs w:val="24"/>
              <w:lang w:val="zh-CN"/>
            </w:rPr>
            <w:fldChar w:fldCharType="separate"/>
          </w:r>
          <w:r>
            <w:rPr>
              <w:rFonts w:hint="eastAsia" w:cs="Times New Roman"/>
            </w:rPr>
            <w:t>2.成本管控不到位</w:t>
          </w:r>
          <w:r>
            <w:tab/>
          </w:r>
          <w:r>
            <w:fldChar w:fldCharType="begin"/>
          </w:r>
          <w:r>
            <w:instrText xml:space="preserve"> PAGEREF _Toc30241 \h </w:instrText>
          </w:r>
          <w:r>
            <w:fldChar w:fldCharType="separate"/>
          </w:r>
          <w:r>
            <w:t>41</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_Toc7600 </w:instrText>
          </w:r>
          <w:r>
            <w:rPr>
              <w:rFonts w:hint="eastAsia" w:ascii="仿宋" w:hAnsi="仿宋" w:eastAsia="仿宋" w:cs="仿宋"/>
              <w:szCs w:val="24"/>
              <w:lang w:val="zh-CN"/>
            </w:rPr>
            <w:fldChar w:fldCharType="separate"/>
          </w:r>
          <w:r>
            <w:rPr>
              <w:rFonts w:hint="eastAsia" w:cs="Times New Roman"/>
            </w:rPr>
            <w:t>3.制度建设需进一步完善</w:t>
          </w:r>
          <w:r>
            <w:tab/>
          </w:r>
          <w:r>
            <w:fldChar w:fldCharType="begin"/>
          </w:r>
          <w:r>
            <w:instrText xml:space="preserve"> PAGEREF _Toc7600 \h </w:instrText>
          </w:r>
          <w:r>
            <w:fldChar w:fldCharType="separate"/>
          </w:r>
          <w:r>
            <w:t>41</w:t>
          </w:r>
          <w:r>
            <w:fldChar w:fldCharType="end"/>
          </w:r>
          <w:r>
            <w:rPr>
              <w:rFonts w:hint="eastAsia" w:ascii="仿宋" w:hAnsi="仿宋" w:eastAsia="仿宋" w:cs="仿宋"/>
              <w:szCs w:val="24"/>
              <w:lang w:val="zh-CN"/>
            </w:rPr>
            <w:fldChar w:fldCharType="end"/>
          </w:r>
        </w:p>
        <w:p>
          <w:pPr>
            <w:pStyle w:val="18"/>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_Toc22147 </w:instrText>
          </w:r>
          <w:r>
            <w:rPr>
              <w:rFonts w:hint="eastAsia" w:ascii="仿宋" w:hAnsi="仿宋" w:eastAsia="仿宋" w:cs="仿宋"/>
              <w:szCs w:val="24"/>
              <w:lang w:val="zh-CN"/>
            </w:rPr>
            <w:fldChar w:fldCharType="separate"/>
          </w:r>
          <w:r>
            <w:rPr>
              <w:rFonts w:cs="Times New Roman"/>
            </w:rPr>
            <w:t>六、有关建议</w:t>
          </w:r>
          <w:r>
            <w:tab/>
          </w:r>
          <w:r>
            <w:fldChar w:fldCharType="begin"/>
          </w:r>
          <w:r>
            <w:instrText xml:space="preserve"> PAGEREF _Toc22147 \h </w:instrText>
          </w:r>
          <w:r>
            <w:fldChar w:fldCharType="separate"/>
          </w:r>
          <w:r>
            <w:t>41</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_Toc17593 </w:instrText>
          </w:r>
          <w:r>
            <w:rPr>
              <w:rFonts w:hint="eastAsia" w:ascii="仿宋" w:hAnsi="仿宋" w:eastAsia="仿宋" w:cs="仿宋"/>
              <w:szCs w:val="24"/>
              <w:lang w:val="zh-CN"/>
            </w:rPr>
            <w:fldChar w:fldCharType="separate"/>
          </w:r>
          <w:r>
            <w:rPr>
              <w:rFonts w:hint="eastAsia" w:cs="Times New Roman"/>
            </w:rPr>
            <w:t>1.提升资金分配效率</w:t>
          </w:r>
          <w:r>
            <w:tab/>
          </w:r>
          <w:r>
            <w:fldChar w:fldCharType="begin"/>
          </w:r>
          <w:r>
            <w:instrText xml:space="preserve"> PAGEREF _Toc17593 \h </w:instrText>
          </w:r>
          <w:r>
            <w:fldChar w:fldCharType="separate"/>
          </w:r>
          <w:r>
            <w:t>41</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_Toc31352 </w:instrText>
          </w:r>
          <w:r>
            <w:rPr>
              <w:rFonts w:hint="eastAsia" w:ascii="仿宋" w:hAnsi="仿宋" w:eastAsia="仿宋" w:cs="仿宋"/>
              <w:szCs w:val="24"/>
              <w:lang w:val="zh-CN"/>
            </w:rPr>
            <w:fldChar w:fldCharType="separate"/>
          </w:r>
          <w:r>
            <w:rPr>
              <w:rFonts w:hint="eastAsia" w:cs="Times New Roman"/>
            </w:rPr>
            <w:t>2.加强成本管控</w:t>
          </w:r>
          <w:r>
            <w:tab/>
          </w:r>
          <w:r>
            <w:fldChar w:fldCharType="begin"/>
          </w:r>
          <w:r>
            <w:instrText xml:space="preserve"> PAGEREF _Toc31352 \h </w:instrText>
          </w:r>
          <w:r>
            <w:fldChar w:fldCharType="separate"/>
          </w:r>
          <w:r>
            <w:t>42</w:t>
          </w:r>
          <w:r>
            <w:fldChar w:fldCharType="end"/>
          </w:r>
          <w:r>
            <w:rPr>
              <w:rFonts w:hint="eastAsia" w:ascii="仿宋" w:hAnsi="仿宋" w:eastAsia="仿宋" w:cs="仿宋"/>
              <w:szCs w:val="24"/>
              <w:lang w:val="zh-CN"/>
            </w:rPr>
            <w:fldChar w:fldCharType="end"/>
          </w:r>
        </w:p>
        <w:p>
          <w:pPr>
            <w:pStyle w:val="11"/>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_Toc14538 </w:instrText>
          </w:r>
          <w:r>
            <w:rPr>
              <w:rFonts w:hint="eastAsia" w:ascii="仿宋" w:hAnsi="仿宋" w:eastAsia="仿宋" w:cs="仿宋"/>
              <w:szCs w:val="24"/>
              <w:lang w:val="zh-CN"/>
            </w:rPr>
            <w:fldChar w:fldCharType="separate"/>
          </w:r>
          <w:r>
            <w:rPr>
              <w:rFonts w:hint="eastAsia" w:cs="Times New Roman"/>
            </w:rPr>
            <w:t>3. 全面建立内控体系</w:t>
          </w:r>
          <w:r>
            <w:tab/>
          </w:r>
          <w:r>
            <w:fldChar w:fldCharType="begin"/>
          </w:r>
          <w:r>
            <w:instrText xml:space="preserve"> PAGEREF _Toc14538 \h </w:instrText>
          </w:r>
          <w:r>
            <w:fldChar w:fldCharType="separate"/>
          </w:r>
          <w:r>
            <w:t>42</w:t>
          </w:r>
          <w:r>
            <w:fldChar w:fldCharType="end"/>
          </w:r>
          <w:r>
            <w:rPr>
              <w:rFonts w:hint="eastAsia" w:ascii="仿宋" w:hAnsi="仿宋" w:eastAsia="仿宋" w:cs="仿宋"/>
              <w:szCs w:val="24"/>
              <w:lang w:val="zh-CN"/>
            </w:rPr>
            <w:fldChar w:fldCharType="end"/>
          </w:r>
        </w:p>
        <w:p>
          <w:pPr>
            <w:pStyle w:val="18"/>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_Toc32022 </w:instrText>
          </w:r>
          <w:r>
            <w:rPr>
              <w:rFonts w:hint="eastAsia" w:ascii="仿宋" w:hAnsi="仿宋" w:eastAsia="仿宋" w:cs="仿宋"/>
              <w:szCs w:val="24"/>
              <w:lang w:val="zh-CN"/>
            </w:rPr>
            <w:fldChar w:fldCharType="separate"/>
          </w:r>
          <w:r>
            <w:t>七、其他需要说明的问题</w:t>
          </w:r>
          <w:r>
            <w:tab/>
          </w:r>
          <w:r>
            <w:fldChar w:fldCharType="begin"/>
          </w:r>
          <w:r>
            <w:instrText xml:space="preserve"> PAGEREF _Toc32022 \h </w:instrText>
          </w:r>
          <w:r>
            <w:fldChar w:fldCharType="separate"/>
          </w:r>
          <w:r>
            <w:t>42</w:t>
          </w:r>
          <w:r>
            <w:fldChar w:fldCharType="end"/>
          </w:r>
          <w:r>
            <w:rPr>
              <w:rFonts w:hint="eastAsia" w:ascii="仿宋" w:hAnsi="仿宋" w:eastAsia="仿宋" w:cs="仿宋"/>
              <w:szCs w:val="24"/>
              <w:lang w:val="zh-CN"/>
            </w:rPr>
            <w:fldChar w:fldCharType="end"/>
          </w:r>
        </w:p>
        <w:p>
          <w:pPr>
            <w:pStyle w:val="18"/>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_Toc6294 </w:instrText>
          </w:r>
          <w:r>
            <w:rPr>
              <w:rFonts w:hint="eastAsia" w:ascii="仿宋" w:hAnsi="仿宋" w:eastAsia="仿宋" w:cs="仿宋"/>
              <w:szCs w:val="24"/>
              <w:lang w:val="zh-CN"/>
            </w:rPr>
            <w:fldChar w:fldCharType="separate"/>
          </w:r>
          <w:r>
            <w:rPr>
              <w:rFonts w:cs="Times New Roman"/>
            </w:rPr>
            <w:t>八、附件</w:t>
          </w:r>
          <w:r>
            <w:tab/>
          </w:r>
          <w:r>
            <w:fldChar w:fldCharType="begin"/>
          </w:r>
          <w:r>
            <w:instrText xml:space="preserve"> PAGEREF _Toc6294 \h </w:instrText>
          </w:r>
          <w:r>
            <w:fldChar w:fldCharType="separate"/>
          </w:r>
          <w:r>
            <w:t>43</w:t>
          </w:r>
          <w:r>
            <w:fldChar w:fldCharType="end"/>
          </w:r>
          <w:r>
            <w:rPr>
              <w:rFonts w:hint="eastAsia" w:ascii="仿宋" w:hAnsi="仿宋" w:eastAsia="仿宋" w:cs="仿宋"/>
              <w:szCs w:val="24"/>
              <w:lang w:val="zh-CN"/>
            </w:rPr>
            <w:fldChar w:fldCharType="end"/>
          </w:r>
        </w:p>
        <w:p>
          <w:pPr>
            <w:pStyle w:val="18"/>
            <w:tabs>
              <w:tab w:val="right" w:leader="dot" w:pos="8306"/>
            </w:tabs>
            <w:ind w:leftChars="0" w:right="0" w:rightChars="0"/>
            <w:rPr>
              <w:rFonts w:ascii="Times New Roman" w:hAnsi="Times New Roman" w:eastAsia="方正粗黑宋简体" w:cs="Times New Roman"/>
              <w:color w:val="000000" w:themeColor="text1"/>
              <w:sz w:val="48"/>
              <w:szCs w:val="44"/>
            </w:rPr>
            <w:sectPr>
              <w:headerReference r:id="rId11" w:type="first"/>
              <w:footerReference r:id="rId12" w:type="first"/>
              <w:pgSz w:w="11906" w:h="16838"/>
              <w:pgMar w:top="1440" w:right="1800" w:bottom="1440" w:left="1800" w:header="851" w:footer="1077" w:gutter="0"/>
              <w:pgNumType w:fmt="upperRoman" w:start="1"/>
              <w:cols w:space="425" w:num="1"/>
              <w:titlePg/>
              <w:docGrid w:type="lines" w:linePitch="435" w:charSpace="0"/>
            </w:sectPr>
          </w:pPr>
          <w:r>
            <w:rPr>
              <w:rFonts w:hint="eastAsia" w:ascii="仿宋" w:hAnsi="仿宋" w:eastAsia="仿宋" w:cs="仿宋"/>
              <w:szCs w:val="24"/>
              <w:lang w:val="zh-CN"/>
            </w:rPr>
            <w:fldChar w:fldCharType="end"/>
          </w:r>
        </w:p>
      </w:sdtContent>
    </w:sdt>
    <w:p>
      <w:pPr>
        <w:ind w:left="0" w:leftChars="0" w:right="0" w:rightChars="0"/>
        <w:jc w:val="center"/>
        <w:rPr>
          <w:rFonts w:ascii="Times New Roman" w:hAnsi="Times New Roman" w:eastAsia="方正粗黑宋简体" w:cs="Times New Roman"/>
          <w:b/>
          <w:bCs/>
          <w:color w:val="000000" w:themeColor="text1"/>
          <w:sz w:val="48"/>
          <w:szCs w:val="44"/>
        </w:rPr>
      </w:pPr>
      <w:r>
        <w:rPr>
          <w:rFonts w:hint="eastAsia" w:ascii="Times New Roman" w:hAnsi="Times New Roman" w:eastAsia="方正粗黑宋简体" w:cs="Times New Roman"/>
          <w:b/>
          <w:bCs/>
          <w:color w:val="000000" w:themeColor="text1"/>
          <w:sz w:val="48"/>
          <w:szCs w:val="44"/>
        </w:rPr>
        <w:t>行政服务中心工作经费</w:t>
      </w:r>
    </w:p>
    <w:p>
      <w:pPr>
        <w:ind w:left="0" w:leftChars="0" w:right="0" w:rightChars="0"/>
        <w:jc w:val="center"/>
        <w:rPr>
          <w:rFonts w:ascii="Times New Roman" w:hAnsi="Times New Roman" w:cs="Times New Roman"/>
          <w:b/>
          <w:bCs/>
          <w:sz w:val="24"/>
          <w:szCs w:val="32"/>
        </w:rPr>
      </w:pPr>
      <w:r>
        <w:rPr>
          <w:rFonts w:ascii="Times New Roman" w:hAnsi="Times New Roman" w:eastAsia="方正粗黑宋简体" w:cs="Times New Roman"/>
          <w:b/>
          <w:bCs/>
          <w:color w:val="000000" w:themeColor="text1"/>
          <w:sz w:val="48"/>
          <w:szCs w:val="44"/>
        </w:rPr>
        <w:t>项目支出绩效评价报告</w:t>
      </w:r>
    </w:p>
    <w:p>
      <w:pPr>
        <w:pStyle w:val="12"/>
        <w:ind w:firstLine="560"/>
        <w:rPr>
          <w:rFonts w:cs="Times New Roman"/>
        </w:rPr>
      </w:pPr>
      <w:r>
        <w:rPr>
          <w:rFonts w:cs="Times New Roman"/>
        </w:rPr>
        <w:t>财政支出绩效评价是运用客观的指标体系，对公共资金使用效率、效益进行综合分析和评价的制度，是促进政府职能转变，提高资源配置效率，推进政府管理科学的重要抓手。</w:t>
      </w:r>
    </w:p>
    <w:p>
      <w:pPr>
        <w:pStyle w:val="12"/>
        <w:ind w:firstLine="560"/>
        <w:rPr>
          <w:rFonts w:cs="Times New Roman"/>
        </w:rPr>
      </w:pPr>
      <w:r>
        <w:rPr>
          <w:rFonts w:cs="Times New Roman"/>
          <w:kern w:val="0"/>
        </w:rPr>
        <w:t>为加强</w:t>
      </w:r>
      <w:r>
        <w:rPr>
          <w:rFonts w:hint="eastAsia" w:cs="Times New Roman"/>
          <w:kern w:val="0"/>
        </w:rPr>
        <w:t>行政服务中心工作经费</w:t>
      </w:r>
      <w:r>
        <w:rPr>
          <w:rFonts w:cs="Times New Roman"/>
          <w:kern w:val="0"/>
        </w:rPr>
        <w:t>管理，强化支出责任，提高财政资金的使用效益，建立科学、合理的财政支出绩效评价体系，</w:t>
      </w:r>
      <w:r>
        <w:rPr>
          <w:rFonts w:hint="eastAsia" w:cs="Times New Roman"/>
          <w:kern w:val="0"/>
        </w:rPr>
        <w:t>河南新卓房地产评估有限公司</w:t>
      </w:r>
      <w:r>
        <w:rPr>
          <w:rFonts w:cs="Times New Roman"/>
        </w:rPr>
        <w:t>受</w:t>
      </w:r>
      <w:r>
        <w:rPr>
          <w:rFonts w:hint="eastAsia" w:cs="Times New Roman"/>
        </w:rPr>
        <w:t>漯河经济技术开发区财政局</w:t>
      </w:r>
      <w:r>
        <w:rPr>
          <w:rFonts w:cs="Times New Roman"/>
        </w:rPr>
        <w:t>的委托，对“</w:t>
      </w:r>
      <w:r>
        <w:rPr>
          <w:rFonts w:hint="eastAsia" w:cs="Times New Roman"/>
        </w:rPr>
        <w:t>行政服务中心工作经费</w:t>
      </w:r>
      <w:r>
        <w:rPr>
          <w:rFonts w:cs="Times New Roman"/>
        </w:rPr>
        <w:t>”进行绩效评价。本次评价</w:t>
      </w:r>
      <w:r>
        <w:rPr>
          <w:rFonts w:cs="Times New Roman"/>
          <w:kern w:val="0"/>
        </w:rPr>
        <w:t>根据《中共中央国务院关于全面实施预算绩效管理的意见》（中发〔2018〕34号）、财政部</w:t>
      </w:r>
      <w:r>
        <w:rPr>
          <w:rFonts w:cs="Times New Roman"/>
        </w:rPr>
        <w:t>《项目支出绩效评价管理办法》财预〔2020〕10 号</w:t>
      </w:r>
      <w:r>
        <w:rPr>
          <w:rFonts w:cs="Times New Roman"/>
          <w:kern w:val="0"/>
        </w:rPr>
        <w:t>、财政部</w:t>
      </w:r>
      <w:r>
        <w:rPr>
          <w:rFonts w:cs="Times New Roman"/>
        </w:rPr>
        <w:t>《中共河南省委河南省人民政府关于全面实施预算绩效管理的实施意见》（豫发〔2019〕10号）、河南省财政厅《河南省省级预算项目支出绩效评价管理办法》（豫财效〔2020〕10 号）等文件的相关规定，遵循“科学规范、公正公开、绩效相关”的原则，运用科学、合理的绩效评价指标、评价标准和评价方法，对财政支出项目进行绩效评价。</w:t>
      </w:r>
    </w:p>
    <w:p>
      <w:pPr>
        <w:pStyle w:val="3"/>
        <w:rPr>
          <w:rFonts w:cs="Times New Roman"/>
          <w:color w:val="000000" w:themeColor="text1"/>
        </w:rPr>
      </w:pPr>
      <w:bookmarkStart w:id="1" w:name="_Toc15842"/>
      <w:bookmarkStart w:id="2" w:name="_Toc67315570"/>
      <w:r>
        <w:rPr>
          <w:rFonts w:cs="Times New Roman"/>
        </w:rPr>
        <w:t>一、基本情况</w:t>
      </w:r>
      <w:bookmarkEnd w:id="1"/>
      <w:bookmarkEnd w:id="2"/>
    </w:p>
    <w:p>
      <w:pPr>
        <w:pStyle w:val="4"/>
        <w:ind w:firstLine="602"/>
        <w:rPr>
          <w:rFonts w:cs="Times New Roman"/>
        </w:rPr>
      </w:pPr>
      <w:bookmarkStart w:id="3" w:name="_Toc28952"/>
      <w:bookmarkStart w:id="4" w:name="_Toc67315571"/>
      <w:r>
        <w:rPr>
          <w:rFonts w:cs="Times New Roman"/>
        </w:rPr>
        <w:t>（一）项目概况</w:t>
      </w:r>
      <w:bookmarkEnd w:id="3"/>
      <w:bookmarkEnd w:id="4"/>
    </w:p>
    <w:p>
      <w:pPr>
        <w:pStyle w:val="5"/>
        <w:ind w:firstLine="562"/>
        <w:rPr>
          <w:rFonts w:cs="Times New Roman"/>
        </w:rPr>
      </w:pPr>
      <w:bookmarkStart w:id="5" w:name="_Toc1141"/>
      <w:r>
        <w:rPr>
          <w:rFonts w:cs="Times New Roman"/>
        </w:rPr>
        <w:t>1.项目单位基本情况</w:t>
      </w:r>
      <w:bookmarkEnd w:id="5"/>
    </w:p>
    <w:tbl>
      <w:tblPr>
        <w:tblStyle w:val="28"/>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8" w:type="dxa"/>
            <w:gridSpan w:val="2"/>
            <w:shd w:val="clear" w:color="auto" w:fill="auto"/>
            <w:vAlign w:val="center"/>
          </w:tcPr>
          <w:p>
            <w:pPr>
              <w:pStyle w:val="12"/>
              <w:ind w:firstLine="0" w:firstLineChars="0"/>
              <w:jc w:val="center"/>
              <w:rPr>
                <w:rFonts w:cs="Times New Roman"/>
                <w:b/>
                <w:bCs/>
                <w:sz w:val="24"/>
                <w:szCs w:val="20"/>
              </w:rPr>
            </w:pPr>
            <w:r>
              <w:rPr>
                <w:rFonts w:cs="Times New Roman"/>
                <w:sz w:val="24"/>
                <w:szCs w:val="20"/>
              </w:rPr>
              <w:t xml:space="preserve">表1  </w:t>
            </w:r>
            <w:r>
              <w:rPr>
                <w:rFonts w:hint="eastAsia" w:cs="Times New Roman"/>
                <w:sz w:val="24"/>
                <w:szCs w:val="20"/>
              </w:rPr>
              <w:t>漯河经济技术开发区行政服务中心</w:t>
            </w:r>
            <w:r>
              <w:rPr>
                <w:rFonts w:cs="Times New Roman"/>
                <w:sz w:val="24"/>
                <w:szCs w:val="20"/>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00B0F0"/>
            <w:vAlign w:val="center"/>
          </w:tcPr>
          <w:p>
            <w:pPr>
              <w:pStyle w:val="12"/>
              <w:ind w:firstLine="0" w:firstLineChars="0"/>
              <w:jc w:val="center"/>
              <w:rPr>
                <w:rFonts w:cs="Times New Roman"/>
                <w:b/>
                <w:bCs/>
                <w:sz w:val="24"/>
                <w:szCs w:val="20"/>
              </w:rPr>
            </w:pPr>
            <w:r>
              <w:rPr>
                <w:rFonts w:cs="Times New Roman"/>
                <w:b/>
                <w:bCs/>
                <w:sz w:val="24"/>
                <w:szCs w:val="20"/>
              </w:rPr>
              <w:t>科目</w:t>
            </w:r>
          </w:p>
        </w:tc>
        <w:tc>
          <w:tcPr>
            <w:tcW w:w="6003" w:type="dxa"/>
            <w:shd w:val="clear" w:color="auto" w:fill="00B0F0"/>
            <w:vAlign w:val="center"/>
          </w:tcPr>
          <w:p>
            <w:pPr>
              <w:pStyle w:val="12"/>
              <w:ind w:firstLine="0" w:firstLineChars="0"/>
              <w:jc w:val="center"/>
              <w:rPr>
                <w:rFonts w:cs="Times New Roman"/>
                <w:b/>
                <w:bCs/>
                <w:sz w:val="24"/>
                <w:szCs w:val="20"/>
              </w:rPr>
            </w:pPr>
            <w:r>
              <w:rPr>
                <w:rFonts w:cs="Times New Roman"/>
                <w:b/>
                <w:bCs/>
                <w:sz w:val="24"/>
                <w:szCs w:val="20"/>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12"/>
              <w:ind w:firstLine="0" w:firstLineChars="0"/>
              <w:jc w:val="center"/>
              <w:rPr>
                <w:rFonts w:cs="Times New Roman"/>
                <w:sz w:val="24"/>
                <w:szCs w:val="20"/>
              </w:rPr>
            </w:pPr>
            <w:r>
              <w:rPr>
                <w:rFonts w:cs="Times New Roman"/>
                <w:sz w:val="24"/>
                <w:szCs w:val="20"/>
              </w:rPr>
              <w:t>项目单位</w:t>
            </w:r>
          </w:p>
        </w:tc>
        <w:tc>
          <w:tcPr>
            <w:tcW w:w="6003" w:type="dxa"/>
            <w:vAlign w:val="center"/>
          </w:tcPr>
          <w:p>
            <w:pPr>
              <w:pStyle w:val="12"/>
              <w:ind w:firstLine="0" w:firstLineChars="0"/>
              <w:jc w:val="center"/>
              <w:rPr>
                <w:rFonts w:cs="Times New Roman"/>
                <w:sz w:val="24"/>
                <w:szCs w:val="20"/>
              </w:rPr>
            </w:pPr>
            <w:r>
              <w:rPr>
                <w:rFonts w:hint="eastAsia" w:cs="Times New Roman"/>
                <w:sz w:val="24"/>
                <w:szCs w:val="20"/>
              </w:rPr>
              <w:t>漯河经济技术开发区行政服务中心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12"/>
              <w:ind w:firstLine="0" w:firstLineChars="0"/>
              <w:jc w:val="center"/>
              <w:rPr>
                <w:rFonts w:cs="Times New Roman"/>
                <w:sz w:val="24"/>
                <w:szCs w:val="20"/>
              </w:rPr>
            </w:pPr>
            <w:r>
              <w:rPr>
                <w:rFonts w:cs="Times New Roman"/>
                <w:sz w:val="24"/>
                <w:szCs w:val="20"/>
              </w:rPr>
              <w:t>主管部门</w:t>
            </w:r>
          </w:p>
        </w:tc>
        <w:tc>
          <w:tcPr>
            <w:tcW w:w="6003" w:type="dxa"/>
            <w:vAlign w:val="center"/>
          </w:tcPr>
          <w:p>
            <w:pPr>
              <w:pStyle w:val="12"/>
              <w:ind w:firstLine="0" w:firstLineChars="0"/>
              <w:jc w:val="center"/>
              <w:rPr>
                <w:rFonts w:cs="Times New Roman"/>
                <w:sz w:val="24"/>
                <w:szCs w:val="20"/>
              </w:rPr>
            </w:pPr>
            <w:r>
              <w:rPr>
                <w:rFonts w:hint="eastAsia" w:cs="Times New Roman"/>
                <w:sz w:val="24"/>
                <w:szCs w:val="20"/>
              </w:rPr>
              <w:t>漯河经济技术开发区行政服务中心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12"/>
              <w:ind w:firstLine="0" w:firstLineChars="0"/>
              <w:jc w:val="center"/>
              <w:rPr>
                <w:rFonts w:cs="Times New Roman"/>
                <w:sz w:val="24"/>
                <w:szCs w:val="20"/>
              </w:rPr>
            </w:pPr>
            <w:r>
              <w:rPr>
                <w:rFonts w:cs="Times New Roman"/>
                <w:sz w:val="24"/>
                <w:szCs w:val="20"/>
              </w:rPr>
              <w:t>单位类型</w:t>
            </w:r>
          </w:p>
        </w:tc>
        <w:tc>
          <w:tcPr>
            <w:tcW w:w="6003" w:type="dxa"/>
            <w:vAlign w:val="center"/>
          </w:tcPr>
          <w:p>
            <w:pPr>
              <w:pStyle w:val="12"/>
              <w:ind w:firstLine="0" w:firstLineChars="0"/>
              <w:jc w:val="center"/>
              <w:rPr>
                <w:rFonts w:cs="Times New Roman"/>
                <w:sz w:val="24"/>
                <w:szCs w:val="20"/>
              </w:rPr>
            </w:pPr>
            <w:r>
              <w:rPr>
                <w:rFonts w:cs="Times New Roman"/>
                <w:sz w:val="24"/>
                <w:szCs w:val="20"/>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12"/>
              <w:ind w:firstLine="0" w:firstLineChars="0"/>
              <w:jc w:val="center"/>
              <w:rPr>
                <w:rFonts w:cs="Times New Roman"/>
                <w:sz w:val="24"/>
                <w:szCs w:val="20"/>
              </w:rPr>
            </w:pPr>
            <w:r>
              <w:rPr>
                <w:rFonts w:cs="Times New Roman"/>
                <w:sz w:val="24"/>
                <w:szCs w:val="20"/>
              </w:rPr>
              <w:t>经费来源</w:t>
            </w:r>
          </w:p>
        </w:tc>
        <w:tc>
          <w:tcPr>
            <w:tcW w:w="6003" w:type="dxa"/>
            <w:vAlign w:val="center"/>
          </w:tcPr>
          <w:p>
            <w:pPr>
              <w:pStyle w:val="12"/>
              <w:ind w:firstLine="0" w:firstLineChars="0"/>
              <w:jc w:val="center"/>
              <w:rPr>
                <w:rFonts w:cs="Times New Roman"/>
                <w:sz w:val="24"/>
                <w:szCs w:val="20"/>
              </w:rPr>
            </w:pPr>
            <w:r>
              <w:rPr>
                <w:rFonts w:cs="Times New Roman"/>
                <w:sz w:val="24"/>
                <w:szCs w:val="20"/>
              </w:rPr>
              <w:t>财政补助收入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12"/>
              <w:ind w:firstLine="0" w:firstLineChars="0"/>
              <w:jc w:val="center"/>
              <w:rPr>
                <w:rFonts w:cs="Times New Roman"/>
                <w:sz w:val="24"/>
                <w:szCs w:val="20"/>
              </w:rPr>
            </w:pPr>
            <w:r>
              <w:rPr>
                <w:rFonts w:cs="Times New Roman"/>
                <w:sz w:val="24"/>
                <w:szCs w:val="20"/>
              </w:rPr>
              <w:t>住所</w:t>
            </w:r>
          </w:p>
        </w:tc>
        <w:tc>
          <w:tcPr>
            <w:tcW w:w="6003" w:type="dxa"/>
            <w:vAlign w:val="center"/>
          </w:tcPr>
          <w:p>
            <w:pPr>
              <w:pStyle w:val="12"/>
              <w:ind w:firstLine="0" w:firstLineChars="0"/>
              <w:jc w:val="center"/>
              <w:rPr>
                <w:rFonts w:cs="Times New Roman"/>
                <w:sz w:val="24"/>
                <w:szCs w:val="20"/>
              </w:rPr>
            </w:pPr>
            <w:r>
              <w:rPr>
                <w:rFonts w:cs="Times New Roman"/>
                <w:sz w:val="24"/>
                <w:szCs w:val="20"/>
              </w:rPr>
              <w:t>河南省</w:t>
            </w:r>
            <w:r>
              <w:rPr>
                <w:rFonts w:hint="eastAsia" w:cs="Times New Roman"/>
                <w:sz w:val="24"/>
                <w:szCs w:val="20"/>
              </w:rPr>
              <w:t>漯河</w:t>
            </w:r>
            <w:r>
              <w:rPr>
                <w:rFonts w:cs="Times New Roman"/>
                <w:sz w:val="24"/>
                <w:szCs w:val="20"/>
              </w:rPr>
              <w:t>市</w:t>
            </w:r>
            <w:r>
              <w:rPr>
                <w:rFonts w:hint="eastAsia" w:cs="Times New Roman"/>
                <w:sz w:val="24"/>
                <w:szCs w:val="20"/>
              </w:rPr>
              <w:t>中山</w:t>
            </w:r>
            <w:r>
              <w:rPr>
                <w:rFonts w:cs="Times New Roman"/>
                <w:sz w:val="24"/>
                <w:szCs w:val="20"/>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12"/>
              <w:ind w:firstLine="0" w:firstLineChars="0"/>
              <w:jc w:val="center"/>
              <w:rPr>
                <w:rFonts w:cs="Times New Roman"/>
                <w:sz w:val="24"/>
                <w:szCs w:val="20"/>
              </w:rPr>
            </w:pPr>
            <w:r>
              <w:rPr>
                <w:rFonts w:cs="Times New Roman"/>
                <w:sz w:val="24"/>
                <w:szCs w:val="20"/>
              </w:rPr>
              <w:t>宗旨和业务范围</w:t>
            </w:r>
          </w:p>
        </w:tc>
        <w:tc>
          <w:tcPr>
            <w:tcW w:w="6003" w:type="dxa"/>
            <w:vAlign w:val="center"/>
          </w:tcPr>
          <w:p>
            <w:pPr>
              <w:pStyle w:val="12"/>
              <w:spacing w:line="240" w:lineRule="auto"/>
              <w:ind w:firstLine="0" w:firstLineChars="0"/>
              <w:jc w:val="left"/>
              <w:rPr>
                <w:rFonts w:cs="Times New Roman"/>
                <w:sz w:val="24"/>
                <w:szCs w:val="20"/>
              </w:rPr>
            </w:pPr>
            <w:r>
              <w:rPr>
                <w:rFonts w:hint="eastAsia" w:cs="Times New Roman"/>
                <w:sz w:val="24"/>
                <w:szCs w:val="20"/>
              </w:rPr>
              <w:t>负责制定区行政服务中心的各项规章制度、管理办法，并组织实施；负责对区行政服务中心服务窗口及其工作人员的管理和考核；负责对进入行政服务中心项目的确定、调整；受理对行政服务中心工作人员违规违纪行为的投诉，并提出处理建议；负责开发区规划展览馆、会议室的管理和服务工作。</w:t>
            </w:r>
          </w:p>
        </w:tc>
      </w:tr>
    </w:tbl>
    <w:p>
      <w:pPr>
        <w:pStyle w:val="5"/>
        <w:ind w:firstLine="562"/>
        <w:rPr>
          <w:rFonts w:cs="Times New Roman"/>
        </w:rPr>
      </w:pPr>
      <w:bookmarkStart w:id="6" w:name="_Toc2514"/>
      <w:r>
        <w:rPr>
          <w:rFonts w:cs="Times New Roman"/>
        </w:rPr>
        <w:t>2.项目背景</w:t>
      </w:r>
      <w:bookmarkEnd w:id="6"/>
    </w:p>
    <w:p>
      <w:pPr>
        <w:pStyle w:val="12"/>
        <w:ind w:firstLine="560"/>
        <w:rPr>
          <w:rFonts w:cs="Times New Roman"/>
          <w:highlight w:val="yellow"/>
        </w:rPr>
      </w:pPr>
      <w:r>
        <w:rPr>
          <w:rFonts w:hint="eastAsia" w:cs="Times New Roman"/>
        </w:rPr>
        <w:t>漯河经济技术开发区行政服务中心负责对区行政服务中心服务窗口及其工作人员的管理和考核；负责对进入行政服务中心项目的确定、调整；受理对行政服务中心工作人员违规违纪行为的投诉，并提出处理建议；负责开发区规划展览馆、会议室的管理和服务工作。从而提高行政效能，全面提升中心的服务质量和水平，树立良好的服务型政府形象，打造一流的政务服务环境。</w:t>
      </w:r>
    </w:p>
    <w:p>
      <w:pPr>
        <w:pStyle w:val="5"/>
        <w:ind w:firstLine="562"/>
        <w:rPr>
          <w:rFonts w:cs="Times New Roman"/>
        </w:rPr>
      </w:pPr>
      <w:bookmarkStart w:id="7" w:name="_Toc10255"/>
      <w:r>
        <w:rPr>
          <w:rFonts w:cs="Times New Roman"/>
        </w:rPr>
        <w:t>3.主要内容</w:t>
      </w:r>
      <w:bookmarkEnd w:id="7"/>
    </w:p>
    <w:p>
      <w:pPr>
        <w:pStyle w:val="12"/>
        <w:ind w:firstLine="560"/>
        <w:rPr>
          <w:rFonts w:cs="Times New Roman"/>
        </w:rPr>
      </w:pPr>
      <w:r>
        <w:rPr>
          <w:rFonts w:cs="Times New Roman"/>
        </w:rPr>
        <w:t>202</w:t>
      </w:r>
      <w:r>
        <w:rPr>
          <w:rFonts w:hint="eastAsia" w:cs="Times New Roman"/>
        </w:rPr>
        <w:t>1</w:t>
      </w:r>
      <w:r>
        <w:rPr>
          <w:rFonts w:cs="Times New Roman"/>
        </w:rPr>
        <w:t>年</w:t>
      </w:r>
      <w:r>
        <w:rPr>
          <w:rFonts w:hint="eastAsia" w:cs="Times New Roman"/>
        </w:rPr>
        <w:t>行政服务中心工作经费年初预算经费24万元，全年预算经费24万元，实际执行经费</w:t>
      </w:r>
      <w:r>
        <w:rPr>
          <w:rFonts w:hint="eastAsia" w:cs="Times New Roman"/>
          <w:color w:val="000000"/>
          <w:kern w:val="0"/>
          <w:szCs w:val="28"/>
        </w:rPr>
        <w:t>23.145126</w:t>
      </w:r>
      <w:r>
        <w:rPr>
          <w:rFonts w:cs="Times New Roman"/>
        </w:rPr>
        <w:t>万元</w:t>
      </w:r>
      <w:r>
        <w:rPr>
          <w:rFonts w:hint="eastAsia" w:cs="Times New Roman"/>
        </w:rPr>
        <w:t>。</w:t>
      </w:r>
      <w:r>
        <w:rPr>
          <w:rFonts w:cs="Times New Roman"/>
        </w:rPr>
        <w:t>该经费主要用于</w:t>
      </w:r>
      <w:r>
        <w:rPr>
          <w:rFonts w:hint="eastAsia" w:cs="Times New Roman"/>
        </w:rPr>
        <w:t>办公费、宣传费、其他工资福利支出、维修费、邮电费等相关费用</w:t>
      </w:r>
      <w:r>
        <w:rPr>
          <w:rFonts w:cs="Times New Roman"/>
        </w:rPr>
        <w:t>。</w:t>
      </w:r>
    </w:p>
    <w:p>
      <w:pPr>
        <w:pStyle w:val="5"/>
        <w:ind w:firstLine="562"/>
        <w:rPr>
          <w:rFonts w:cs="Times New Roman"/>
        </w:rPr>
      </w:pPr>
      <w:bookmarkStart w:id="8" w:name="_Toc15432"/>
      <w:r>
        <w:rPr>
          <w:rFonts w:cs="Times New Roman"/>
        </w:rPr>
        <w:t>4.实施情况</w:t>
      </w:r>
      <w:bookmarkEnd w:id="8"/>
    </w:p>
    <w:p>
      <w:pPr>
        <w:pStyle w:val="12"/>
        <w:ind w:firstLine="560"/>
        <w:rPr>
          <w:rFonts w:cs="Times New Roman"/>
        </w:rPr>
      </w:pPr>
      <w:r>
        <w:rPr>
          <w:rFonts w:hint="eastAsia" w:cs="Times New Roman"/>
        </w:rPr>
        <w:t>该项目2021年实际支付</w:t>
      </w:r>
      <w:r>
        <w:rPr>
          <w:rFonts w:hint="eastAsia" w:cs="Times New Roman"/>
          <w:color w:val="000000"/>
          <w:kern w:val="0"/>
          <w:szCs w:val="28"/>
        </w:rPr>
        <w:t>23.145126</w:t>
      </w:r>
      <w:r>
        <w:rPr>
          <w:rFonts w:hint="eastAsia" w:cs="Times New Roman"/>
        </w:rPr>
        <w:t>万元。梳理行政审批事项，完善细化各项目办理流程392项，并整理归档；受理各类办件2240件，办结率100%；各类会议服务1095余次。</w:t>
      </w:r>
    </w:p>
    <w:p>
      <w:pPr>
        <w:pStyle w:val="5"/>
        <w:ind w:firstLine="562"/>
        <w:rPr>
          <w:rFonts w:cs="Times New Roman"/>
        </w:rPr>
      </w:pPr>
      <w:bookmarkStart w:id="9" w:name="_Toc1280"/>
      <w:r>
        <w:rPr>
          <w:rFonts w:cs="Times New Roman"/>
        </w:rPr>
        <w:t>5.资金投入及使用情况</w:t>
      </w:r>
      <w:bookmarkEnd w:id="9"/>
    </w:p>
    <w:p>
      <w:pPr>
        <w:pStyle w:val="12"/>
        <w:ind w:firstLine="560"/>
        <w:rPr>
          <w:rFonts w:cs="Times New Roman"/>
          <w:color w:val="000000" w:themeColor="text1"/>
        </w:rPr>
      </w:pPr>
      <w:r>
        <w:rPr>
          <w:rFonts w:hint="eastAsia" w:cs="Times New Roman"/>
          <w:color w:val="000000" w:themeColor="text1"/>
        </w:rPr>
        <w:t>行政服务中心工作经费</w:t>
      </w:r>
      <w:r>
        <w:rPr>
          <w:rFonts w:cs="Times New Roman"/>
          <w:color w:val="000000" w:themeColor="text1"/>
        </w:rPr>
        <w:t>202</w:t>
      </w:r>
      <w:r>
        <w:rPr>
          <w:rFonts w:hint="eastAsia" w:cs="Times New Roman"/>
          <w:color w:val="000000" w:themeColor="text1"/>
        </w:rPr>
        <w:t>1</w:t>
      </w:r>
      <w:r>
        <w:rPr>
          <w:rFonts w:cs="Times New Roman"/>
          <w:color w:val="000000" w:themeColor="text1"/>
        </w:rPr>
        <w:t>年</w:t>
      </w:r>
      <w:r>
        <w:rPr>
          <w:rFonts w:hint="eastAsia" w:cs="Times New Roman"/>
          <w:color w:val="000000" w:themeColor="text1"/>
        </w:rPr>
        <w:t>工作经费</w:t>
      </w:r>
      <w:r>
        <w:rPr>
          <w:rFonts w:cs="Times New Roman"/>
          <w:color w:val="000000" w:themeColor="text1"/>
        </w:rPr>
        <w:t>资金投入共</w:t>
      </w:r>
      <w:r>
        <w:rPr>
          <w:rFonts w:hint="eastAsia" w:cs="Times New Roman"/>
          <w:color w:val="000000"/>
          <w:kern w:val="0"/>
          <w:szCs w:val="28"/>
        </w:rPr>
        <w:t>23.145126</w:t>
      </w:r>
      <w:r>
        <w:rPr>
          <w:rFonts w:cs="Times New Roman"/>
          <w:color w:val="000000" w:themeColor="text1"/>
        </w:rPr>
        <w:t xml:space="preserve">万，经费使用情况： </w:t>
      </w:r>
    </w:p>
    <w:tbl>
      <w:tblPr>
        <w:tblStyle w:val="2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400"/>
        <w:gridCol w:w="1819"/>
        <w:gridCol w:w="1847"/>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Align w:val="center"/>
          </w:tcPr>
          <w:p>
            <w:pPr>
              <w:spacing w:line="240" w:lineRule="auto"/>
              <w:ind w:left="0" w:leftChars="0" w:right="0" w:rightChars="0"/>
              <w:jc w:val="center"/>
              <w:rPr>
                <w:rFonts w:ascii="仿宋" w:hAnsi="仿宋" w:eastAsia="仿宋" w:cs="仿宋"/>
                <w:sz w:val="24"/>
              </w:rPr>
            </w:pPr>
            <w:r>
              <w:rPr>
                <w:rFonts w:hint="eastAsia" w:ascii="仿宋" w:hAnsi="仿宋" w:eastAsia="仿宋" w:cs="仿宋"/>
                <w:sz w:val="24"/>
              </w:rPr>
              <w:t>序号</w:t>
            </w:r>
          </w:p>
        </w:tc>
        <w:tc>
          <w:tcPr>
            <w:tcW w:w="2400" w:type="dxa"/>
            <w:vAlign w:val="center"/>
          </w:tcPr>
          <w:p>
            <w:pPr>
              <w:spacing w:line="240" w:lineRule="auto"/>
              <w:ind w:left="0" w:leftChars="0" w:right="0" w:rightChars="0"/>
              <w:jc w:val="center"/>
              <w:rPr>
                <w:rFonts w:ascii="仿宋" w:hAnsi="仿宋" w:eastAsia="仿宋" w:cs="仿宋"/>
                <w:sz w:val="24"/>
              </w:rPr>
            </w:pPr>
            <w:r>
              <w:rPr>
                <w:rFonts w:hint="eastAsia" w:ascii="仿宋" w:hAnsi="仿宋" w:eastAsia="仿宋" w:cs="仿宋"/>
                <w:sz w:val="24"/>
              </w:rPr>
              <w:t>费用明细</w:t>
            </w:r>
          </w:p>
        </w:tc>
        <w:tc>
          <w:tcPr>
            <w:tcW w:w="1819" w:type="dxa"/>
            <w:vAlign w:val="center"/>
          </w:tcPr>
          <w:p>
            <w:pPr>
              <w:spacing w:line="240" w:lineRule="auto"/>
              <w:ind w:left="0" w:leftChars="0" w:right="0" w:rightChars="0"/>
              <w:jc w:val="center"/>
              <w:rPr>
                <w:rFonts w:ascii="仿宋" w:hAnsi="仿宋" w:eastAsia="仿宋" w:cs="仿宋"/>
                <w:sz w:val="24"/>
              </w:rPr>
            </w:pPr>
            <w:r>
              <w:rPr>
                <w:rFonts w:hint="eastAsia" w:ascii="仿宋" w:hAnsi="仿宋" w:eastAsia="仿宋" w:cs="仿宋"/>
                <w:color w:val="000000"/>
                <w:kern w:val="0"/>
                <w:sz w:val="24"/>
              </w:rPr>
              <w:t>预算金额（元）</w:t>
            </w:r>
          </w:p>
        </w:tc>
        <w:tc>
          <w:tcPr>
            <w:tcW w:w="1847" w:type="dxa"/>
            <w:vAlign w:val="center"/>
          </w:tcPr>
          <w:p>
            <w:pPr>
              <w:spacing w:line="240" w:lineRule="auto"/>
              <w:ind w:left="0" w:leftChars="0" w:right="0" w:rightChars="0"/>
              <w:jc w:val="center"/>
              <w:rPr>
                <w:rFonts w:ascii="仿宋" w:hAnsi="仿宋" w:eastAsia="仿宋" w:cs="仿宋"/>
                <w:sz w:val="24"/>
              </w:rPr>
            </w:pPr>
            <w:r>
              <w:rPr>
                <w:rFonts w:hint="eastAsia" w:ascii="仿宋" w:hAnsi="仿宋" w:eastAsia="仿宋" w:cs="仿宋"/>
                <w:color w:val="000000"/>
                <w:kern w:val="0"/>
                <w:sz w:val="24"/>
              </w:rPr>
              <w:t>实际支出金额（元）</w:t>
            </w:r>
          </w:p>
        </w:tc>
        <w:tc>
          <w:tcPr>
            <w:tcW w:w="1661"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color w:val="000000"/>
                <w:kern w:val="0"/>
                <w:sz w:val="24"/>
              </w:rPr>
              <w:t>预算完成率（%）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32" w:type="dxa"/>
            <w:vAlign w:val="center"/>
          </w:tcPr>
          <w:p>
            <w:pPr>
              <w:spacing w:line="240" w:lineRule="auto"/>
              <w:ind w:left="0" w:leftChars="0" w:right="0" w:rightChars="0"/>
              <w:jc w:val="center"/>
              <w:rPr>
                <w:rFonts w:ascii="仿宋" w:hAnsi="仿宋" w:eastAsia="仿宋" w:cs="仿宋"/>
                <w:sz w:val="24"/>
              </w:rPr>
            </w:pPr>
            <w:r>
              <w:rPr>
                <w:rFonts w:hint="eastAsia" w:ascii="仿宋" w:hAnsi="仿宋" w:eastAsia="仿宋" w:cs="仿宋"/>
                <w:sz w:val="24"/>
              </w:rPr>
              <w:t>1</w:t>
            </w:r>
          </w:p>
        </w:tc>
        <w:tc>
          <w:tcPr>
            <w:tcW w:w="2400"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color w:val="000000"/>
                <w:kern w:val="0"/>
                <w:sz w:val="24"/>
              </w:rPr>
              <w:t>维修、维护费</w:t>
            </w:r>
          </w:p>
        </w:tc>
        <w:tc>
          <w:tcPr>
            <w:tcW w:w="1819"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40000</w:t>
            </w:r>
          </w:p>
        </w:tc>
        <w:tc>
          <w:tcPr>
            <w:tcW w:w="1847"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16160</w:t>
            </w:r>
          </w:p>
        </w:tc>
        <w:tc>
          <w:tcPr>
            <w:tcW w:w="1661"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40.40%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32" w:type="dxa"/>
            <w:vAlign w:val="center"/>
          </w:tcPr>
          <w:p>
            <w:pPr>
              <w:spacing w:line="240" w:lineRule="auto"/>
              <w:ind w:left="0" w:leftChars="0" w:right="0" w:rightChars="0"/>
              <w:jc w:val="center"/>
              <w:rPr>
                <w:rFonts w:ascii="仿宋" w:hAnsi="仿宋" w:eastAsia="仿宋" w:cs="仿宋"/>
                <w:sz w:val="24"/>
              </w:rPr>
            </w:pPr>
            <w:r>
              <w:rPr>
                <w:rFonts w:hint="eastAsia" w:ascii="仿宋" w:hAnsi="仿宋" w:eastAsia="仿宋" w:cs="仿宋"/>
                <w:sz w:val="24"/>
              </w:rPr>
              <w:t>2</w:t>
            </w:r>
          </w:p>
        </w:tc>
        <w:tc>
          <w:tcPr>
            <w:tcW w:w="2400"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color w:val="000000"/>
                <w:kern w:val="0"/>
                <w:sz w:val="24"/>
              </w:rPr>
              <w:t>办公费</w:t>
            </w:r>
          </w:p>
        </w:tc>
        <w:tc>
          <w:tcPr>
            <w:tcW w:w="1819"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20000</w:t>
            </w:r>
          </w:p>
        </w:tc>
        <w:tc>
          <w:tcPr>
            <w:tcW w:w="1847"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25532.96</w:t>
            </w:r>
          </w:p>
        </w:tc>
        <w:tc>
          <w:tcPr>
            <w:tcW w:w="1661"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127.66%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2" w:type="dxa"/>
            <w:vAlign w:val="center"/>
          </w:tcPr>
          <w:p>
            <w:pPr>
              <w:spacing w:line="240" w:lineRule="auto"/>
              <w:ind w:left="0" w:leftChars="0" w:right="0" w:rightChars="0"/>
              <w:jc w:val="center"/>
              <w:rPr>
                <w:rFonts w:ascii="仿宋" w:hAnsi="仿宋" w:eastAsia="仿宋" w:cs="仿宋"/>
                <w:sz w:val="24"/>
              </w:rPr>
            </w:pPr>
            <w:r>
              <w:rPr>
                <w:rFonts w:hint="eastAsia" w:ascii="仿宋" w:hAnsi="仿宋" w:eastAsia="仿宋" w:cs="仿宋"/>
                <w:sz w:val="24"/>
              </w:rPr>
              <w:t>3</w:t>
            </w:r>
          </w:p>
        </w:tc>
        <w:tc>
          <w:tcPr>
            <w:tcW w:w="2400"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color w:val="000000"/>
                <w:kern w:val="0"/>
                <w:sz w:val="24"/>
              </w:rPr>
              <w:t>劳务费</w:t>
            </w:r>
          </w:p>
        </w:tc>
        <w:tc>
          <w:tcPr>
            <w:tcW w:w="1819"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20000</w:t>
            </w:r>
          </w:p>
        </w:tc>
        <w:tc>
          <w:tcPr>
            <w:tcW w:w="1847"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1800</w:t>
            </w:r>
          </w:p>
        </w:tc>
        <w:tc>
          <w:tcPr>
            <w:tcW w:w="1661"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2" w:type="dxa"/>
            <w:vAlign w:val="center"/>
          </w:tcPr>
          <w:p>
            <w:pPr>
              <w:spacing w:line="240" w:lineRule="auto"/>
              <w:ind w:left="0" w:leftChars="0" w:right="0" w:rightChars="0"/>
              <w:jc w:val="center"/>
              <w:rPr>
                <w:rFonts w:ascii="仿宋" w:hAnsi="仿宋" w:eastAsia="仿宋" w:cs="仿宋"/>
                <w:sz w:val="24"/>
              </w:rPr>
            </w:pPr>
            <w:r>
              <w:rPr>
                <w:rFonts w:hint="eastAsia" w:ascii="仿宋" w:hAnsi="仿宋" w:eastAsia="仿宋" w:cs="仿宋"/>
                <w:sz w:val="24"/>
              </w:rPr>
              <w:t>4</w:t>
            </w:r>
          </w:p>
        </w:tc>
        <w:tc>
          <w:tcPr>
            <w:tcW w:w="2400"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color w:val="000000"/>
                <w:kern w:val="0"/>
                <w:sz w:val="24"/>
              </w:rPr>
              <w:t>邮电费</w:t>
            </w:r>
          </w:p>
        </w:tc>
        <w:tc>
          <w:tcPr>
            <w:tcW w:w="1819"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2000</w:t>
            </w:r>
          </w:p>
        </w:tc>
        <w:tc>
          <w:tcPr>
            <w:tcW w:w="1847"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3958.3</w:t>
            </w:r>
          </w:p>
        </w:tc>
        <w:tc>
          <w:tcPr>
            <w:tcW w:w="1661"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197.92%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32" w:type="dxa"/>
            <w:vAlign w:val="center"/>
          </w:tcPr>
          <w:p>
            <w:pPr>
              <w:spacing w:line="240" w:lineRule="auto"/>
              <w:ind w:left="0" w:leftChars="0" w:right="0" w:rightChars="0"/>
              <w:jc w:val="center"/>
              <w:rPr>
                <w:rFonts w:ascii="仿宋" w:hAnsi="仿宋" w:eastAsia="仿宋" w:cs="仿宋"/>
                <w:sz w:val="24"/>
              </w:rPr>
            </w:pPr>
            <w:r>
              <w:rPr>
                <w:rFonts w:hint="eastAsia" w:ascii="仿宋" w:hAnsi="仿宋" w:eastAsia="仿宋" w:cs="仿宋"/>
                <w:sz w:val="24"/>
              </w:rPr>
              <w:t>5</w:t>
            </w:r>
          </w:p>
        </w:tc>
        <w:tc>
          <w:tcPr>
            <w:tcW w:w="2400"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color w:val="000000"/>
                <w:kern w:val="0"/>
                <w:sz w:val="24"/>
              </w:rPr>
              <w:t>其他商品和服务支出</w:t>
            </w:r>
          </w:p>
        </w:tc>
        <w:tc>
          <w:tcPr>
            <w:tcW w:w="1819"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78000</w:t>
            </w:r>
          </w:p>
        </w:tc>
        <w:tc>
          <w:tcPr>
            <w:tcW w:w="1847"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136000</w:t>
            </w:r>
          </w:p>
        </w:tc>
        <w:tc>
          <w:tcPr>
            <w:tcW w:w="1661"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174.36%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33"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sz w:val="24"/>
              </w:rPr>
              <w:t>6</w:t>
            </w:r>
          </w:p>
        </w:tc>
        <w:tc>
          <w:tcPr>
            <w:tcW w:w="2399"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color w:val="000000"/>
                <w:kern w:val="0"/>
                <w:sz w:val="24"/>
              </w:rPr>
              <w:t>其他工资福利支出</w:t>
            </w:r>
          </w:p>
        </w:tc>
        <w:tc>
          <w:tcPr>
            <w:tcW w:w="1819"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80000</w:t>
            </w:r>
          </w:p>
        </w:tc>
        <w:tc>
          <w:tcPr>
            <w:tcW w:w="1847"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48000</w:t>
            </w:r>
          </w:p>
        </w:tc>
        <w:tc>
          <w:tcPr>
            <w:tcW w:w="1661"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032" w:type="dxa"/>
            <w:gridSpan w:val="2"/>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sz w:val="24"/>
              </w:rPr>
              <w:t>合计</w:t>
            </w:r>
          </w:p>
        </w:tc>
        <w:tc>
          <w:tcPr>
            <w:tcW w:w="1819" w:type="dxa"/>
            <w:vAlign w:val="center"/>
          </w:tcPr>
          <w:p>
            <w:pPr>
              <w:widowControl/>
              <w:spacing w:line="240" w:lineRule="auto"/>
              <w:ind w:left="0" w:leftChars="0" w:right="0" w:rightChars="0"/>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240000</w:t>
            </w:r>
          </w:p>
        </w:tc>
        <w:tc>
          <w:tcPr>
            <w:tcW w:w="1847" w:type="dxa"/>
            <w:vAlign w:val="center"/>
          </w:tcPr>
          <w:p>
            <w:pPr>
              <w:widowControl/>
              <w:spacing w:line="240" w:lineRule="auto"/>
              <w:ind w:left="0" w:leftChars="0" w:right="0" w:rightChars="0"/>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231451.26</w:t>
            </w:r>
          </w:p>
        </w:tc>
        <w:tc>
          <w:tcPr>
            <w:tcW w:w="1661" w:type="dxa"/>
            <w:vAlign w:val="center"/>
          </w:tcPr>
          <w:p>
            <w:pPr>
              <w:widowControl/>
              <w:spacing w:line="240" w:lineRule="auto"/>
              <w:ind w:left="0" w:leftChars="0" w:right="0" w:rightChars="0"/>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96.44%</w:t>
            </w:r>
          </w:p>
        </w:tc>
      </w:tr>
    </w:tbl>
    <w:p>
      <w:pPr>
        <w:pStyle w:val="12"/>
        <w:ind w:firstLine="560"/>
        <w:rPr>
          <w:rFonts w:cs="Times New Roman"/>
        </w:rPr>
      </w:pPr>
      <w:r>
        <w:rPr>
          <w:rFonts w:cs="Times New Roman"/>
        </w:rPr>
        <w:t>根据</w:t>
      </w:r>
      <w:r>
        <w:rPr>
          <w:rFonts w:hint="eastAsia" w:cs="Times New Roman"/>
        </w:rPr>
        <w:t>漯河经济技术开发区行政服务中心</w:t>
      </w:r>
      <w:r>
        <w:rPr>
          <w:rFonts w:cs="Times New Roman"/>
        </w:rPr>
        <w:t>提供的相关资料，经核算，</w:t>
      </w:r>
      <w:r>
        <w:rPr>
          <w:rFonts w:hint="eastAsia" w:cs="Times New Roman"/>
        </w:rPr>
        <w:t>行政服务中心工作经费年初预算240000元，实际</w:t>
      </w:r>
      <w:r>
        <w:rPr>
          <w:rFonts w:cs="Times New Roman"/>
        </w:rPr>
        <w:t>支出</w:t>
      </w:r>
      <w:r>
        <w:rPr>
          <w:rFonts w:hint="eastAsia" w:cs="Times New Roman"/>
        </w:rPr>
        <w:t>231451.26</w:t>
      </w:r>
      <w:r>
        <w:rPr>
          <w:rFonts w:cs="Times New Roman"/>
        </w:rPr>
        <w:t>元</w:t>
      </w:r>
      <w:r>
        <w:rPr>
          <w:rFonts w:hint="eastAsia" w:cs="Times New Roman"/>
        </w:rPr>
        <w:t>，</w:t>
      </w:r>
      <w:r>
        <w:rPr>
          <w:rFonts w:cs="Times New Roman"/>
        </w:rPr>
        <w:t>预算</w:t>
      </w:r>
      <w:r>
        <w:rPr>
          <w:rFonts w:hint="eastAsia" w:cs="Times New Roman"/>
        </w:rPr>
        <w:t>完成</w:t>
      </w:r>
      <w:r>
        <w:rPr>
          <w:rFonts w:cs="Times New Roman"/>
        </w:rPr>
        <w:t>率</w:t>
      </w:r>
      <w:r>
        <w:rPr>
          <w:rFonts w:hint="eastAsia" w:cs="Times New Roman"/>
        </w:rPr>
        <w:t>96.44%</w:t>
      </w:r>
      <w:r>
        <w:rPr>
          <w:rFonts w:cs="Times New Roman"/>
        </w:rPr>
        <w:t>。</w:t>
      </w:r>
      <w:bookmarkStart w:id="10" w:name="_Toc67315572"/>
    </w:p>
    <w:p>
      <w:pPr>
        <w:pStyle w:val="4"/>
        <w:ind w:firstLine="602"/>
        <w:rPr>
          <w:rFonts w:cs="Times New Roman"/>
        </w:rPr>
      </w:pPr>
      <w:bookmarkStart w:id="11" w:name="_Toc25631"/>
      <w:r>
        <w:rPr>
          <w:rFonts w:cs="Times New Roman"/>
        </w:rPr>
        <w:t>（二）项目绩效目标</w:t>
      </w:r>
      <w:bookmarkEnd w:id="10"/>
      <w:bookmarkEnd w:id="11"/>
    </w:p>
    <w:p>
      <w:pPr>
        <w:pStyle w:val="5"/>
        <w:spacing w:line="580" w:lineRule="exact"/>
        <w:ind w:firstLine="562"/>
        <w:rPr>
          <w:rFonts w:cs="Times New Roman"/>
        </w:rPr>
      </w:pPr>
      <w:bookmarkStart w:id="12" w:name="_Toc32418"/>
      <w:r>
        <w:rPr>
          <w:rFonts w:cs="Times New Roman"/>
        </w:rPr>
        <w:t>1.总体目标</w:t>
      </w:r>
      <w:bookmarkEnd w:id="12"/>
    </w:p>
    <w:p>
      <w:pPr>
        <w:pStyle w:val="12"/>
        <w:spacing w:line="580" w:lineRule="exact"/>
        <w:ind w:firstLine="560"/>
        <w:rPr>
          <w:rFonts w:cs="Times New Roman"/>
        </w:rPr>
      </w:pPr>
      <w:r>
        <w:rPr>
          <w:rFonts w:hint="eastAsia" w:cs="Times New Roman"/>
        </w:rPr>
        <w:t>按照全年目标任务，强化服务意识，提升服务质量。</w:t>
      </w:r>
    </w:p>
    <w:p>
      <w:pPr>
        <w:pStyle w:val="5"/>
        <w:spacing w:line="580" w:lineRule="exact"/>
        <w:ind w:firstLine="562"/>
        <w:rPr>
          <w:rFonts w:cs="Times New Roman"/>
        </w:rPr>
      </w:pPr>
      <w:bookmarkStart w:id="13" w:name="_Toc7271"/>
      <w:r>
        <w:rPr>
          <w:rFonts w:cs="Times New Roman"/>
        </w:rPr>
        <w:t>2.阶段性目标</w:t>
      </w:r>
      <w:bookmarkEnd w:id="13"/>
    </w:p>
    <w:p>
      <w:pPr>
        <w:pStyle w:val="12"/>
        <w:spacing w:line="580" w:lineRule="exact"/>
        <w:ind w:firstLine="560"/>
        <w:rPr>
          <w:rFonts w:cs="Times New Roman"/>
        </w:rPr>
      </w:pPr>
      <w:r>
        <w:rPr>
          <w:rFonts w:hint="eastAsia" w:cs="Times New Roman"/>
        </w:rPr>
        <w:t>（1）提供有价值的招商信息2条（其中工业类项目信息1条）。</w:t>
      </w:r>
    </w:p>
    <w:p>
      <w:pPr>
        <w:pStyle w:val="12"/>
        <w:spacing w:line="580" w:lineRule="exact"/>
        <w:ind w:firstLine="560"/>
        <w:rPr>
          <w:rFonts w:cs="Times New Roman"/>
        </w:rPr>
      </w:pPr>
      <w:r>
        <w:rPr>
          <w:rFonts w:hint="eastAsia" w:cs="Times New Roman"/>
        </w:rPr>
        <w:t>（2）做好与市政务服务和大数据管理局对接工作，全面落实“互联网+政务服务”相关工作任务；深化政务服务企业群众满意度工作，保持服务满意度优良。</w:t>
      </w:r>
    </w:p>
    <w:p>
      <w:pPr>
        <w:pStyle w:val="12"/>
        <w:spacing w:line="580" w:lineRule="exact"/>
        <w:ind w:firstLine="560"/>
        <w:rPr>
          <w:rFonts w:cs="Times New Roman"/>
        </w:rPr>
      </w:pPr>
      <w:r>
        <w:rPr>
          <w:rFonts w:hint="eastAsia" w:cs="Times New Roman"/>
        </w:rPr>
        <w:t>（3）突出窗口投诉和网上投诉的处置，确保投诉处置率100%；深化实体政务大厅标准化建设，优化政务服务流程，在营商环境考核评价中确保先进位次。</w:t>
      </w:r>
    </w:p>
    <w:p>
      <w:pPr>
        <w:pStyle w:val="12"/>
        <w:spacing w:line="580" w:lineRule="exact"/>
        <w:ind w:firstLine="560"/>
        <w:rPr>
          <w:rFonts w:cs="Times New Roman"/>
        </w:rPr>
      </w:pPr>
      <w:r>
        <w:rPr>
          <w:rFonts w:hint="eastAsia" w:cs="Times New Roman"/>
        </w:rPr>
        <w:t>（4）做好市重点项目联审联批工作，以及入驻开发区企业的证件办理全程协助服务工作。</w:t>
      </w:r>
    </w:p>
    <w:p>
      <w:pPr>
        <w:pStyle w:val="12"/>
        <w:spacing w:line="580" w:lineRule="exact"/>
        <w:ind w:firstLine="560"/>
        <w:rPr>
          <w:rFonts w:cs="Times New Roman"/>
        </w:rPr>
      </w:pPr>
      <w:r>
        <w:rPr>
          <w:rFonts w:hint="eastAsia" w:cs="Times New Roman"/>
        </w:rPr>
        <w:t>（5）完成国家级、省级开发区评价、创建省质量强区示范区、省市重点工作、民生实事、“放管服”改革、营商环境评价、工业转型升级、“四比四看、大项目建设、项目库建设”、创文、平安建设、市域社会治理现代化“十大工程”等目标任务。</w:t>
      </w:r>
    </w:p>
    <w:p>
      <w:pPr>
        <w:pStyle w:val="12"/>
        <w:spacing w:line="580" w:lineRule="exact"/>
        <w:ind w:firstLine="560"/>
        <w:rPr>
          <w:rFonts w:cs="Times New Roman"/>
        </w:rPr>
      </w:pPr>
      <w:r>
        <w:rPr>
          <w:rFonts w:hint="eastAsia" w:cs="Times New Roman"/>
        </w:rPr>
        <w:t>（6）完成职能工作以及上级和党工委、管委会交办的其他重点工作任务。</w:t>
      </w:r>
    </w:p>
    <w:p>
      <w:pPr>
        <w:pStyle w:val="12"/>
        <w:spacing w:line="580" w:lineRule="exact"/>
        <w:ind w:firstLine="560"/>
        <w:rPr>
          <w:rFonts w:cs="Times New Roman"/>
        </w:rPr>
      </w:pPr>
      <w:r>
        <w:rPr>
          <w:rFonts w:hint="eastAsia" w:cs="Times New Roman"/>
        </w:rPr>
        <w:t>（7）基层党建工作目标：全面完成上级下达的党建目标任务。</w:t>
      </w:r>
    </w:p>
    <w:p>
      <w:pPr>
        <w:pStyle w:val="12"/>
        <w:spacing w:line="580" w:lineRule="exact"/>
        <w:ind w:firstLine="560"/>
        <w:rPr>
          <w:rFonts w:cs="Times New Roman"/>
        </w:rPr>
      </w:pPr>
      <w:r>
        <w:rPr>
          <w:rFonts w:hint="eastAsia" w:cs="Times New Roman"/>
        </w:rPr>
        <w:t>（8）反腐倡廉工作目标：全面完成上级下达的党风廉政建设目标任务。</w:t>
      </w:r>
    </w:p>
    <w:p>
      <w:pPr>
        <w:pStyle w:val="12"/>
        <w:spacing w:line="580" w:lineRule="exact"/>
        <w:ind w:firstLine="560"/>
        <w:rPr>
          <w:rFonts w:cs="Times New Roman"/>
        </w:rPr>
      </w:pPr>
      <w:r>
        <w:rPr>
          <w:rFonts w:cs="Times New Roman"/>
        </w:rPr>
        <w:t>项目绩效目标详见附件1。</w:t>
      </w:r>
      <w:bookmarkStart w:id="14" w:name="_Toc67315573"/>
    </w:p>
    <w:p>
      <w:pPr>
        <w:pStyle w:val="3"/>
        <w:rPr>
          <w:rFonts w:cs="Times New Roman"/>
        </w:rPr>
      </w:pPr>
      <w:bookmarkStart w:id="15" w:name="_Toc31835"/>
      <w:r>
        <w:rPr>
          <w:rFonts w:hint="eastAsia"/>
        </w:rPr>
        <w:t>二、</w:t>
      </w:r>
      <w:r>
        <w:t>绩效评价工作开展情况</w:t>
      </w:r>
      <w:bookmarkEnd w:id="14"/>
      <w:bookmarkEnd w:id="15"/>
      <w:bookmarkStart w:id="16" w:name="_Toc67315574"/>
    </w:p>
    <w:p>
      <w:pPr>
        <w:pStyle w:val="4"/>
        <w:ind w:firstLine="602"/>
      </w:pPr>
      <w:bookmarkStart w:id="17" w:name="_Toc27938"/>
      <w:r>
        <w:t>（一）绩效评价目的、对象和范围</w:t>
      </w:r>
      <w:bookmarkEnd w:id="16"/>
      <w:bookmarkEnd w:id="17"/>
    </w:p>
    <w:p>
      <w:pPr>
        <w:pStyle w:val="5"/>
        <w:ind w:firstLine="562"/>
        <w:rPr>
          <w:rFonts w:cs="Times New Roman"/>
        </w:rPr>
      </w:pPr>
      <w:bookmarkStart w:id="18" w:name="_Toc67315575"/>
      <w:bookmarkStart w:id="19" w:name="_Toc29589"/>
      <w:r>
        <w:rPr>
          <w:rFonts w:cs="Times New Roman"/>
        </w:rPr>
        <w:t>1.绩效评价目的</w:t>
      </w:r>
      <w:bookmarkEnd w:id="18"/>
      <w:bookmarkEnd w:id="19"/>
    </w:p>
    <w:p>
      <w:pPr>
        <w:pStyle w:val="12"/>
        <w:ind w:firstLine="560"/>
        <w:rPr>
          <w:rFonts w:cs="Times New Roman"/>
        </w:rPr>
      </w:pPr>
      <w:r>
        <w:rPr>
          <w:rFonts w:cs="Times New Roman"/>
        </w:rPr>
        <w:t>开展</w:t>
      </w:r>
      <w:r>
        <w:rPr>
          <w:rFonts w:hint="eastAsia" w:cs="Times New Roman"/>
        </w:rPr>
        <w:t>行政服务中心工作经费</w:t>
      </w:r>
      <w:r>
        <w:rPr>
          <w:rFonts w:cs="Times New Roman"/>
        </w:rPr>
        <w:t>的绩效评价，了解项目的立项情况和执行情况，分析项目绩效目标的实现情况和项目社会经济效益、环境影响、可持续影响等情况，有助于预算单位明确绩效目标；通过发现问题，总结经验，提出改进意见和建议，为加强财政资金管理，规范财政支出行为，提高财政资金的使用效益和项目管理水平，更合理安排</w:t>
      </w:r>
      <w:r>
        <w:rPr>
          <w:rFonts w:hint="eastAsia" w:cs="Times New Roman"/>
        </w:rPr>
        <w:t>行政服务中心工作经费</w:t>
      </w:r>
      <w:r>
        <w:rPr>
          <w:rFonts w:cs="Times New Roman"/>
        </w:rPr>
        <w:t>提供决策参考依据，也为管理部门对今后年度工作的计划安排、资金下拨及使用和工作的开展，提供一定的借鉴意义。</w:t>
      </w:r>
    </w:p>
    <w:p>
      <w:pPr>
        <w:pStyle w:val="5"/>
        <w:ind w:firstLine="562"/>
        <w:rPr>
          <w:rFonts w:cs="Times New Roman"/>
        </w:rPr>
      </w:pPr>
      <w:bookmarkStart w:id="20" w:name="_Toc67315576"/>
      <w:bookmarkStart w:id="21" w:name="_Toc30166"/>
      <w:r>
        <w:rPr>
          <w:rFonts w:cs="Times New Roman"/>
        </w:rPr>
        <w:t>2.绩效评价对象</w:t>
      </w:r>
      <w:bookmarkEnd w:id="20"/>
      <w:bookmarkEnd w:id="21"/>
    </w:p>
    <w:p>
      <w:pPr>
        <w:pStyle w:val="12"/>
        <w:ind w:firstLine="560"/>
        <w:rPr>
          <w:rFonts w:cs="Times New Roman"/>
        </w:rPr>
      </w:pPr>
      <w:r>
        <w:rPr>
          <w:rFonts w:cs="Times New Roman"/>
        </w:rPr>
        <w:t>202</w:t>
      </w:r>
      <w:r>
        <w:rPr>
          <w:rFonts w:hint="eastAsia" w:cs="Times New Roman"/>
        </w:rPr>
        <w:t>1</w:t>
      </w:r>
      <w:r>
        <w:rPr>
          <w:rFonts w:cs="Times New Roman"/>
        </w:rPr>
        <w:t>年</w:t>
      </w:r>
      <w:r>
        <w:rPr>
          <w:rFonts w:hint="eastAsia" w:cs="Times New Roman"/>
        </w:rPr>
        <w:t>漯河经济技术开发区行政服务中心</w:t>
      </w:r>
      <w:r>
        <w:rPr>
          <w:rFonts w:cs="Times New Roman"/>
        </w:rPr>
        <w:t>“</w:t>
      </w:r>
      <w:r>
        <w:rPr>
          <w:rFonts w:hint="eastAsia" w:cs="Times New Roman"/>
        </w:rPr>
        <w:t>行政服务中心工作经费</w:t>
      </w:r>
      <w:r>
        <w:rPr>
          <w:rFonts w:cs="Times New Roman"/>
        </w:rPr>
        <w:t>”。</w:t>
      </w:r>
    </w:p>
    <w:p>
      <w:pPr>
        <w:pStyle w:val="5"/>
        <w:ind w:firstLine="562"/>
        <w:rPr>
          <w:rFonts w:cs="Times New Roman"/>
        </w:rPr>
      </w:pPr>
      <w:bookmarkStart w:id="22" w:name="_Toc3701"/>
      <w:r>
        <w:rPr>
          <w:rFonts w:cs="Times New Roman"/>
        </w:rPr>
        <w:t>3.绩效评价范围</w:t>
      </w:r>
      <w:bookmarkEnd w:id="22"/>
    </w:p>
    <w:p>
      <w:pPr>
        <w:pStyle w:val="12"/>
        <w:ind w:firstLine="560"/>
        <w:rPr>
          <w:rFonts w:cs="Times New Roman"/>
        </w:rPr>
      </w:pPr>
      <w:r>
        <w:rPr>
          <w:rFonts w:cs="Times New Roman"/>
        </w:rPr>
        <w:t>202</w:t>
      </w:r>
      <w:r>
        <w:rPr>
          <w:rFonts w:hint="eastAsia" w:cs="Times New Roman"/>
        </w:rPr>
        <w:t>1</w:t>
      </w:r>
      <w:r>
        <w:rPr>
          <w:rFonts w:cs="Times New Roman"/>
        </w:rPr>
        <w:t>年“</w:t>
      </w:r>
      <w:r>
        <w:rPr>
          <w:rFonts w:hint="eastAsia" w:cs="Times New Roman"/>
        </w:rPr>
        <w:t>行政服务中心工作经费</w:t>
      </w:r>
      <w:r>
        <w:rPr>
          <w:rFonts w:cs="Times New Roman"/>
        </w:rPr>
        <w:t>”绩效目标的设定情况，资金投入和使用情况，为实现绩效目标制定的制度、采取的措施，绩效目标的实现程度及效果，影响目标实现的因素，绩效评价的其他内容。</w:t>
      </w:r>
    </w:p>
    <w:p>
      <w:pPr>
        <w:pStyle w:val="4"/>
        <w:ind w:firstLine="602"/>
        <w:rPr>
          <w:rFonts w:cs="Times New Roman"/>
        </w:rPr>
      </w:pPr>
      <w:bookmarkStart w:id="23" w:name="_Toc67315577"/>
      <w:bookmarkStart w:id="24" w:name="_Toc1509"/>
      <w:r>
        <w:rPr>
          <w:rFonts w:cs="Times New Roman"/>
        </w:rPr>
        <w:t>（二）绩效评价原则、评价指标体系、评价方法及评价依据</w:t>
      </w:r>
      <w:bookmarkEnd w:id="23"/>
      <w:bookmarkEnd w:id="24"/>
    </w:p>
    <w:p>
      <w:pPr>
        <w:pStyle w:val="5"/>
        <w:ind w:firstLine="562"/>
        <w:rPr>
          <w:rFonts w:cs="Times New Roman"/>
        </w:rPr>
      </w:pPr>
      <w:bookmarkStart w:id="25" w:name="_Toc67315578"/>
      <w:bookmarkStart w:id="26" w:name="_Toc15710"/>
      <w:r>
        <w:rPr>
          <w:rFonts w:cs="Times New Roman"/>
        </w:rPr>
        <w:t>1. 绩效评价原则</w:t>
      </w:r>
      <w:bookmarkEnd w:id="25"/>
      <w:bookmarkEnd w:id="26"/>
    </w:p>
    <w:p>
      <w:pPr>
        <w:pStyle w:val="12"/>
        <w:ind w:firstLine="560"/>
        <w:rPr>
          <w:rFonts w:cs="Times New Roman"/>
        </w:rPr>
      </w:pPr>
      <w:r>
        <w:rPr>
          <w:rFonts w:cs="Times New Roman"/>
        </w:rPr>
        <w:t>在本次绩效评价过程中，遵循以下基本原则：</w:t>
      </w:r>
    </w:p>
    <w:p>
      <w:pPr>
        <w:pStyle w:val="12"/>
        <w:ind w:firstLine="560"/>
        <w:rPr>
          <w:rFonts w:cs="Times New Roman"/>
        </w:rPr>
      </w:pPr>
      <w:r>
        <w:rPr>
          <w:rFonts w:cs="Times New Roman"/>
        </w:rPr>
        <w:t>（1）科学规范。绩效评价注重财政支出的经济性、效益性和有效性，严格执行规定的程序，采用定量和定性分析相结合的方法。</w:t>
      </w:r>
    </w:p>
    <w:p>
      <w:pPr>
        <w:pStyle w:val="12"/>
        <w:ind w:firstLine="560"/>
        <w:rPr>
          <w:rFonts w:cs="Times New Roman"/>
        </w:rPr>
      </w:pPr>
      <w:r>
        <w:rPr>
          <w:rFonts w:cs="Times New Roman"/>
        </w:rPr>
        <w:t>（2）公正公开。绩效评价客观、公正，标准统一、资料可靠，依法公开并接受监督。</w:t>
      </w:r>
    </w:p>
    <w:p>
      <w:pPr>
        <w:pStyle w:val="12"/>
        <w:ind w:firstLine="560"/>
        <w:rPr>
          <w:rFonts w:cs="Times New Roman"/>
        </w:rPr>
      </w:pPr>
      <w:r>
        <w:rPr>
          <w:rFonts w:cs="Times New Roman"/>
        </w:rPr>
        <w:t>（3）绩效相关。绩效评价针对具体支出及其产出绩效进行，评价结果清晰反映支出和产出绩效之间的紧密对应关系。</w:t>
      </w:r>
    </w:p>
    <w:p>
      <w:pPr>
        <w:pStyle w:val="5"/>
        <w:ind w:firstLine="562"/>
        <w:rPr>
          <w:rFonts w:cs="Times New Roman"/>
        </w:rPr>
      </w:pPr>
      <w:bookmarkStart w:id="27" w:name="_Toc67315579"/>
      <w:bookmarkStart w:id="28" w:name="_Toc22663"/>
      <w:r>
        <w:rPr>
          <w:rFonts w:cs="Times New Roman"/>
        </w:rPr>
        <w:t>2.评价指标体系</w:t>
      </w:r>
      <w:bookmarkEnd w:id="27"/>
      <w:bookmarkEnd w:id="28"/>
    </w:p>
    <w:p>
      <w:pPr>
        <w:pStyle w:val="12"/>
        <w:ind w:firstLine="560"/>
        <w:rPr>
          <w:rFonts w:cs="Times New Roman"/>
        </w:rPr>
      </w:pPr>
      <w:r>
        <w:rPr>
          <w:rFonts w:cs="Times New Roman"/>
        </w:rPr>
        <w:t>根据《中共漯河市委 漯河市人民政府关于全面实施预算绩效管理的实施意见》（漯发〔2020〕4号</w:t>
      </w:r>
      <w:r>
        <w:rPr>
          <w:rFonts w:hint="eastAsia" w:cs="Times New Roman"/>
        </w:rPr>
        <w:t>）</w:t>
      </w:r>
      <w:r>
        <w:rPr>
          <w:rFonts w:cs="Times New Roman"/>
        </w:rPr>
        <w:t>等相关文件规定，为了客观反映</w:t>
      </w:r>
      <w:r>
        <w:rPr>
          <w:rFonts w:hint="eastAsia" w:cs="Times New Roman"/>
        </w:rPr>
        <w:t>漯河经济技术开发区行政服务中心</w:t>
      </w:r>
      <w:r>
        <w:rPr>
          <w:rFonts w:cs="Times New Roman"/>
        </w:rPr>
        <w:t>“</w:t>
      </w:r>
      <w:r>
        <w:rPr>
          <w:rFonts w:hint="eastAsia" w:cs="Times New Roman"/>
        </w:rPr>
        <w:t>行政服务中心工作经费</w:t>
      </w:r>
      <w:r>
        <w:rPr>
          <w:rFonts w:cs="Times New Roman"/>
        </w:rPr>
        <w:t>”专项资金支出绩效的情况，本次绩效评价指标体系由决策（权重15）、过程（权重25）、产出（权重30）、效益（权重30）四大类一级指标，项目立项、绩效目标、资金安排、业务管理、预算管理、产出数量、产出时效、产出质量、产出成本、社会效益、可持续影响、社会公众满意度1</w:t>
      </w:r>
      <w:r>
        <w:rPr>
          <w:rFonts w:hint="eastAsia" w:cs="Times New Roman"/>
        </w:rPr>
        <w:t>2</w:t>
      </w:r>
      <w:r>
        <w:rPr>
          <w:rFonts w:cs="Times New Roman"/>
        </w:rPr>
        <w:t>个二级指标，立项依据充分性、立项程序规范性、绩效目标合理性、绩效指标明确性等20个三级指标，以及</w:t>
      </w:r>
      <w:r>
        <w:rPr>
          <w:rFonts w:hint="eastAsia" w:cs="Times New Roman"/>
        </w:rPr>
        <w:t>54</w:t>
      </w:r>
      <w:r>
        <w:rPr>
          <w:rFonts w:cs="Times New Roman"/>
        </w:rPr>
        <w:t>个四级指标组成，通过指标对比和分析对该项目支出进行绩效评价。</w:t>
      </w:r>
    </w:p>
    <w:p>
      <w:pPr>
        <w:pStyle w:val="12"/>
        <w:tabs>
          <w:tab w:val="left" w:pos="5245"/>
        </w:tabs>
        <w:ind w:firstLine="560"/>
        <w:rPr>
          <w:rFonts w:cs="Times New Roman"/>
        </w:rPr>
      </w:pPr>
      <w:r>
        <w:rPr>
          <w:rFonts w:cs="Times New Roman"/>
        </w:rPr>
        <w:t>该评价指标体系采取总分100分制，根据项目支出绩效评价结果进行分项打分，计算总分。（详见附件2）</w:t>
      </w:r>
    </w:p>
    <w:p>
      <w:pPr>
        <w:pStyle w:val="12"/>
        <w:ind w:firstLine="560"/>
        <w:rPr>
          <w:rFonts w:cs="Times New Roman"/>
        </w:rPr>
      </w:pPr>
      <w:r>
        <w:rPr>
          <w:rFonts w:cs="Times New Roman"/>
        </w:rPr>
        <w:t>评分等级为：</w:t>
      </w:r>
    </w:p>
    <w:p>
      <w:pPr>
        <w:pStyle w:val="12"/>
        <w:ind w:firstLine="560"/>
        <w:rPr>
          <w:rFonts w:cs="Times New Roman"/>
        </w:rPr>
      </w:pPr>
      <w:r>
        <w:rPr>
          <w:rFonts w:cs="Times New Roman"/>
        </w:rPr>
        <w:t>优：90（含）-100分；</w:t>
      </w:r>
    </w:p>
    <w:p>
      <w:pPr>
        <w:pStyle w:val="12"/>
        <w:ind w:firstLine="560"/>
        <w:rPr>
          <w:rFonts w:cs="Times New Roman"/>
        </w:rPr>
      </w:pPr>
      <w:r>
        <w:rPr>
          <w:rFonts w:cs="Times New Roman"/>
        </w:rPr>
        <w:t>良：80（含）-90分；</w:t>
      </w:r>
    </w:p>
    <w:p>
      <w:pPr>
        <w:pStyle w:val="12"/>
        <w:ind w:firstLine="560"/>
        <w:rPr>
          <w:rFonts w:cs="Times New Roman"/>
        </w:rPr>
      </w:pPr>
      <w:r>
        <w:rPr>
          <w:rFonts w:cs="Times New Roman"/>
        </w:rPr>
        <w:t>中：60（含）-80分；</w:t>
      </w:r>
    </w:p>
    <w:p>
      <w:pPr>
        <w:pStyle w:val="12"/>
        <w:ind w:firstLine="560"/>
        <w:rPr>
          <w:rFonts w:cs="Times New Roman"/>
        </w:rPr>
      </w:pPr>
      <w:r>
        <w:rPr>
          <w:rFonts w:cs="Times New Roman"/>
        </w:rPr>
        <w:t>差：小于60分。</w:t>
      </w:r>
    </w:p>
    <w:p>
      <w:pPr>
        <w:pStyle w:val="5"/>
        <w:ind w:firstLine="562"/>
        <w:rPr>
          <w:rFonts w:cs="Times New Roman"/>
        </w:rPr>
      </w:pPr>
      <w:bookmarkStart w:id="29" w:name="_Toc67315580"/>
      <w:bookmarkStart w:id="30" w:name="_Toc12677"/>
      <w:r>
        <w:rPr>
          <w:rFonts w:cs="Times New Roman"/>
        </w:rPr>
        <w:t>3.评价方法</w:t>
      </w:r>
      <w:bookmarkEnd w:id="29"/>
      <w:bookmarkEnd w:id="30"/>
    </w:p>
    <w:p>
      <w:pPr>
        <w:pStyle w:val="12"/>
        <w:ind w:firstLine="560"/>
        <w:rPr>
          <w:rFonts w:cs="Times New Roman"/>
        </w:rPr>
      </w:pPr>
      <w:r>
        <w:rPr>
          <w:rFonts w:cs="Times New Roman"/>
        </w:rPr>
        <w:t>根据本次绩效评价的目的和内容及项目的具体情况，本次评价主要采用了成本效益分析法、比较法、因素分析法和公众评判法等绩效评价方法，通过资料研究、调查问卷、专项访谈、现场勘察等评价途径，对项目支出绩效进行全面评价。</w:t>
      </w:r>
    </w:p>
    <w:p>
      <w:pPr>
        <w:pStyle w:val="12"/>
        <w:ind w:firstLine="560"/>
        <w:rPr>
          <w:rFonts w:cs="Times New Roman"/>
        </w:rPr>
      </w:pPr>
      <w:r>
        <w:rPr>
          <w:rFonts w:cs="Times New Roman"/>
        </w:rPr>
        <w:t>（1）成本效益分析法：将一定时期内的支出与效益进行对比分析，以评价绩效目标实现程度。</w:t>
      </w:r>
    </w:p>
    <w:p>
      <w:pPr>
        <w:pStyle w:val="12"/>
        <w:ind w:firstLine="560"/>
        <w:rPr>
          <w:rFonts w:cs="Times New Roman"/>
        </w:rPr>
      </w:pPr>
      <w:r>
        <w:rPr>
          <w:rFonts w:cs="Times New Roman"/>
        </w:rPr>
        <w:t>（2）比较法：通过对绩效目标与实施效果、历史与当期情况、不同部门和地区同类支出的比较，综合分析绩效目标实现程度。</w:t>
      </w:r>
    </w:p>
    <w:p>
      <w:pPr>
        <w:pStyle w:val="12"/>
        <w:ind w:firstLine="560"/>
        <w:rPr>
          <w:rFonts w:cs="Times New Roman"/>
        </w:rPr>
      </w:pPr>
      <w:r>
        <w:rPr>
          <w:rFonts w:cs="Times New Roman"/>
        </w:rPr>
        <w:t>（3）因素分析法：通过综合分析影响绩效目标实现、实施效果的内外因素，评价绩效目标实现程度。</w:t>
      </w:r>
    </w:p>
    <w:p>
      <w:pPr>
        <w:pStyle w:val="12"/>
        <w:ind w:firstLine="560"/>
        <w:rPr>
          <w:rFonts w:cs="Times New Roman"/>
        </w:rPr>
      </w:pPr>
      <w:r>
        <w:rPr>
          <w:rFonts w:cs="Times New Roman"/>
        </w:rPr>
        <w:t>（4）公众评判法：通过专家评估、公众问卷及抽样调查等对财政支出效果进行评判，评价绩效目标实现程度。</w:t>
      </w:r>
    </w:p>
    <w:p>
      <w:pPr>
        <w:pStyle w:val="5"/>
        <w:ind w:firstLine="562"/>
        <w:rPr>
          <w:rFonts w:cs="Times New Roman"/>
        </w:rPr>
      </w:pPr>
      <w:bookmarkStart w:id="31" w:name="_Toc6541"/>
      <w:r>
        <w:rPr>
          <w:rFonts w:cs="Times New Roman"/>
        </w:rPr>
        <w:t>4.评价依据</w:t>
      </w:r>
      <w:bookmarkEnd w:id="31"/>
    </w:p>
    <w:p>
      <w:pPr>
        <w:pStyle w:val="12"/>
        <w:ind w:firstLine="560"/>
        <w:jc w:val="left"/>
        <w:rPr>
          <w:rFonts w:cs="Times New Roman"/>
        </w:rPr>
      </w:pPr>
      <w:r>
        <w:rPr>
          <w:rFonts w:cs="Times New Roman"/>
        </w:rPr>
        <w:t>（1）《预算法》；</w:t>
      </w:r>
    </w:p>
    <w:p>
      <w:pPr>
        <w:pStyle w:val="12"/>
        <w:ind w:firstLine="560"/>
        <w:jc w:val="left"/>
        <w:rPr>
          <w:rFonts w:cs="Times New Roman"/>
        </w:rPr>
      </w:pPr>
      <w:r>
        <w:rPr>
          <w:rFonts w:cs="Times New Roman"/>
        </w:rPr>
        <w:t>（2）《项目支出绩效评价管理办法》财预〔2020〕10 号；</w:t>
      </w:r>
    </w:p>
    <w:p>
      <w:pPr>
        <w:pStyle w:val="12"/>
        <w:ind w:firstLine="560"/>
        <w:jc w:val="left"/>
        <w:rPr>
          <w:rFonts w:cs="Times New Roman"/>
        </w:rPr>
      </w:pPr>
      <w:r>
        <w:rPr>
          <w:rFonts w:cs="Times New Roman"/>
        </w:rPr>
        <w:t>（3）《中共中央国务院关于全面实施预算绩效管理的意见》（中发〔2018〕34号）；</w:t>
      </w:r>
    </w:p>
    <w:p>
      <w:pPr>
        <w:pStyle w:val="12"/>
        <w:ind w:firstLine="560"/>
        <w:jc w:val="left"/>
        <w:rPr>
          <w:rFonts w:cs="Times New Roman"/>
        </w:rPr>
      </w:pPr>
      <w:r>
        <w:rPr>
          <w:rFonts w:cs="Times New Roman"/>
        </w:rPr>
        <w:t>（4）《财政部关于进一步完善中央部门项目支出预算管理的通知》（财预〔2017〕96号）；</w:t>
      </w:r>
    </w:p>
    <w:p>
      <w:pPr>
        <w:pStyle w:val="12"/>
        <w:ind w:firstLine="560"/>
        <w:jc w:val="left"/>
        <w:rPr>
          <w:rFonts w:cs="Times New Roman"/>
        </w:rPr>
      </w:pPr>
      <w:r>
        <w:rPr>
          <w:rFonts w:cs="Times New Roman"/>
        </w:rPr>
        <w:t>（5）《财政部关于推进预算绩效管理的指导意见》（财预〔2014〕416号）；</w:t>
      </w:r>
    </w:p>
    <w:p>
      <w:pPr>
        <w:pStyle w:val="12"/>
        <w:ind w:firstLine="560"/>
        <w:jc w:val="left"/>
        <w:rPr>
          <w:rFonts w:cs="Times New Roman"/>
        </w:rPr>
      </w:pPr>
      <w:r>
        <w:rPr>
          <w:rFonts w:cs="Times New Roman"/>
        </w:rPr>
        <w:t>（6）《河南省预算监督条例》</w:t>
      </w:r>
      <w:r>
        <w:rPr>
          <w:rFonts w:hint="eastAsia" w:cs="Times New Roman"/>
        </w:rPr>
        <w:t>；</w:t>
      </w:r>
    </w:p>
    <w:p>
      <w:pPr>
        <w:pStyle w:val="12"/>
        <w:ind w:firstLine="560"/>
        <w:jc w:val="left"/>
        <w:rPr>
          <w:rFonts w:cs="Times New Roman"/>
        </w:rPr>
      </w:pPr>
      <w:r>
        <w:rPr>
          <w:rFonts w:cs="Times New Roman"/>
        </w:rPr>
        <w:t>（</w:t>
      </w:r>
      <w:r>
        <w:rPr>
          <w:rFonts w:hint="eastAsia" w:cs="Times New Roman"/>
        </w:rPr>
        <w:t>7</w:t>
      </w:r>
      <w:r>
        <w:rPr>
          <w:rFonts w:cs="Times New Roman"/>
        </w:rPr>
        <w:t>）《中共河南省委河南省人民政府关于全面实施预算绩效管理的实施意见》（豫发〔2019〕10号）；</w:t>
      </w:r>
    </w:p>
    <w:p>
      <w:pPr>
        <w:pStyle w:val="12"/>
        <w:ind w:firstLine="560"/>
        <w:jc w:val="left"/>
        <w:rPr>
          <w:rFonts w:cs="Times New Roman"/>
        </w:rPr>
      </w:pPr>
      <w:r>
        <w:rPr>
          <w:rFonts w:cs="Times New Roman"/>
        </w:rPr>
        <w:t>（</w:t>
      </w:r>
      <w:r>
        <w:rPr>
          <w:rFonts w:hint="eastAsia" w:cs="Times New Roman"/>
        </w:rPr>
        <w:t>8</w:t>
      </w:r>
      <w:r>
        <w:rPr>
          <w:rFonts w:cs="Times New Roman"/>
        </w:rPr>
        <w:t>）《河南省省级预算项目支出绩效评价管理办法》，豫财效〔2020〕10 号；</w:t>
      </w:r>
    </w:p>
    <w:p>
      <w:pPr>
        <w:pStyle w:val="12"/>
        <w:ind w:firstLine="560"/>
        <w:jc w:val="left"/>
        <w:rPr>
          <w:rFonts w:cs="Times New Roman"/>
        </w:rPr>
      </w:pPr>
      <w:r>
        <w:rPr>
          <w:rFonts w:cs="Times New Roman"/>
        </w:rPr>
        <w:t>（</w:t>
      </w:r>
      <w:r>
        <w:rPr>
          <w:rFonts w:hint="eastAsia" w:cs="Times New Roman"/>
        </w:rPr>
        <w:t>9</w:t>
      </w:r>
      <w:r>
        <w:rPr>
          <w:rFonts w:cs="Times New Roman"/>
        </w:rPr>
        <w:t>）《中共漯河市委 漯河市人民政府关于全面实施预算绩效管理的实施意见》（漯发〔2020〕4号</w:t>
      </w:r>
      <w:r>
        <w:rPr>
          <w:rFonts w:hint="eastAsia" w:cs="Times New Roman"/>
        </w:rPr>
        <w:t>）</w:t>
      </w:r>
      <w:r>
        <w:rPr>
          <w:rFonts w:cs="Times New Roman"/>
        </w:rPr>
        <w:t>；</w:t>
      </w:r>
    </w:p>
    <w:p>
      <w:pPr>
        <w:pStyle w:val="12"/>
        <w:ind w:firstLine="560"/>
        <w:jc w:val="left"/>
        <w:rPr>
          <w:rFonts w:cs="Times New Roman"/>
        </w:rPr>
      </w:pPr>
      <w:r>
        <w:rPr>
          <w:rFonts w:cs="Times New Roman"/>
        </w:rPr>
        <w:t>（1</w:t>
      </w:r>
      <w:r>
        <w:rPr>
          <w:rFonts w:hint="eastAsia" w:cs="Times New Roman"/>
        </w:rPr>
        <w:t>0</w:t>
      </w:r>
      <w:r>
        <w:rPr>
          <w:rFonts w:cs="Times New Roman"/>
        </w:rPr>
        <w:t>）《漯河市市级预算项目政策事前绩效评估管理暂行办法》；</w:t>
      </w:r>
    </w:p>
    <w:p>
      <w:pPr>
        <w:pStyle w:val="12"/>
        <w:ind w:firstLine="560"/>
        <w:jc w:val="left"/>
        <w:rPr>
          <w:rFonts w:cs="Times New Roman"/>
        </w:rPr>
      </w:pPr>
      <w:r>
        <w:rPr>
          <w:rFonts w:cs="Times New Roman"/>
        </w:rPr>
        <w:t>（1</w:t>
      </w:r>
      <w:r>
        <w:rPr>
          <w:rFonts w:hint="eastAsia" w:cs="Times New Roman"/>
        </w:rPr>
        <w:t>1</w:t>
      </w:r>
      <w:r>
        <w:rPr>
          <w:rFonts w:cs="Times New Roman"/>
        </w:rPr>
        <w:t>）</w:t>
      </w:r>
      <w:r>
        <w:rPr>
          <w:rFonts w:hint="eastAsia" w:cs="Times New Roman"/>
        </w:rPr>
        <w:t>《</w:t>
      </w:r>
      <w:r>
        <w:rPr>
          <w:rFonts w:cs="Times New Roman"/>
        </w:rPr>
        <w:t>漯河市市级财政专项资金管理办法</w:t>
      </w:r>
      <w:r>
        <w:rPr>
          <w:rFonts w:hint="eastAsia" w:cs="Times New Roman"/>
        </w:rPr>
        <w:t>》（</w:t>
      </w:r>
      <w:r>
        <w:rPr>
          <w:rFonts w:cs="Times New Roman"/>
        </w:rPr>
        <w:t>漯政办〔2014〕86号</w:t>
      </w:r>
      <w:r>
        <w:rPr>
          <w:rFonts w:hint="eastAsia" w:cs="Times New Roman"/>
        </w:rPr>
        <w:t>）</w:t>
      </w:r>
      <w:r>
        <w:rPr>
          <w:rFonts w:cs="Times New Roman"/>
        </w:rPr>
        <w:t>；</w:t>
      </w:r>
    </w:p>
    <w:p>
      <w:pPr>
        <w:pStyle w:val="12"/>
        <w:ind w:firstLine="560"/>
        <w:jc w:val="left"/>
        <w:rPr>
          <w:rFonts w:cs="Times New Roman"/>
        </w:rPr>
      </w:pPr>
      <w:r>
        <w:rPr>
          <w:rFonts w:cs="Times New Roman"/>
        </w:rPr>
        <w:t>（1</w:t>
      </w:r>
      <w:r>
        <w:rPr>
          <w:rFonts w:hint="eastAsia" w:cs="Times New Roman"/>
        </w:rPr>
        <w:t>2</w:t>
      </w:r>
      <w:r>
        <w:rPr>
          <w:rFonts w:cs="Times New Roman"/>
        </w:rPr>
        <w:t>）《漯河市市级预算绩效评价结果应用管理暂行办法》；</w:t>
      </w:r>
    </w:p>
    <w:p>
      <w:pPr>
        <w:pStyle w:val="12"/>
        <w:ind w:firstLine="560"/>
        <w:jc w:val="left"/>
        <w:rPr>
          <w:rFonts w:cs="Times New Roman"/>
        </w:rPr>
      </w:pPr>
      <w:r>
        <w:rPr>
          <w:rFonts w:cs="Times New Roman"/>
        </w:rPr>
        <w:t>（1</w:t>
      </w:r>
      <w:r>
        <w:rPr>
          <w:rFonts w:hint="eastAsia" w:cs="Times New Roman"/>
        </w:rPr>
        <w:t>3</w:t>
      </w:r>
      <w:r>
        <w:rPr>
          <w:rFonts w:cs="Times New Roman"/>
        </w:rPr>
        <w:t>）《漯河市政府向社会力量购买服务实施办法》（漯政办〔2018〕4号）；</w:t>
      </w:r>
    </w:p>
    <w:p>
      <w:pPr>
        <w:pStyle w:val="12"/>
        <w:ind w:firstLine="560"/>
        <w:jc w:val="left"/>
        <w:rPr>
          <w:rFonts w:cs="Times New Roman"/>
        </w:rPr>
      </w:pPr>
      <w:r>
        <w:rPr>
          <w:rFonts w:cs="Times New Roman"/>
        </w:rPr>
        <w:t>（1</w:t>
      </w:r>
      <w:r>
        <w:rPr>
          <w:rFonts w:hint="eastAsia" w:cs="Times New Roman"/>
        </w:rPr>
        <w:t>4</w:t>
      </w:r>
      <w:r>
        <w:rPr>
          <w:rFonts w:cs="Times New Roman"/>
        </w:rPr>
        <w:t>）国家和省有关法律、行政法规及规章制度；</w:t>
      </w:r>
    </w:p>
    <w:p>
      <w:pPr>
        <w:pStyle w:val="12"/>
        <w:ind w:firstLine="560"/>
        <w:jc w:val="left"/>
        <w:rPr>
          <w:rFonts w:cs="Times New Roman"/>
        </w:rPr>
      </w:pPr>
      <w:r>
        <w:rPr>
          <w:rFonts w:cs="Times New Roman"/>
        </w:rPr>
        <w:t>（1</w:t>
      </w:r>
      <w:r>
        <w:rPr>
          <w:rFonts w:hint="eastAsia" w:cs="Times New Roman"/>
        </w:rPr>
        <w:t>5</w:t>
      </w:r>
      <w:r>
        <w:rPr>
          <w:rFonts w:cs="Times New Roman"/>
        </w:rPr>
        <w:t>）财政部门、主管部门制定的有关专项资金管理的政策、规章制度、管理办法、相关财务会计法规；</w:t>
      </w:r>
    </w:p>
    <w:p>
      <w:pPr>
        <w:pStyle w:val="12"/>
        <w:ind w:firstLine="560"/>
        <w:jc w:val="left"/>
        <w:rPr>
          <w:rFonts w:cs="Times New Roman"/>
        </w:rPr>
      </w:pPr>
      <w:r>
        <w:rPr>
          <w:rFonts w:cs="Times New Roman"/>
        </w:rPr>
        <w:t>（1</w:t>
      </w:r>
      <w:r>
        <w:rPr>
          <w:rFonts w:hint="eastAsia" w:cs="Times New Roman"/>
        </w:rPr>
        <w:t>6</w:t>
      </w:r>
      <w:r>
        <w:rPr>
          <w:rFonts w:cs="Times New Roman"/>
        </w:rPr>
        <w:t>）</w:t>
      </w:r>
      <w:r>
        <w:rPr>
          <w:rFonts w:hint="eastAsia" w:cs="Times New Roman"/>
        </w:rPr>
        <w:t>行政服务中心</w:t>
      </w:r>
      <w:r>
        <w:rPr>
          <w:rFonts w:cs="Times New Roman"/>
        </w:rPr>
        <w:t>相关制度管理规定，项目财务会计资料及其相关资料。</w:t>
      </w:r>
    </w:p>
    <w:p>
      <w:pPr>
        <w:pStyle w:val="4"/>
        <w:ind w:firstLine="602"/>
        <w:rPr>
          <w:rFonts w:cs="Times New Roman"/>
        </w:rPr>
      </w:pPr>
      <w:bookmarkStart w:id="32" w:name="_Toc67315581"/>
      <w:bookmarkStart w:id="33" w:name="_Toc28958"/>
      <w:r>
        <w:rPr>
          <w:rFonts w:cs="Times New Roman"/>
        </w:rPr>
        <w:t>（三）绩效评价工作过程</w:t>
      </w:r>
      <w:bookmarkEnd w:id="32"/>
      <w:bookmarkEnd w:id="33"/>
    </w:p>
    <w:p>
      <w:pPr>
        <w:pStyle w:val="5"/>
        <w:ind w:firstLine="562"/>
        <w:rPr>
          <w:rFonts w:cs="Times New Roman"/>
        </w:rPr>
      </w:pPr>
      <w:bookmarkStart w:id="34" w:name="_Toc16737"/>
      <w:bookmarkStart w:id="35" w:name="_Toc67315582"/>
      <w:r>
        <w:rPr>
          <w:rFonts w:cs="Times New Roman"/>
        </w:rPr>
        <w:t>1、评价前期准备阶段</w:t>
      </w:r>
      <w:bookmarkEnd w:id="34"/>
    </w:p>
    <w:p>
      <w:pPr>
        <w:pStyle w:val="12"/>
        <w:ind w:firstLine="560"/>
        <w:jc w:val="left"/>
        <w:rPr>
          <w:rFonts w:cs="Times New Roman"/>
        </w:rPr>
      </w:pPr>
      <w:r>
        <w:rPr>
          <w:rFonts w:cs="Times New Roman"/>
        </w:rPr>
        <w:t>（1）成立评价组</w:t>
      </w:r>
    </w:p>
    <w:p>
      <w:pPr>
        <w:pStyle w:val="12"/>
        <w:ind w:firstLine="560"/>
        <w:jc w:val="left"/>
        <w:rPr>
          <w:rFonts w:cs="Times New Roman"/>
        </w:rPr>
      </w:pPr>
      <w:r>
        <w:rPr>
          <w:rFonts w:cs="Times New Roman"/>
        </w:rPr>
        <w:t>根据《关于全面实施预算绩效管理的意见》（中发〔2018〕34号）</w:t>
      </w:r>
      <w:r>
        <w:rPr>
          <w:rFonts w:hint="eastAsia" w:cs="Times New Roman"/>
        </w:rPr>
        <w:t>、《中共河南省委河南省人民政府关于全面实施预算绩效管理的实施意见》（豫发〔2019〕10号）、</w:t>
      </w:r>
      <w:r>
        <w:rPr>
          <w:rFonts w:cs="Times New Roman"/>
        </w:rPr>
        <w:t>《中共漯河市委 漯河市人民政府关于全面实施预算绩效管理的实施意见》（漯发〔2020〕4号</w:t>
      </w:r>
      <w:r>
        <w:rPr>
          <w:rFonts w:hint="eastAsia" w:cs="Times New Roman"/>
        </w:rPr>
        <w:t>）</w:t>
      </w:r>
      <w:r>
        <w:rPr>
          <w:rFonts w:cs="Times New Roman"/>
        </w:rPr>
        <w:t>文件要求，成立绩效评价工作领导小组及绩效评价工作组（人员名单详见附件4），制定</w:t>
      </w:r>
      <w:r>
        <w:rPr>
          <w:rFonts w:hint="eastAsia" w:cs="Times New Roman"/>
        </w:rPr>
        <w:t>部门</w:t>
      </w:r>
      <w:r>
        <w:rPr>
          <w:rFonts w:cs="Times New Roman"/>
        </w:rPr>
        <w:t>绩效评价工作方案、评价指标体系，组织召开现场评价工作安排部署会。</w:t>
      </w:r>
    </w:p>
    <w:p>
      <w:pPr>
        <w:pStyle w:val="12"/>
        <w:ind w:firstLine="560"/>
        <w:jc w:val="left"/>
        <w:rPr>
          <w:rFonts w:cs="Times New Roman"/>
        </w:rPr>
      </w:pPr>
      <w:r>
        <w:rPr>
          <w:rFonts w:cs="Times New Roman"/>
        </w:rPr>
        <w:t>（2）业务培训</w:t>
      </w:r>
    </w:p>
    <w:p>
      <w:pPr>
        <w:pStyle w:val="12"/>
        <w:ind w:firstLine="560"/>
        <w:jc w:val="left"/>
        <w:rPr>
          <w:rFonts w:cs="Times New Roman"/>
        </w:rPr>
      </w:pPr>
      <w:r>
        <w:rPr>
          <w:rFonts w:cs="Times New Roman"/>
        </w:rPr>
        <w:t>组织评价组人员进行业务培训。学习</w:t>
      </w:r>
      <w:r>
        <w:rPr>
          <w:rFonts w:hint="eastAsia" w:cs="Times New Roman"/>
        </w:rPr>
        <w:t>漯河</w:t>
      </w:r>
      <w:r>
        <w:rPr>
          <w:rFonts w:cs="Times New Roman"/>
        </w:rPr>
        <w:t>市财政支出绩效评价和</w:t>
      </w:r>
      <w:r>
        <w:rPr>
          <w:rFonts w:hint="eastAsia" w:cs="Times New Roman"/>
        </w:rPr>
        <w:t>绩效</w:t>
      </w:r>
      <w:r>
        <w:rPr>
          <w:rFonts w:cs="Times New Roman"/>
        </w:rPr>
        <w:t>管理方面的相关文件精神；培训指标体系建立依据和框架，使各参评人员对项目情况均做到了解详细，合理建立指标体系并熟练运用。</w:t>
      </w:r>
    </w:p>
    <w:p>
      <w:pPr>
        <w:pStyle w:val="12"/>
        <w:ind w:firstLine="560"/>
        <w:jc w:val="left"/>
        <w:rPr>
          <w:rFonts w:cs="Times New Roman"/>
        </w:rPr>
      </w:pPr>
      <w:r>
        <w:rPr>
          <w:rFonts w:cs="Times New Roman"/>
        </w:rPr>
        <w:t>（3）出具资料清单</w:t>
      </w:r>
    </w:p>
    <w:p>
      <w:pPr>
        <w:pStyle w:val="12"/>
        <w:ind w:firstLine="560"/>
        <w:jc w:val="left"/>
        <w:rPr>
          <w:rFonts w:cs="Times New Roman"/>
        </w:rPr>
      </w:pPr>
      <w:r>
        <w:rPr>
          <w:rFonts w:cs="Times New Roman"/>
        </w:rPr>
        <w:t>为做好项目评价工作，提高评价工作效率，评价组与委托人沟通并确定直接对接人，提前将所需资料清单发送至相关对接人，通知其提前准备绩效评价所需资料。</w:t>
      </w:r>
    </w:p>
    <w:p>
      <w:pPr>
        <w:pStyle w:val="5"/>
        <w:ind w:firstLine="562"/>
        <w:rPr>
          <w:rFonts w:cs="Times New Roman"/>
        </w:rPr>
      </w:pPr>
      <w:bookmarkStart w:id="36" w:name="_Toc1887"/>
      <w:bookmarkStart w:id="37" w:name="_Toc31205"/>
      <w:r>
        <w:rPr>
          <w:rFonts w:cs="Times New Roman"/>
        </w:rPr>
        <w:t>2、评价指标体系及方案设计阶段</w:t>
      </w:r>
      <w:bookmarkEnd w:id="36"/>
      <w:bookmarkEnd w:id="37"/>
    </w:p>
    <w:p>
      <w:pPr>
        <w:pStyle w:val="12"/>
        <w:ind w:firstLine="560"/>
        <w:jc w:val="left"/>
        <w:rPr>
          <w:rFonts w:cs="Times New Roman"/>
        </w:rPr>
      </w:pPr>
      <w:r>
        <w:rPr>
          <w:rFonts w:cs="Times New Roman"/>
        </w:rPr>
        <w:t>（1）资料收集及研究</w:t>
      </w:r>
    </w:p>
    <w:p>
      <w:pPr>
        <w:pStyle w:val="12"/>
        <w:ind w:firstLine="560"/>
        <w:jc w:val="left"/>
        <w:rPr>
          <w:rFonts w:cs="Times New Roman"/>
        </w:rPr>
      </w:pPr>
      <w:r>
        <w:rPr>
          <w:rFonts w:cs="Times New Roman"/>
        </w:rPr>
        <w:t>绩效评价工作开展前，绩效评价工作组列举详细的资料清单，包括各评估阶段所需资料分类、资料清单表现形式（电子版，纸质版）、单项资料明细、具体证明材料明细等，对全部资料进行全面整理和数据提取，并对部分重点数据进行现场复核，选择有效支撑绩效评价的真实数据信息。</w:t>
      </w:r>
    </w:p>
    <w:p>
      <w:pPr>
        <w:pStyle w:val="12"/>
        <w:ind w:firstLine="560"/>
        <w:jc w:val="left"/>
        <w:rPr>
          <w:rFonts w:cs="Times New Roman"/>
        </w:rPr>
      </w:pPr>
      <w:r>
        <w:rPr>
          <w:rFonts w:cs="Times New Roman"/>
        </w:rPr>
        <w:t>（2）建立指标体系</w:t>
      </w:r>
    </w:p>
    <w:p>
      <w:pPr>
        <w:pStyle w:val="12"/>
        <w:ind w:firstLine="560"/>
        <w:jc w:val="left"/>
        <w:rPr>
          <w:rFonts w:cs="Times New Roman"/>
        </w:rPr>
      </w:pPr>
      <w:r>
        <w:rPr>
          <w:rFonts w:cs="Times New Roman"/>
        </w:rPr>
        <w:t>根据本项目绩效目标、实施方案、项目管理及相关效益情况，绩效评价组制定项目支出绩效评价指标体系，并对其合理性和指标进行验证。</w:t>
      </w:r>
    </w:p>
    <w:p>
      <w:pPr>
        <w:pStyle w:val="5"/>
        <w:ind w:firstLine="562"/>
        <w:rPr>
          <w:rFonts w:cs="Times New Roman"/>
        </w:rPr>
      </w:pPr>
      <w:bookmarkStart w:id="38" w:name="_Toc16617"/>
      <w:bookmarkStart w:id="39" w:name="_Toc2525"/>
      <w:r>
        <w:rPr>
          <w:rFonts w:cs="Times New Roman"/>
        </w:rPr>
        <w:t>3、评价实施阶段</w:t>
      </w:r>
      <w:bookmarkEnd w:id="38"/>
      <w:bookmarkEnd w:id="39"/>
    </w:p>
    <w:p>
      <w:pPr>
        <w:pStyle w:val="12"/>
        <w:ind w:firstLine="560"/>
        <w:jc w:val="left"/>
        <w:rPr>
          <w:rFonts w:cs="Times New Roman"/>
        </w:rPr>
      </w:pPr>
      <w:r>
        <w:rPr>
          <w:rFonts w:cs="Times New Roman"/>
        </w:rPr>
        <w:t>（1）问卷调查</w:t>
      </w:r>
    </w:p>
    <w:p>
      <w:pPr>
        <w:pStyle w:val="12"/>
        <w:ind w:firstLine="560"/>
        <w:jc w:val="left"/>
        <w:rPr>
          <w:rFonts w:cs="Times New Roman"/>
        </w:rPr>
      </w:pPr>
      <w:r>
        <w:rPr>
          <w:rFonts w:cs="Times New Roman"/>
        </w:rPr>
        <w:t>为充分了解“</w:t>
      </w:r>
      <w:r>
        <w:rPr>
          <w:rFonts w:hint="eastAsia" w:cs="Times New Roman"/>
        </w:rPr>
        <w:t>行政服务中心工作经费</w:t>
      </w:r>
      <w:r>
        <w:rPr>
          <w:rFonts w:cs="Times New Roman"/>
        </w:rPr>
        <w:t>”对市场和社会的影响，绩效评价工作组设置了项目影响度调查问卷，抽取社会公众或服务对象50份调查问卷作为评价依据，同时收集上级主管部门及专家评价意见，形成相关绩效评价结果。（问卷调查内容详见附件5）</w:t>
      </w:r>
    </w:p>
    <w:p>
      <w:pPr>
        <w:pStyle w:val="12"/>
        <w:ind w:firstLine="560"/>
        <w:jc w:val="left"/>
        <w:rPr>
          <w:rFonts w:cs="Times New Roman"/>
        </w:rPr>
      </w:pPr>
      <w:r>
        <w:rPr>
          <w:rFonts w:cs="Times New Roman"/>
        </w:rPr>
        <w:t>（2）专项访谈</w:t>
      </w:r>
    </w:p>
    <w:p>
      <w:pPr>
        <w:pStyle w:val="12"/>
        <w:ind w:firstLine="560"/>
        <w:jc w:val="left"/>
        <w:rPr>
          <w:rFonts w:cs="Times New Roman"/>
        </w:rPr>
      </w:pPr>
      <w:r>
        <w:rPr>
          <w:rFonts w:cs="Times New Roman"/>
        </w:rPr>
        <w:t>针对项目中大额支出、重点环节把控、关键流程控制、审批流程合规性及制度执行情况等内容的评价，除采取资料搜集与研究的方式外，绩效评价工作组采取专项访谈的方式，对关键节点进行重新验证和评价。</w:t>
      </w:r>
    </w:p>
    <w:p>
      <w:pPr>
        <w:pStyle w:val="12"/>
        <w:ind w:firstLine="560"/>
        <w:jc w:val="left"/>
        <w:rPr>
          <w:rFonts w:cs="Times New Roman"/>
        </w:rPr>
      </w:pPr>
      <w:r>
        <w:rPr>
          <w:rFonts w:cs="Times New Roman"/>
        </w:rPr>
        <w:t>（3）现场勘察</w:t>
      </w:r>
    </w:p>
    <w:p>
      <w:pPr>
        <w:pStyle w:val="12"/>
        <w:ind w:firstLine="560"/>
        <w:jc w:val="left"/>
        <w:rPr>
          <w:rFonts w:cs="Times New Roman"/>
        </w:rPr>
      </w:pPr>
      <w:r>
        <w:rPr>
          <w:rFonts w:cs="Times New Roman"/>
        </w:rPr>
        <w:t>绩效评价工作组根据委托人提供的项目资料，对</w:t>
      </w:r>
      <w:r>
        <w:rPr>
          <w:rFonts w:hint="eastAsia" w:cs="Times New Roman"/>
        </w:rPr>
        <w:t>行政服务中心工作经费</w:t>
      </w:r>
      <w:r>
        <w:rPr>
          <w:rFonts w:cs="Times New Roman"/>
        </w:rPr>
        <w:t>与批复文件的一致性</w:t>
      </w:r>
      <w:r>
        <w:rPr>
          <w:rFonts w:hint="eastAsia" w:cs="Times New Roman"/>
        </w:rPr>
        <w:t>和</w:t>
      </w:r>
      <w:r>
        <w:rPr>
          <w:rFonts w:cs="Times New Roman"/>
        </w:rPr>
        <w:t>真实性等进行现场走访与勘察，确保绩效评价结果真实的反映项目支出绩效情况。</w:t>
      </w:r>
    </w:p>
    <w:p>
      <w:pPr>
        <w:pStyle w:val="12"/>
        <w:ind w:firstLine="560"/>
        <w:jc w:val="left"/>
        <w:rPr>
          <w:rFonts w:cs="Times New Roman"/>
        </w:rPr>
      </w:pPr>
      <w:r>
        <w:rPr>
          <w:rFonts w:cs="Times New Roman"/>
        </w:rPr>
        <w:t>（4）综合分析评价</w:t>
      </w:r>
    </w:p>
    <w:p>
      <w:pPr>
        <w:pStyle w:val="12"/>
        <w:ind w:firstLine="560"/>
        <w:jc w:val="left"/>
        <w:rPr>
          <w:rFonts w:cs="Times New Roman"/>
        </w:rPr>
      </w:pPr>
      <w:r>
        <w:rPr>
          <w:rFonts w:cs="Times New Roman"/>
        </w:rPr>
        <w:t>绩效评价工作组对评价对象的绩效情况进行全面的定量、定性分析和综合评价；发现的重大问题及时反馈绩效评价领导小组，由其进行集体决策后形成绩效评价结论。</w:t>
      </w:r>
    </w:p>
    <w:p>
      <w:pPr>
        <w:pStyle w:val="5"/>
        <w:ind w:firstLine="562"/>
        <w:rPr>
          <w:rFonts w:cs="Times New Roman"/>
        </w:rPr>
      </w:pPr>
      <w:bookmarkStart w:id="40" w:name="_Toc10328"/>
      <w:bookmarkStart w:id="41" w:name="_Toc19739"/>
      <w:r>
        <w:rPr>
          <w:rFonts w:cs="Times New Roman"/>
        </w:rPr>
        <w:t>4、评价报告阶段</w:t>
      </w:r>
      <w:bookmarkEnd w:id="40"/>
      <w:bookmarkEnd w:id="41"/>
    </w:p>
    <w:p>
      <w:pPr>
        <w:pStyle w:val="12"/>
        <w:ind w:firstLine="560"/>
        <w:jc w:val="left"/>
        <w:rPr>
          <w:rFonts w:cs="Times New Roman"/>
        </w:rPr>
      </w:pPr>
      <w:r>
        <w:rPr>
          <w:rFonts w:cs="Times New Roman"/>
        </w:rPr>
        <w:t>（1）对被检查项目的绩效评价指标体系得分情况及相关资料进行分析汇总；</w:t>
      </w:r>
    </w:p>
    <w:p>
      <w:pPr>
        <w:pStyle w:val="12"/>
        <w:ind w:firstLine="560"/>
        <w:jc w:val="left"/>
        <w:rPr>
          <w:rFonts w:cs="Times New Roman"/>
        </w:rPr>
      </w:pPr>
      <w:r>
        <w:rPr>
          <w:rFonts w:cs="Times New Roman"/>
        </w:rPr>
        <w:t>（2）按照《河南省财政支出绩效评价实行方法》规定的格式形成本项目绩效评价报告，征求</w:t>
      </w:r>
      <w:r>
        <w:rPr>
          <w:rFonts w:hint="eastAsia" w:cs="Times New Roman"/>
        </w:rPr>
        <w:t>漯河</w:t>
      </w:r>
      <w:r>
        <w:rPr>
          <w:rFonts w:cs="Times New Roman"/>
        </w:rPr>
        <w:t>市财政局意见，补充完善评价报告；</w:t>
      </w:r>
    </w:p>
    <w:p>
      <w:pPr>
        <w:pStyle w:val="12"/>
        <w:ind w:firstLine="560"/>
        <w:jc w:val="left"/>
        <w:rPr>
          <w:rFonts w:cs="Times New Roman"/>
        </w:rPr>
      </w:pPr>
      <w:r>
        <w:rPr>
          <w:rFonts w:cs="Times New Roman"/>
        </w:rPr>
        <w:t>（3）形成“</w:t>
      </w:r>
      <w:r>
        <w:rPr>
          <w:rFonts w:hint="eastAsia" w:cs="Times New Roman"/>
        </w:rPr>
        <w:t>行政服务中心工作经费</w:t>
      </w:r>
      <w:r>
        <w:rPr>
          <w:rFonts w:cs="Times New Roman"/>
        </w:rPr>
        <w:t>”支出绩效评价报告（包括表格和文字部分，一式叁份）。</w:t>
      </w:r>
    </w:p>
    <w:p>
      <w:pPr>
        <w:pStyle w:val="12"/>
        <w:ind w:firstLine="560"/>
        <w:rPr>
          <w:rFonts w:cs="Times New Roman"/>
        </w:rPr>
        <w:sectPr>
          <w:headerReference r:id="rId13" w:type="first"/>
          <w:footerReference r:id="rId15" w:type="first"/>
          <w:footerReference r:id="rId14" w:type="default"/>
          <w:pgSz w:w="11906" w:h="16838"/>
          <w:pgMar w:top="1440" w:right="1800" w:bottom="1440" w:left="1800" w:header="851" w:footer="992" w:gutter="0"/>
          <w:cols w:space="425" w:num="1"/>
          <w:titlePg/>
          <w:docGrid w:type="lines" w:linePitch="435" w:charSpace="0"/>
        </w:sectPr>
      </w:pPr>
      <w:r>
        <w:rPr>
          <w:rFonts w:cs="Times New Roman"/>
        </w:rPr>
        <w:t>我公司承诺在绩效评价过程中，接受</w:t>
      </w:r>
      <w:r>
        <w:rPr>
          <w:rFonts w:hint="eastAsia" w:cs="Times New Roman"/>
        </w:rPr>
        <w:t>区</w:t>
      </w:r>
      <w:r>
        <w:rPr>
          <w:rFonts w:cs="Times New Roman"/>
        </w:rPr>
        <w:t>财政部门的全面监督、指导和管理，同时接受相关部门（专家评委）对于绩效成果的审理鉴定，接受参照《漯河市市级预算绩效管理委托第三方机构管理办法》</w:t>
      </w:r>
      <w:r>
        <w:rPr>
          <w:rFonts w:hint="eastAsia" w:cs="Times New Roman"/>
        </w:rPr>
        <w:t>（漯财效〔2022〕5号）</w:t>
      </w:r>
      <w:r>
        <w:rPr>
          <w:rFonts w:cs="Times New Roman"/>
        </w:rPr>
        <w:t>及历史成本原则制定的绩效评价费用额度。</w:t>
      </w:r>
      <w:bookmarkEnd w:id="35"/>
    </w:p>
    <w:p>
      <w:pPr>
        <w:pStyle w:val="3"/>
        <w:rPr>
          <w:rFonts w:cs="Times New Roman"/>
        </w:rPr>
      </w:pPr>
      <w:bookmarkStart w:id="42" w:name="_Toc67315587"/>
      <w:bookmarkStart w:id="43" w:name="_Toc2790"/>
      <w:r>
        <w:rPr>
          <w:rFonts w:cs="Times New Roman"/>
        </w:rPr>
        <w:t>三、综合评价情况及评价结论</w:t>
      </w:r>
      <w:bookmarkEnd w:id="42"/>
      <w:bookmarkEnd w:id="43"/>
    </w:p>
    <w:p>
      <w:pPr>
        <w:pStyle w:val="12"/>
        <w:ind w:firstLine="560"/>
        <w:rPr>
          <w:rFonts w:cs="Times New Roman"/>
        </w:rPr>
      </w:pPr>
      <w:r>
        <w:rPr>
          <w:rFonts w:cs="Times New Roman"/>
        </w:rPr>
        <w:t>绩效评价组运用评价方案确定的指标体系及评分标准，通过现场勘查、基础数据搜集、问卷调查和访谈获取的数据，绩效评价工作组对“</w:t>
      </w:r>
      <w:r>
        <w:rPr>
          <w:rFonts w:hint="eastAsia" w:cs="Times New Roman"/>
        </w:rPr>
        <w:t>行政服务中心工作经费</w:t>
      </w:r>
      <w:r>
        <w:rPr>
          <w:rFonts w:cs="Times New Roman"/>
        </w:rPr>
        <w:t>”的财政资金进行了独立客观的评价。</w:t>
      </w:r>
    </w:p>
    <w:p>
      <w:pPr>
        <w:pStyle w:val="12"/>
        <w:ind w:firstLine="560"/>
        <w:rPr>
          <w:rFonts w:cs="Times New Roman"/>
        </w:rPr>
      </w:pPr>
      <w:r>
        <w:rPr>
          <w:rFonts w:cs="Times New Roman"/>
        </w:rPr>
        <w:t>“</w:t>
      </w:r>
      <w:r>
        <w:rPr>
          <w:rFonts w:hint="eastAsia" w:cs="Times New Roman"/>
        </w:rPr>
        <w:t>行政服务中心工作经费</w:t>
      </w:r>
      <w:r>
        <w:rPr>
          <w:rFonts w:cs="Times New Roman"/>
        </w:rPr>
        <w:t>” 符合国家法律法规规定及相关规划的要求，项目绩效目标合理</w:t>
      </w:r>
      <w:r>
        <w:rPr>
          <w:rFonts w:hint="eastAsia" w:cs="Times New Roman"/>
        </w:rPr>
        <w:t>、</w:t>
      </w:r>
      <w:r>
        <w:rPr>
          <w:rFonts w:cs="Times New Roman"/>
        </w:rPr>
        <w:t>明确</w:t>
      </w:r>
      <w:r>
        <w:rPr>
          <w:rFonts w:hint="eastAsia" w:cs="Times New Roman"/>
        </w:rPr>
        <w:t>，</w:t>
      </w:r>
      <w:r>
        <w:rPr>
          <w:rFonts w:cs="Times New Roman"/>
        </w:rPr>
        <w:t>绩效指标细化、量化</w:t>
      </w:r>
      <w:r>
        <w:rPr>
          <w:rFonts w:hint="eastAsia" w:cs="Times New Roman"/>
        </w:rPr>
        <w:t>；</w:t>
      </w:r>
      <w:r>
        <w:rPr>
          <w:rFonts w:cs="Times New Roman"/>
        </w:rPr>
        <w:t>项目资金能及时到账</w:t>
      </w:r>
      <w:r>
        <w:rPr>
          <w:rFonts w:hint="eastAsia" w:cs="Times New Roman"/>
        </w:rPr>
        <w:t>；</w:t>
      </w:r>
      <w:r>
        <w:rPr>
          <w:rFonts w:cs="Times New Roman"/>
        </w:rPr>
        <w:t>部门管理能严格遵守国家相关法律法规</w:t>
      </w:r>
      <w:r>
        <w:rPr>
          <w:rFonts w:hint="eastAsia" w:cs="Times New Roman"/>
        </w:rPr>
        <w:t>；</w:t>
      </w:r>
      <w:r>
        <w:rPr>
          <w:rFonts w:cs="Times New Roman"/>
        </w:rPr>
        <w:t>经济社会效益比较显著，项目生态环境效益良好。</w:t>
      </w:r>
      <w:r>
        <w:rPr>
          <w:rFonts w:cs="Times New Roman"/>
          <w:highlight w:val="none"/>
        </w:rPr>
        <w:t>但</w:t>
      </w:r>
      <w:r>
        <w:rPr>
          <w:rFonts w:hint="eastAsia" w:cs="Times New Roman"/>
          <w:highlight w:val="none"/>
        </w:rPr>
        <w:t>存在</w:t>
      </w:r>
      <w:r>
        <w:rPr>
          <w:rFonts w:hint="eastAsia" w:cs="Times New Roman"/>
        </w:rPr>
        <w:t>分项费用成本超出预算较多，</w:t>
      </w:r>
      <w:r>
        <w:rPr>
          <w:rFonts w:cs="Times New Roman"/>
        </w:rPr>
        <w:t>成本管控有待加强</w:t>
      </w:r>
      <w:r>
        <w:rPr>
          <w:rFonts w:hint="eastAsia" w:cs="Times New Roman"/>
        </w:rPr>
        <w:t>；</w:t>
      </w:r>
      <w:r>
        <w:rPr>
          <w:rFonts w:cs="Times New Roman"/>
        </w:rPr>
        <w:t>缺少预算管理</w:t>
      </w:r>
      <w:r>
        <w:rPr>
          <w:rFonts w:hint="eastAsia" w:cs="Times New Roman"/>
        </w:rPr>
        <w:t>、</w:t>
      </w:r>
      <w:r>
        <w:rPr>
          <w:rFonts w:cs="Times New Roman"/>
        </w:rPr>
        <w:t>财务管理</w:t>
      </w:r>
      <w:r>
        <w:rPr>
          <w:rFonts w:hint="eastAsia" w:cs="Times New Roman"/>
        </w:rPr>
        <w:t>、</w:t>
      </w:r>
      <w:r>
        <w:rPr>
          <w:rFonts w:cs="Times New Roman"/>
        </w:rPr>
        <w:t>资金管理</w:t>
      </w:r>
      <w:r>
        <w:rPr>
          <w:rFonts w:hint="eastAsia" w:cs="Times New Roman"/>
        </w:rPr>
        <w:t>、</w:t>
      </w:r>
      <w:r>
        <w:rPr>
          <w:rFonts w:cs="Times New Roman"/>
        </w:rPr>
        <w:t>业务管理等相关专项管理制度</w:t>
      </w:r>
      <w:r>
        <w:rPr>
          <w:rFonts w:hint="eastAsia" w:cs="Times New Roman"/>
        </w:rPr>
        <w:t>，</w:t>
      </w:r>
      <w:r>
        <w:rPr>
          <w:rFonts w:cs="Times New Roman"/>
        </w:rPr>
        <w:t>制度体系建设需进一步提升</w:t>
      </w:r>
      <w:r>
        <w:rPr>
          <w:rFonts w:hint="eastAsia" w:cs="Times New Roman"/>
        </w:rPr>
        <w:t>；内部控制机制不健全，缺少具体业务流程、业务关键点控制措施，业务开展无法及时准确的把控相关风险并及时作出应对，</w:t>
      </w:r>
      <w:r>
        <w:rPr>
          <w:rFonts w:cs="Times New Roman"/>
        </w:rPr>
        <w:t>还需</w:t>
      </w:r>
      <w:r>
        <w:rPr>
          <w:rFonts w:hint="eastAsia" w:cs="Times New Roman"/>
        </w:rPr>
        <w:t>持续优化完善</w:t>
      </w:r>
      <w:r>
        <w:rPr>
          <w:rFonts w:cs="Times New Roman"/>
        </w:rPr>
        <w:t>，以促进财政资金合法合规合理的使用，提高资金使用效率和效益。</w:t>
      </w:r>
    </w:p>
    <w:p>
      <w:pPr>
        <w:pStyle w:val="12"/>
        <w:ind w:firstLine="560"/>
        <w:rPr>
          <w:rFonts w:cs="Times New Roman"/>
        </w:rPr>
      </w:pPr>
      <w:r>
        <w:rPr>
          <w:rFonts w:cs="Times New Roman"/>
        </w:rPr>
        <w:t>“</w:t>
      </w:r>
      <w:r>
        <w:rPr>
          <w:rFonts w:hint="eastAsia" w:cs="Times New Roman"/>
        </w:rPr>
        <w:t>行政服务中心工作经费</w:t>
      </w:r>
      <w:r>
        <w:rPr>
          <w:rFonts w:cs="Times New Roman"/>
        </w:rPr>
        <w:t>”最终评价分数为“</w:t>
      </w:r>
      <w:r>
        <w:rPr>
          <w:rFonts w:hint="eastAsia" w:cs="Times New Roman"/>
        </w:rPr>
        <w:t>83.2</w:t>
      </w:r>
      <w:r>
        <w:rPr>
          <w:rFonts w:cs="Times New Roman"/>
        </w:rPr>
        <w:t>分”，绩效评级为“</w:t>
      </w:r>
      <w:r>
        <w:rPr>
          <w:rFonts w:hint="eastAsia" w:cs="Times New Roman"/>
        </w:rPr>
        <w:t>良</w:t>
      </w:r>
      <w:r>
        <w:rPr>
          <w:rFonts w:cs="Times New Roman"/>
        </w:rPr>
        <w:t>”。各评价指标得分情况见表2：</w:t>
      </w:r>
    </w:p>
    <w:tbl>
      <w:tblPr>
        <w:tblStyle w:val="27"/>
        <w:tblW w:w="8669" w:type="dxa"/>
        <w:jc w:val="center"/>
        <w:tblLayout w:type="fixed"/>
        <w:tblCellMar>
          <w:top w:w="0" w:type="dxa"/>
          <w:left w:w="108" w:type="dxa"/>
          <w:bottom w:w="0" w:type="dxa"/>
          <w:right w:w="108" w:type="dxa"/>
        </w:tblCellMar>
      </w:tblPr>
      <w:tblGrid>
        <w:gridCol w:w="1277"/>
        <w:gridCol w:w="792"/>
        <w:gridCol w:w="1407"/>
        <w:gridCol w:w="866"/>
        <w:gridCol w:w="1961"/>
        <w:gridCol w:w="1062"/>
        <w:gridCol w:w="1304"/>
      </w:tblGrid>
      <w:tr>
        <w:tblPrEx>
          <w:tblCellMar>
            <w:top w:w="0" w:type="dxa"/>
            <w:left w:w="108" w:type="dxa"/>
            <w:bottom w:w="0" w:type="dxa"/>
            <w:right w:w="108" w:type="dxa"/>
          </w:tblCellMar>
        </w:tblPrEx>
        <w:trPr>
          <w:trHeight w:val="600" w:hRule="atLeast"/>
          <w:jc w:val="center"/>
        </w:trPr>
        <w:tc>
          <w:tcPr>
            <w:tcW w:w="866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xml:space="preserve">表2  </w:t>
            </w:r>
            <w:r>
              <w:rPr>
                <w:rFonts w:hint="eastAsia" w:ascii="Times New Roman" w:hAnsi="Times New Roman" w:eastAsia="仿宋" w:cs="Times New Roman"/>
                <w:color w:val="000000"/>
                <w:kern w:val="0"/>
                <w:sz w:val="24"/>
              </w:rPr>
              <w:t>行政服务中心工作经费</w:t>
            </w:r>
            <w:r>
              <w:rPr>
                <w:rFonts w:ascii="Times New Roman" w:hAnsi="Times New Roman" w:eastAsia="仿宋" w:cs="Times New Roman"/>
                <w:color w:val="000000"/>
                <w:kern w:val="0"/>
                <w:sz w:val="24"/>
              </w:rPr>
              <w:t>支出绩效评价得分</w:t>
            </w:r>
          </w:p>
        </w:tc>
      </w:tr>
      <w:tr>
        <w:tblPrEx>
          <w:tblCellMar>
            <w:top w:w="0" w:type="dxa"/>
            <w:left w:w="108" w:type="dxa"/>
            <w:bottom w:w="0" w:type="dxa"/>
            <w:right w:w="108" w:type="dxa"/>
          </w:tblCellMar>
        </w:tblPrEx>
        <w:trPr>
          <w:trHeight w:val="600" w:hRule="atLeast"/>
          <w:jc w:val="center"/>
        </w:trPr>
        <w:tc>
          <w:tcPr>
            <w:tcW w:w="1277" w:type="dxa"/>
            <w:tcBorders>
              <w:top w:val="nil"/>
              <w:left w:val="single" w:color="auto" w:sz="4" w:space="0"/>
              <w:bottom w:val="single" w:color="auto" w:sz="4" w:space="0"/>
              <w:right w:val="single" w:color="auto" w:sz="4" w:space="0"/>
            </w:tcBorders>
            <w:shd w:val="clear" w:color="000000" w:fill="00B0F0"/>
            <w:vAlign w:val="center"/>
          </w:tcPr>
          <w:p>
            <w:pPr>
              <w:widowControl/>
              <w:spacing w:line="240" w:lineRule="auto"/>
              <w:ind w:left="0" w:leftChars="0" w:right="0" w:rightChars="0"/>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一级指标</w:t>
            </w:r>
          </w:p>
        </w:tc>
        <w:tc>
          <w:tcPr>
            <w:tcW w:w="792" w:type="dxa"/>
            <w:tcBorders>
              <w:top w:val="nil"/>
              <w:left w:val="nil"/>
              <w:bottom w:val="single" w:color="auto" w:sz="4" w:space="0"/>
              <w:right w:val="single" w:color="auto" w:sz="4" w:space="0"/>
            </w:tcBorders>
            <w:shd w:val="clear" w:color="000000" w:fill="00B0F0"/>
            <w:vAlign w:val="center"/>
          </w:tcPr>
          <w:p>
            <w:pPr>
              <w:widowControl/>
              <w:spacing w:line="240" w:lineRule="auto"/>
              <w:ind w:left="0" w:leftChars="0" w:right="0" w:rightChars="0"/>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分值</w:t>
            </w:r>
          </w:p>
        </w:tc>
        <w:tc>
          <w:tcPr>
            <w:tcW w:w="1407" w:type="dxa"/>
            <w:tcBorders>
              <w:top w:val="nil"/>
              <w:left w:val="nil"/>
              <w:bottom w:val="single" w:color="auto" w:sz="4" w:space="0"/>
              <w:right w:val="single" w:color="auto" w:sz="4" w:space="0"/>
            </w:tcBorders>
            <w:shd w:val="clear" w:color="000000" w:fill="00B0F0"/>
            <w:vAlign w:val="center"/>
          </w:tcPr>
          <w:p>
            <w:pPr>
              <w:widowControl/>
              <w:spacing w:line="240" w:lineRule="auto"/>
              <w:ind w:left="0" w:leftChars="0" w:right="0" w:rightChars="0"/>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二级指标</w:t>
            </w:r>
          </w:p>
        </w:tc>
        <w:tc>
          <w:tcPr>
            <w:tcW w:w="866" w:type="dxa"/>
            <w:tcBorders>
              <w:top w:val="nil"/>
              <w:left w:val="nil"/>
              <w:bottom w:val="single" w:color="auto" w:sz="4" w:space="0"/>
              <w:right w:val="single" w:color="auto" w:sz="4" w:space="0"/>
            </w:tcBorders>
            <w:shd w:val="clear" w:color="000000" w:fill="00B0F0"/>
            <w:vAlign w:val="center"/>
          </w:tcPr>
          <w:p>
            <w:pPr>
              <w:widowControl/>
              <w:spacing w:line="240" w:lineRule="auto"/>
              <w:ind w:left="0" w:leftChars="0" w:right="0" w:rightChars="0"/>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分值</w:t>
            </w:r>
          </w:p>
        </w:tc>
        <w:tc>
          <w:tcPr>
            <w:tcW w:w="1961" w:type="dxa"/>
            <w:tcBorders>
              <w:top w:val="nil"/>
              <w:left w:val="nil"/>
              <w:bottom w:val="single" w:color="auto" w:sz="4" w:space="0"/>
              <w:right w:val="single" w:color="auto" w:sz="4" w:space="0"/>
            </w:tcBorders>
            <w:shd w:val="clear" w:color="000000" w:fill="00B0F0"/>
            <w:vAlign w:val="center"/>
          </w:tcPr>
          <w:p>
            <w:pPr>
              <w:widowControl/>
              <w:spacing w:line="240" w:lineRule="auto"/>
              <w:ind w:left="0" w:leftChars="0" w:right="0" w:rightChars="0"/>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三级指标</w:t>
            </w:r>
          </w:p>
        </w:tc>
        <w:tc>
          <w:tcPr>
            <w:tcW w:w="1062" w:type="dxa"/>
            <w:tcBorders>
              <w:top w:val="nil"/>
              <w:left w:val="nil"/>
              <w:bottom w:val="single" w:color="auto" w:sz="4" w:space="0"/>
              <w:right w:val="single" w:color="auto" w:sz="4" w:space="0"/>
            </w:tcBorders>
            <w:shd w:val="clear" w:color="000000" w:fill="00B0F0"/>
            <w:vAlign w:val="center"/>
          </w:tcPr>
          <w:p>
            <w:pPr>
              <w:widowControl/>
              <w:spacing w:line="240" w:lineRule="auto"/>
              <w:ind w:left="0" w:leftChars="0" w:right="0" w:rightChars="0"/>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分值</w:t>
            </w:r>
          </w:p>
        </w:tc>
        <w:tc>
          <w:tcPr>
            <w:tcW w:w="1304" w:type="dxa"/>
            <w:tcBorders>
              <w:top w:val="nil"/>
              <w:left w:val="nil"/>
              <w:bottom w:val="single" w:color="auto" w:sz="4" w:space="0"/>
              <w:right w:val="single" w:color="auto" w:sz="4" w:space="0"/>
            </w:tcBorders>
            <w:shd w:val="clear" w:color="000000" w:fill="00B0F0"/>
            <w:vAlign w:val="center"/>
          </w:tcPr>
          <w:p>
            <w:pPr>
              <w:widowControl/>
              <w:spacing w:line="240" w:lineRule="auto"/>
              <w:ind w:left="0" w:leftChars="0" w:right="0" w:rightChars="0"/>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评价得分</w:t>
            </w:r>
          </w:p>
        </w:tc>
      </w:tr>
      <w:tr>
        <w:tblPrEx>
          <w:tblCellMar>
            <w:top w:w="0" w:type="dxa"/>
            <w:left w:w="108" w:type="dxa"/>
            <w:bottom w:w="0" w:type="dxa"/>
            <w:right w:w="108" w:type="dxa"/>
          </w:tblCellMar>
        </w:tblPrEx>
        <w:trPr>
          <w:trHeight w:val="533" w:hRule="exact"/>
          <w:jc w:val="center"/>
        </w:trPr>
        <w:tc>
          <w:tcPr>
            <w:tcW w:w="1277"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决 策</w:t>
            </w:r>
          </w:p>
        </w:tc>
        <w:tc>
          <w:tcPr>
            <w:tcW w:w="79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15</w:t>
            </w:r>
          </w:p>
        </w:tc>
        <w:tc>
          <w:tcPr>
            <w:tcW w:w="140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项目立项</w:t>
            </w:r>
          </w:p>
        </w:tc>
        <w:tc>
          <w:tcPr>
            <w:tcW w:w="86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5</w:t>
            </w:r>
          </w:p>
        </w:tc>
        <w:tc>
          <w:tcPr>
            <w:tcW w:w="1961"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立项依据充分性</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2.5</w:t>
            </w:r>
          </w:p>
        </w:tc>
        <w:tc>
          <w:tcPr>
            <w:tcW w:w="130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sz w:val="24"/>
                <w:szCs w:val="24"/>
              </w:rPr>
            </w:pPr>
            <w:r>
              <w:rPr>
                <w:rFonts w:ascii="Times New Roman" w:hAnsi="Times New Roman" w:eastAsia="Tahoma" w:cs="Times New Roman"/>
                <w:color w:val="000000"/>
                <w:kern w:val="0"/>
                <w:sz w:val="24"/>
                <w:szCs w:val="24"/>
              </w:rPr>
              <w:t>2.5</w:t>
            </w:r>
          </w:p>
        </w:tc>
      </w:tr>
      <w:tr>
        <w:tblPrEx>
          <w:tblCellMar>
            <w:top w:w="0" w:type="dxa"/>
            <w:left w:w="108" w:type="dxa"/>
            <w:bottom w:w="0" w:type="dxa"/>
            <w:right w:w="108" w:type="dxa"/>
          </w:tblCellMar>
        </w:tblPrEx>
        <w:trPr>
          <w:trHeight w:val="533" w:hRule="exact"/>
          <w:jc w:val="center"/>
        </w:trPr>
        <w:tc>
          <w:tcPr>
            <w:tcW w:w="127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79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40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866"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961"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立项程序规范性</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2.5</w:t>
            </w:r>
          </w:p>
        </w:tc>
        <w:tc>
          <w:tcPr>
            <w:tcW w:w="130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sz w:val="24"/>
                <w:szCs w:val="24"/>
              </w:rPr>
            </w:pPr>
            <w:r>
              <w:rPr>
                <w:rFonts w:hint="eastAsia" w:ascii="Times New Roman" w:hAnsi="Times New Roman" w:eastAsia="Tahoma" w:cs="Times New Roman"/>
                <w:color w:val="000000"/>
                <w:kern w:val="0"/>
                <w:sz w:val="24"/>
                <w:szCs w:val="24"/>
              </w:rPr>
              <w:t>2</w:t>
            </w:r>
          </w:p>
        </w:tc>
      </w:tr>
      <w:tr>
        <w:tblPrEx>
          <w:tblCellMar>
            <w:top w:w="0" w:type="dxa"/>
            <w:left w:w="108" w:type="dxa"/>
            <w:bottom w:w="0" w:type="dxa"/>
            <w:right w:w="108" w:type="dxa"/>
          </w:tblCellMar>
        </w:tblPrEx>
        <w:trPr>
          <w:trHeight w:val="533" w:hRule="exact"/>
          <w:jc w:val="center"/>
        </w:trPr>
        <w:tc>
          <w:tcPr>
            <w:tcW w:w="127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79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40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绩效目标</w:t>
            </w:r>
          </w:p>
        </w:tc>
        <w:tc>
          <w:tcPr>
            <w:tcW w:w="86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5</w:t>
            </w:r>
          </w:p>
        </w:tc>
        <w:tc>
          <w:tcPr>
            <w:tcW w:w="1961"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绩效目标合理性</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2.5</w:t>
            </w:r>
          </w:p>
        </w:tc>
        <w:tc>
          <w:tcPr>
            <w:tcW w:w="130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color w:val="000000"/>
                <w:kern w:val="0"/>
                <w:sz w:val="24"/>
                <w:szCs w:val="24"/>
              </w:rPr>
            </w:pPr>
            <w:r>
              <w:rPr>
                <w:rFonts w:ascii="Times New Roman" w:hAnsi="Times New Roman" w:eastAsia="Tahoma" w:cs="Times New Roman"/>
                <w:color w:val="000000"/>
                <w:kern w:val="0"/>
                <w:sz w:val="24"/>
                <w:szCs w:val="24"/>
              </w:rPr>
              <w:t>2.25</w:t>
            </w:r>
          </w:p>
        </w:tc>
      </w:tr>
      <w:tr>
        <w:tblPrEx>
          <w:tblCellMar>
            <w:top w:w="0" w:type="dxa"/>
            <w:left w:w="108" w:type="dxa"/>
            <w:bottom w:w="0" w:type="dxa"/>
            <w:right w:w="108" w:type="dxa"/>
          </w:tblCellMar>
        </w:tblPrEx>
        <w:trPr>
          <w:trHeight w:val="533" w:hRule="exact"/>
          <w:jc w:val="center"/>
        </w:trPr>
        <w:tc>
          <w:tcPr>
            <w:tcW w:w="127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79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40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866"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961"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绩效指标明确性</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2.5</w:t>
            </w:r>
          </w:p>
        </w:tc>
        <w:tc>
          <w:tcPr>
            <w:tcW w:w="130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color w:val="000000"/>
                <w:kern w:val="0"/>
                <w:sz w:val="24"/>
                <w:szCs w:val="24"/>
              </w:rPr>
            </w:pPr>
            <w:r>
              <w:rPr>
                <w:rFonts w:ascii="Times New Roman" w:hAnsi="Times New Roman" w:eastAsia="Tahoma" w:cs="Times New Roman"/>
                <w:color w:val="000000"/>
                <w:kern w:val="0"/>
                <w:sz w:val="24"/>
                <w:szCs w:val="24"/>
              </w:rPr>
              <w:t>1.</w:t>
            </w:r>
            <w:r>
              <w:rPr>
                <w:rFonts w:hint="eastAsia" w:ascii="Times New Roman" w:hAnsi="Times New Roman" w:eastAsia="Tahoma" w:cs="Times New Roman"/>
                <w:color w:val="000000"/>
                <w:kern w:val="0"/>
                <w:sz w:val="24"/>
                <w:szCs w:val="24"/>
              </w:rPr>
              <w:t>5</w:t>
            </w:r>
          </w:p>
        </w:tc>
      </w:tr>
      <w:tr>
        <w:tblPrEx>
          <w:tblCellMar>
            <w:top w:w="0" w:type="dxa"/>
            <w:left w:w="108" w:type="dxa"/>
            <w:bottom w:w="0" w:type="dxa"/>
            <w:right w:w="108" w:type="dxa"/>
          </w:tblCellMar>
        </w:tblPrEx>
        <w:trPr>
          <w:trHeight w:val="533" w:hRule="exact"/>
          <w:jc w:val="center"/>
        </w:trPr>
        <w:tc>
          <w:tcPr>
            <w:tcW w:w="127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79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40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资金安排</w:t>
            </w:r>
          </w:p>
        </w:tc>
        <w:tc>
          <w:tcPr>
            <w:tcW w:w="86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5</w:t>
            </w:r>
          </w:p>
        </w:tc>
        <w:tc>
          <w:tcPr>
            <w:tcW w:w="1961"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预算编制合理性</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3</w:t>
            </w:r>
          </w:p>
        </w:tc>
        <w:tc>
          <w:tcPr>
            <w:tcW w:w="130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color w:val="000000"/>
                <w:kern w:val="0"/>
                <w:sz w:val="24"/>
                <w:szCs w:val="24"/>
              </w:rPr>
            </w:pPr>
            <w:r>
              <w:rPr>
                <w:rFonts w:ascii="Times New Roman" w:hAnsi="Times New Roman" w:eastAsia="Tahoma" w:cs="Times New Roman"/>
                <w:color w:val="000000"/>
                <w:kern w:val="0"/>
                <w:sz w:val="24"/>
                <w:szCs w:val="24"/>
              </w:rPr>
              <w:t>1</w:t>
            </w:r>
          </w:p>
        </w:tc>
      </w:tr>
      <w:tr>
        <w:tblPrEx>
          <w:tblCellMar>
            <w:top w:w="0" w:type="dxa"/>
            <w:left w:w="108" w:type="dxa"/>
            <w:bottom w:w="0" w:type="dxa"/>
            <w:right w:w="108" w:type="dxa"/>
          </w:tblCellMar>
        </w:tblPrEx>
        <w:trPr>
          <w:trHeight w:val="533" w:hRule="exact"/>
          <w:jc w:val="center"/>
        </w:trPr>
        <w:tc>
          <w:tcPr>
            <w:tcW w:w="127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79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40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866"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961"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资金分配合理性</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2</w:t>
            </w:r>
          </w:p>
        </w:tc>
        <w:tc>
          <w:tcPr>
            <w:tcW w:w="130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color w:val="000000"/>
                <w:kern w:val="0"/>
                <w:sz w:val="24"/>
                <w:szCs w:val="24"/>
              </w:rPr>
            </w:pPr>
            <w:r>
              <w:rPr>
                <w:rFonts w:ascii="Times New Roman" w:hAnsi="Times New Roman" w:eastAsia="Tahoma" w:cs="Times New Roman"/>
                <w:color w:val="000000"/>
                <w:kern w:val="0"/>
                <w:sz w:val="24"/>
                <w:szCs w:val="24"/>
              </w:rPr>
              <w:t>1</w:t>
            </w:r>
          </w:p>
        </w:tc>
      </w:tr>
      <w:tr>
        <w:tblPrEx>
          <w:tblCellMar>
            <w:top w:w="0" w:type="dxa"/>
            <w:left w:w="108" w:type="dxa"/>
            <w:bottom w:w="0" w:type="dxa"/>
            <w:right w:w="108" w:type="dxa"/>
          </w:tblCellMar>
        </w:tblPrEx>
        <w:trPr>
          <w:trHeight w:val="533" w:hRule="exact"/>
          <w:jc w:val="center"/>
        </w:trPr>
        <w:tc>
          <w:tcPr>
            <w:tcW w:w="1277"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过程</w:t>
            </w:r>
          </w:p>
        </w:tc>
        <w:tc>
          <w:tcPr>
            <w:tcW w:w="79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25</w:t>
            </w:r>
          </w:p>
        </w:tc>
        <w:tc>
          <w:tcPr>
            <w:tcW w:w="140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业务管理</w:t>
            </w:r>
          </w:p>
        </w:tc>
        <w:tc>
          <w:tcPr>
            <w:tcW w:w="86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10</w:t>
            </w:r>
          </w:p>
        </w:tc>
        <w:tc>
          <w:tcPr>
            <w:tcW w:w="1961"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管理制度健全性</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2</w:t>
            </w:r>
          </w:p>
        </w:tc>
        <w:tc>
          <w:tcPr>
            <w:tcW w:w="130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color w:val="000000"/>
                <w:kern w:val="0"/>
                <w:sz w:val="24"/>
                <w:szCs w:val="24"/>
              </w:rPr>
            </w:pPr>
            <w:r>
              <w:rPr>
                <w:rFonts w:ascii="Times New Roman" w:hAnsi="Times New Roman" w:eastAsia="Tahoma" w:cs="Times New Roman"/>
                <w:color w:val="000000"/>
                <w:kern w:val="0"/>
                <w:sz w:val="24"/>
                <w:szCs w:val="24"/>
              </w:rPr>
              <w:t>2</w:t>
            </w:r>
          </w:p>
        </w:tc>
      </w:tr>
      <w:tr>
        <w:tblPrEx>
          <w:tblCellMar>
            <w:top w:w="0" w:type="dxa"/>
            <w:left w:w="108" w:type="dxa"/>
            <w:bottom w:w="0" w:type="dxa"/>
            <w:right w:w="108" w:type="dxa"/>
          </w:tblCellMar>
        </w:tblPrEx>
        <w:trPr>
          <w:trHeight w:val="533" w:hRule="exact"/>
          <w:jc w:val="center"/>
        </w:trPr>
        <w:tc>
          <w:tcPr>
            <w:tcW w:w="127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79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40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866"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961"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制度执行有效性</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3</w:t>
            </w:r>
          </w:p>
        </w:tc>
        <w:tc>
          <w:tcPr>
            <w:tcW w:w="130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color w:val="000000"/>
                <w:kern w:val="0"/>
                <w:sz w:val="24"/>
                <w:szCs w:val="24"/>
              </w:rPr>
            </w:pPr>
            <w:r>
              <w:rPr>
                <w:rFonts w:hint="eastAsia" w:ascii="Times New Roman" w:hAnsi="Times New Roman" w:eastAsia="Tahoma" w:cs="Times New Roman"/>
                <w:color w:val="000000"/>
                <w:kern w:val="0"/>
                <w:sz w:val="24"/>
                <w:szCs w:val="24"/>
              </w:rPr>
              <w:t>2.25</w:t>
            </w:r>
          </w:p>
        </w:tc>
      </w:tr>
      <w:tr>
        <w:tblPrEx>
          <w:tblCellMar>
            <w:top w:w="0" w:type="dxa"/>
            <w:left w:w="108" w:type="dxa"/>
            <w:bottom w:w="0" w:type="dxa"/>
            <w:right w:w="108" w:type="dxa"/>
          </w:tblCellMar>
        </w:tblPrEx>
        <w:trPr>
          <w:trHeight w:val="533" w:hRule="exact"/>
          <w:jc w:val="center"/>
        </w:trPr>
        <w:tc>
          <w:tcPr>
            <w:tcW w:w="127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79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40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866"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961"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档案管理规范性</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2</w:t>
            </w:r>
          </w:p>
        </w:tc>
        <w:tc>
          <w:tcPr>
            <w:tcW w:w="130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color w:val="000000"/>
                <w:kern w:val="0"/>
                <w:sz w:val="24"/>
                <w:szCs w:val="24"/>
              </w:rPr>
            </w:pPr>
            <w:r>
              <w:rPr>
                <w:rFonts w:ascii="Times New Roman" w:hAnsi="Times New Roman" w:eastAsia="Tahoma" w:cs="Times New Roman"/>
                <w:color w:val="000000"/>
                <w:kern w:val="0"/>
                <w:sz w:val="24"/>
                <w:szCs w:val="24"/>
              </w:rPr>
              <w:t>1.5</w:t>
            </w:r>
          </w:p>
        </w:tc>
      </w:tr>
      <w:tr>
        <w:tblPrEx>
          <w:tblCellMar>
            <w:top w:w="0" w:type="dxa"/>
            <w:left w:w="108" w:type="dxa"/>
            <w:bottom w:w="0" w:type="dxa"/>
            <w:right w:w="108" w:type="dxa"/>
          </w:tblCellMar>
        </w:tblPrEx>
        <w:trPr>
          <w:trHeight w:val="533" w:hRule="exact"/>
          <w:jc w:val="center"/>
        </w:trPr>
        <w:tc>
          <w:tcPr>
            <w:tcW w:w="127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79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40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866"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961"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项目质量可控性</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3</w:t>
            </w:r>
          </w:p>
        </w:tc>
        <w:tc>
          <w:tcPr>
            <w:tcW w:w="130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color w:val="000000"/>
                <w:kern w:val="0"/>
                <w:sz w:val="24"/>
                <w:szCs w:val="24"/>
              </w:rPr>
            </w:pPr>
            <w:r>
              <w:rPr>
                <w:rFonts w:ascii="Times New Roman" w:hAnsi="Times New Roman" w:eastAsia="Tahoma" w:cs="Times New Roman"/>
                <w:color w:val="000000"/>
                <w:kern w:val="0"/>
                <w:sz w:val="24"/>
                <w:szCs w:val="24"/>
              </w:rPr>
              <w:t>3</w:t>
            </w:r>
          </w:p>
        </w:tc>
      </w:tr>
      <w:tr>
        <w:tblPrEx>
          <w:tblCellMar>
            <w:top w:w="0" w:type="dxa"/>
            <w:left w:w="108" w:type="dxa"/>
            <w:bottom w:w="0" w:type="dxa"/>
            <w:right w:w="108" w:type="dxa"/>
          </w:tblCellMar>
        </w:tblPrEx>
        <w:trPr>
          <w:trHeight w:val="533" w:hRule="exact"/>
          <w:jc w:val="center"/>
        </w:trPr>
        <w:tc>
          <w:tcPr>
            <w:tcW w:w="127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79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40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预算管理</w:t>
            </w:r>
          </w:p>
        </w:tc>
        <w:tc>
          <w:tcPr>
            <w:tcW w:w="86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15</w:t>
            </w:r>
          </w:p>
        </w:tc>
        <w:tc>
          <w:tcPr>
            <w:tcW w:w="1961"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资金</w:t>
            </w:r>
            <w:r>
              <w:rPr>
                <w:rFonts w:hint="eastAsia" w:ascii="Times New Roman" w:hAnsi="Times New Roman" w:eastAsia="仿宋" w:cs="Times New Roman"/>
                <w:color w:val="000000"/>
                <w:kern w:val="0"/>
                <w:sz w:val="24"/>
              </w:rPr>
              <w:t>拨付</w:t>
            </w:r>
            <w:r>
              <w:rPr>
                <w:rFonts w:ascii="Times New Roman" w:hAnsi="Times New Roman" w:eastAsia="仿宋" w:cs="Times New Roman"/>
                <w:color w:val="000000"/>
                <w:kern w:val="0"/>
                <w:sz w:val="24"/>
              </w:rPr>
              <w:t>率</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2.5</w:t>
            </w:r>
          </w:p>
        </w:tc>
        <w:tc>
          <w:tcPr>
            <w:tcW w:w="130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color w:val="000000"/>
                <w:kern w:val="0"/>
                <w:sz w:val="24"/>
                <w:szCs w:val="24"/>
              </w:rPr>
            </w:pPr>
            <w:r>
              <w:rPr>
                <w:rFonts w:hint="eastAsia" w:ascii="Times New Roman" w:hAnsi="Times New Roman" w:eastAsia="Tahoma" w:cs="Times New Roman"/>
                <w:color w:val="000000"/>
                <w:kern w:val="0"/>
                <w:sz w:val="24"/>
                <w:szCs w:val="24"/>
              </w:rPr>
              <w:t>0.225</w:t>
            </w:r>
          </w:p>
        </w:tc>
      </w:tr>
      <w:tr>
        <w:tblPrEx>
          <w:tblCellMar>
            <w:top w:w="0" w:type="dxa"/>
            <w:left w:w="108" w:type="dxa"/>
            <w:bottom w:w="0" w:type="dxa"/>
            <w:right w:w="108" w:type="dxa"/>
          </w:tblCellMar>
        </w:tblPrEx>
        <w:trPr>
          <w:trHeight w:val="533" w:hRule="exact"/>
          <w:jc w:val="center"/>
        </w:trPr>
        <w:tc>
          <w:tcPr>
            <w:tcW w:w="127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79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40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866"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961"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拨付</w:t>
            </w:r>
            <w:r>
              <w:rPr>
                <w:rFonts w:ascii="Times New Roman" w:hAnsi="Times New Roman" w:eastAsia="仿宋" w:cs="Times New Roman"/>
                <w:color w:val="000000"/>
                <w:kern w:val="0"/>
                <w:sz w:val="24"/>
              </w:rPr>
              <w:t>及时率</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2.5</w:t>
            </w:r>
          </w:p>
        </w:tc>
        <w:tc>
          <w:tcPr>
            <w:tcW w:w="130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color w:val="000000"/>
                <w:kern w:val="0"/>
                <w:sz w:val="24"/>
                <w:szCs w:val="24"/>
              </w:rPr>
            </w:pPr>
            <w:r>
              <w:rPr>
                <w:rFonts w:ascii="Times New Roman" w:hAnsi="Times New Roman" w:eastAsia="Tahoma" w:cs="Times New Roman"/>
                <w:color w:val="000000"/>
                <w:kern w:val="0"/>
                <w:sz w:val="24"/>
                <w:szCs w:val="24"/>
              </w:rPr>
              <w:t>2.5</w:t>
            </w:r>
          </w:p>
        </w:tc>
      </w:tr>
      <w:tr>
        <w:tblPrEx>
          <w:tblCellMar>
            <w:top w:w="0" w:type="dxa"/>
            <w:left w:w="108" w:type="dxa"/>
            <w:bottom w:w="0" w:type="dxa"/>
            <w:right w:w="108" w:type="dxa"/>
          </w:tblCellMar>
        </w:tblPrEx>
        <w:trPr>
          <w:trHeight w:val="533" w:hRule="exact"/>
          <w:jc w:val="center"/>
        </w:trPr>
        <w:tc>
          <w:tcPr>
            <w:tcW w:w="127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79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40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866"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961"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预算执行率</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2.5</w:t>
            </w:r>
          </w:p>
        </w:tc>
        <w:tc>
          <w:tcPr>
            <w:tcW w:w="130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color w:val="000000"/>
                <w:kern w:val="0"/>
                <w:sz w:val="24"/>
                <w:szCs w:val="24"/>
              </w:rPr>
            </w:pPr>
            <w:r>
              <w:rPr>
                <w:rFonts w:hint="eastAsia" w:ascii="Times New Roman" w:hAnsi="Times New Roman" w:eastAsia="Tahoma" w:cs="Times New Roman"/>
                <w:color w:val="000000"/>
                <w:kern w:val="0"/>
                <w:sz w:val="24"/>
                <w:szCs w:val="24"/>
              </w:rPr>
              <w:t>0.225</w:t>
            </w:r>
          </w:p>
        </w:tc>
      </w:tr>
      <w:tr>
        <w:tblPrEx>
          <w:tblCellMar>
            <w:top w:w="0" w:type="dxa"/>
            <w:left w:w="108" w:type="dxa"/>
            <w:bottom w:w="0" w:type="dxa"/>
            <w:right w:w="108" w:type="dxa"/>
          </w:tblCellMar>
        </w:tblPrEx>
        <w:trPr>
          <w:trHeight w:val="533" w:hRule="exact"/>
          <w:jc w:val="center"/>
        </w:trPr>
        <w:tc>
          <w:tcPr>
            <w:tcW w:w="127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79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40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866"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961"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管理制度健全性</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2.5</w:t>
            </w:r>
          </w:p>
        </w:tc>
        <w:tc>
          <w:tcPr>
            <w:tcW w:w="130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color w:val="000000"/>
                <w:kern w:val="0"/>
                <w:sz w:val="24"/>
                <w:szCs w:val="24"/>
              </w:rPr>
            </w:pPr>
            <w:r>
              <w:rPr>
                <w:rFonts w:hint="eastAsia" w:ascii="Times New Roman" w:hAnsi="Times New Roman" w:eastAsia="Tahoma" w:cs="Times New Roman"/>
                <w:color w:val="000000"/>
                <w:kern w:val="0"/>
                <w:sz w:val="24"/>
                <w:szCs w:val="24"/>
              </w:rPr>
              <w:t>1.5</w:t>
            </w:r>
          </w:p>
        </w:tc>
      </w:tr>
      <w:tr>
        <w:tblPrEx>
          <w:tblCellMar>
            <w:top w:w="0" w:type="dxa"/>
            <w:left w:w="108" w:type="dxa"/>
            <w:bottom w:w="0" w:type="dxa"/>
            <w:right w:w="108" w:type="dxa"/>
          </w:tblCellMar>
        </w:tblPrEx>
        <w:trPr>
          <w:trHeight w:val="533" w:hRule="exact"/>
          <w:jc w:val="center"/>
        </w:trPr>
        <w:tc>
          <w:tcPr>
            <w:tcW w:w="127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79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40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866"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961"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资金使用合规性</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2.5</w:t>
            </w:r>
          </w:p>
        </w:tc>
        <w:tc>
          <w:tcPr>
            <w:tcW w:w="130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color w:val="000000"/>
                <w:kern w:val="0"/>
                <w:sz w:val="24"/>
                <w:szCs w:val="24"/>
              </w:rPr>
            </w:pPr>
            <w:r>
              <w:rPr>
                <w:rFonts w:hint="eastAsia" w:ascii="Times New Roman" w:hAnsi="Times New Roman" w:eastAsia="Tahoma" w:cs="Times New Roman"/>
                <w:color w:val="000000"/>
                <w:kern w:val="0"/>
                <w:sz w:val="24"/>
                <w:szCs w:val="24"/>
              </w:rPr>
              <w:t>2</w:t>
            </w:r>
          </w:p>
        </w:tc>
      </w:tr>
      <w:tr>
        <w:tblPrEx>
          <w:tblCellMar>
            <w:top w:w="0" w:type="dxa"/>
            <w:left w:w="108" w:type="dxa"/>
            <w:bottom w:w="0" w:type="dxa"/>
            <w:right w:w="108" w:type="dxa"/>
          </w:tblCellMar>
        </w:tblPrEx>
        <w:trPr>
          <w:trHeight w:val="533" w:hRule="exact"/>
          <w:jc w:val="center"/>
        </w:trPr>
        <w:tc>
          <w:tcPr>
            <w:tcW w:w="127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79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40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866"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961"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财务监控有效性</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2.5</w:t>
            </w:r>
          </w:p>
        </w:tc>
        <w:tc>
          <w:tcPr>
            <w:tcW w:w="130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color w:val="000000"/>
                <w:kern w:val="0"/>
                <w:sz w:val="24"/>
                <w:szCs w:val="24"/>
              </w:rPr>
            </w:pPr>
            <w:r>
              <w:rPr>
                <w:rFonts w:ascii="Times New Roman" w:hAnsi="Times New Roman" w:eastAsia="Tahoma" w:cs="Times New Roman"/>
                <w:color w:val="000000"/>
                <w:kern w:val="0"/>
                <w:sz w:val="24"/>
                <w:szCs w:val="24"/>
              </w:rPr>
              <w:t>1.5</w:t>
            </w:r>
          </w:p>
        </w:tc>
      </w:tr>
      <w:tr>
        <w:tblPrEx>
          <w:tblCellMar>
            <w:top w:w="0" w:type="dxa"/>
            <w:left w:w="108" w:type="dxa"/>
            <w:bottom w:w="0" w:type="dxa"/>
            <w:right w:w="108" w:type="dxa"/>
          </w:tblCellMar>
        </w:tblPrEx>
        <w:trPr>
          <w:trHeight w:val="533" w:hRule="exact"/>
          <w:jc w:val="center"/>
        </w:trPr>
        <w:tc>
          <w:tcPr>
            <w:tcW w:w="1277"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产 出</w:t>
            </w:r>
          </w:p>
        </w:tc>
        <w:tc>
          <w:tcPr>
            <w:tcW w:w="7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30</w:t>
            </w:r>
          </w:p>
        </w:tc>
        <w:tc>
          <w:tcPr>
            <w:tcW w:w="140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产出数量</w:t>
            </w:r>
          </w:p>
        </w:tc>
        <w:tc>
          <w:tcPr>
            <w:tcW w:w="866" w:type="dxa"/>
            <w:tcBorders>
              <w:top w:val="single" w:color="auto" w:sz="4" w:space="0"/>
              <w:left w:val="nil"/>
              <w:bottom w:val="single" w:color="auto" w:sz="4" w:space="0"/>
              <w:right w:val="single" w:color="auto" w:sz="4" w:space="0"/>
            </w:tcBorders>
            <w:shd w:val="clear" w:color="auto" w:fill="auto"/>
          </w:tcPr>
          <w:p>
            <w:pPr>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7.5</w:t>
            </w:r>
          </w:p>
        </w:tc>
        <w:tc>
          <w:tcPr>
            <w:tcW w:w="1961" w:type="dxa"/>
            <w:tcBorders>
              <w:top w:val="single" w:color="auto" w:sz="4" w:space="0"/>
              <w:left w:val="nil"/>
              <w:bottom w:val="single" w:color="auto" w:sz="4" w:space="0"/>
              <w:right w:val="single" w:color="auto" w:sz="4" w:space="0"/>
            </w:tcBorders>
            <w:shd w:val="clear" w:color="auto" w:fill="auto"/>
          </w:tcPr>
          <w:p>
            <w:pPr>
              <w:adjustRightInd w:val="0"/>
              <w:snapToGrid w:val="0"/>
              <w:ind w:left="0" w:leftChars="0" w:right="0" w:rightChars="0" w:firstLine="240" w:firstLineChars="100"/>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实际完成率</w:t>
            </w:r>
          </w:p>
        </w:tc>
        <w:tc>
          <w:tcPr>
            <w:tcW w:w="1062" w:type="dxa"/>
            <w:tcBorders>
              <w:top w:val="single" w:color="auto" w:sz="4" w:space="0"/>
              <w:left w:val="nil"/>
              <w:bottom w:val="single" w:color="auto" w:sz="4" w:space="0"/>
              <w:right w:val="single" w:color="auto" w:sz="4" w:space="0"/>
            </w:tcBorders>
            <w:shd w:val="clear" w:color="auto" w:fill="auto"/>
          </w:tcPr>
          <w:p>
            <w:pPr>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7.5</w:t>
            </w:r>
          </w:p>
        </w:tc>
        <w:tc>
          <w:tcPr>
            <w:tcW w:w="1304" w:type="dxa"/>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color w:val="000000"/>
                <w:kern w:val="0"/>
                <w:sz w:val="24"/>
                <w:szCs w:val="24"/>
              </w:rPr>
            </w:pPr>
            <w:r>
              <w:rPr>
                <w:rFonts w:ascii="Times New Roman" w:hAnsi="Times New Roman" w:eastAsia="Tahoma" w:cs="Times New Roman"/>
                <w:color w:val="000000"/>
                <w:kern w:val="0"/>
                <w:sz w:val="24"/>
                <w:szCs w:val="24"/>
              </w:rPr>
              <w:t>7.5</w:t>
            </w:r>
          </w:p>
        </w:tc>
      </w:tr>
      <w:tr>
        <w:tblPrEx>
          <w:tblCellMar>
            <w:top w:w="0" w:type="dxa"/>
            <w:left w:w="108" w:type="dxa"/>
            <w:bottom w:w="0" w:type="dxa"/>
            <w:right w:w="108" w:type="dxa"/>
          </w:tblCellMar>
        </w:tblPrEx>
        <w:trPr>
          <w:trHeight w:val="533" w:hRule="exact"/>
          <w:jc w:val="center"/>
        </w:trPr>
        <w:tc>
          <w:tcPr>
            <w:tcW w:w="1277"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p>
        </w:tc>
        <w:tc>
          <w:tcPr>
            <w:tcW w:w="7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p>
        </w:tc>
        <w:tc>
          <w:tcPr>
            <w:tcW w:w="140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产出时效</w:t>
            </w:r>
          </w:p>
        </w:tc>
        <w:tc>
          <w:tcPr>
            <w:tcW w:w="866" w:type="dxa"/>
            <w:tcBorders>
              <w:top w:val="single" w:color="auto" w:sz="4" w:space="0"/>
              <w:left w:val="nil"/>
              <w:bottom w:val="single" w:color="auto" w:sz="4" w:space="0"/>
              <w:right w:val="single" w:color="auto" w:sz="4" w:space="0"/>
            </w:tcBorders>
            <w:shd w:val="clear" w:color="auto" w:fill="auto"/>
          </w:tcPr>
          <w:p>
            <w:pPr>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7.5</w:t>
            </w:r>
          </w:p>
        </w:tc>
        <w:tc>
          <w:tcPr>
            <w:tcW w:w="19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完成及时率</w:t>
            </w:r>
          </w:p>
        </w:tc>
        <w:tc>
          <w:tcPr>
            <w:tcW w:w="1062" w:type="dxa"/>
            <w:tcBorders>
              <w:top w:val="single" w:color="auto" w:sz="4" w:space="0"/>
              <w:left w:val="nil"/>
              <w:bottom w:val="single" w:color="auto" w:sz="4" w:space="0"/>
              <w:right w:val="single" w:color="auto" w:sz="4" w:space="0"/>
            </w:tcBorders>
            <w:shd w:val="clear" w:color="auto" w:fill="auto"/>
          </w:tcPr>
          <w:p>
            <w:pPr>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7.5</w:t>
            </w:r>
          </w:p>
        </w:tc>
        <w:tc>
          <w:tcPr>
            <w:tcW w:w="1304" w:type="dxa"/>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color w:val="000000"/>
                <w:kern w:val="0"/>
                <w:sz w:val="24"/>
                <w:szCs w:val="24"/>
              </w:rPr>
            </w:pPr>
            <w:r>
              <w:rPr>
                <w:rFonts w:ascii="Times New Roman" w:hAnsi="Times New Roman" w:eastAsia="Tahoma" w:cs="Times New Roman"/>
                <w:color w:val="000000"/>
                <w:kern w:val="0"/>
                <w:sz w:val="24"/>
                <w:szCs w:val="24"/>
              </w:rPr>
              <w:t>7.5</w:t>
            </w:r>
          </w:p>
        </w:tc>
      </w:tr>
      <w:tr>
        <w:tblPrEx>
          <w:tblCellMar>
            <w:top w:w="0" w:type="dxa"/>
            <w:left w:w="108" w:type="dxa"/>
            <w:bottom w:w="0" w:type="dxa"/>
            <w:right w:w="108" w:type="dxa"/>
          </w:tblCellMar>
        </w:tblPrEx>
        <w:trPr>
          <w:trHeight w:val="533" w:hRule="exact"/>
          <w:jc w:val="center"/>
        </w:trPr>
        <w:tc>
          <w:tcPr>
            <w:tcW w:w="1277"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p>
        </w:tc>
        <w:tc>
          <w:tcPr>
            <w:tcW w:w="7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p>
        </w:tc>
        <w:tc>
          <w:tcPr>
            <w:tcW w:w="1407" w:type="dxa"/>
            <w:tcBorders>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产出质量</w:t>
            </w:r>
          </w:p>
        </w:tc>
        <w:tc>
          <w:tcPr>
            <w:tcW w:w="866" w:type="dxa"/>
            <w:tcBorders>
              <w:left w:val="nil"/>
              <w:bottom w:val="single" w:color="auto" w:sz="4" w:space="0"/>
              <w:right w:val="single" w:color="auto" w:sz="4" w:space="0"/>
            </w:tcBorders>
            <w:shd w:val="clear" w:color="auto" w:fill="auto"/>
          </w:tcPr>
          <w:p>
            <w:pPr>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7.5</w:t>
            </w:r>
          </w:p>
        </w:tc>
        <w:tc>
          <w:tcPr>
            <w:tcW w:w="19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质量达标率</w:t>
            </w:r>
          </w:p>
        </w:tc>
        <w:tc>
          <w:tcPr>
            <w:tcW w:w="1062" w:type="dxa"/>
            <w:tcBorders>
              <w:top w:val="single" w:color="auto" w:sz="4" w:space="0"/>
              <w:left w:val="nil"/>
              <w:bottom w:val="single" w:color="auto" w:sz="4" w:space="0"/>
              <w:right w:val="single" w:color="auto" w:sz="4" w:space="0"/>
            </w:tcBorders>
            <w:shd w:val="clear" w:color="auto" w:fill="auto"/>
          </w:tcPr>
          <w:p>
            <w:pPr>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7.5</w:t>
            </w:r>
          </w:p>
        </w:tc>
        <w:tc>
          <w:tcPr>
            <w:tcW w:w="1304" w:type="dxa"/>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color w:val="000000"/>
                <w:kern w:val="0"/>
                <w:sz w:val="24"/>
                <w:szCs w:val="24"/>
              </w:rPr>
            </w:pPr>
            <w:r>
              <w:rPr>
                <w:rFonts w:ascii="Times New Roman" w:hAnsi="Times New Roman" w:eastAsia="Tahoma" w:cs="Times New Roman"/>
                <w:color w:val="000000"/>
                <w:kern w:val="0"/>
                <w:sz w:val="24"/>
                <w:szCs w:val="24"/>
              </w:rPr>
              <w:t>7.5</w:t>
            </w:r>
          </w:p>
        </w:tc>
      </w:tr>
      <w:tr>
        <w:tblPrEx>
          <w:tblCellMar>
            <w:top w:w="0" w:type="dxa"/>
            <w:left w:w="108" w:type="dxa"/>
            <w:bottom w:w="0" w:type="dxa"/>
            <w:right w:w="108" w:type="dxa"/>
          </w:tblCellMar>
        </w:tblPrEx>
        <w:trPr>
          <w:trHeight w:val="533" w:hRule="exact"/>
          <w:jc w:val="center"/>
        </w:trPr>
        <w:tc>
          <w:tcPr>
            <w:tcW w:w="127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79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40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产出成本</w:t>
            </w:r>
          </w:p>
        </w:tc>
        <w:tc>
          <w:tcPr>
            <w:tcW w:w="866" w:type="dxa"/>
            <w:tcBorders>
              <w:top w:val="nil"/>
              <w:left w:val="nil"/>
              <w:bottom w:val="single" w:color="auto" w:sz="4" w:space="0"/>
              <w:right w:val="single" w:color="auto" w:sz="4" w:space="0"/>
            </w:tcBorders>
            <w:shd w:val="clear" w:color="auto" w:fill="auto"/>
          </w:tcPr>
          <w:p>
            <w:pPr>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7.5</w:t>
            </w:r>
          </w:p>
        </w:tc>
        <w:tc>
          <w:tcPr>
            <w:tcW w:w="1961"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成本节约率</w:t>
            </w:r>
          </w:p>
        </w:tc>
        <w:tc>
          <w:tcPr>
            <w:tcW w:w="1062" w:type="dxa"/>
            <w:tcBorders>
              <w:top w:val="nil"/>
              <w:left w:val="nil"/>
              <w:bottom w:val="single" w:color="auto" w:sz="4" w:space="0"/>
              <w:right w:val="single" w:color="auto" w:sz="4" w:space="0"/>
            </w:tcBorders>
            <w:shd w:val="clear" w:color="auto" w:fill="auto"/>
          </w:tcPr>
          <w:p>
            <w:pPr>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7.5</w:t>
            </w:r>
          </w:p>
        </w:tc>
        <w:tc>
          <w:tcPr>
            <w:tcW w:w="130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hint="default" w:ascii="Times New Roman" w:hAnsi="Times New Roman" w:eastAsia="仿宋"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3.75</w:t>
            </w:r>
          </w:p>
        </w:tc>
      </w:tr>
      <w:tr>
        <w:tblPrEx>
          <w:tblCellMar>
            <w:top w:w="0" w:type="dxa"/>
            <w:left w:w="108" w:type="dxa"/>
            <w:bottom w:w="0" w:type="dxa"/>
            <w:right w:w="108" w:type="dxa"/>
          </w:tblCellMar>
        </w:tblPrEx>
        <w:trPr>
          <w:trHeight w:val="533" w:hRule="exact"/>
          <w:jc w:val="center"/>
        </w:trPr>
        <w:tc>
          <w:tcPr>
            <w:tcW w:w="1277"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效 果</w:t>
            </w:r>
          </w:p>
        </w:tc>
        <w:tc>
          <w:tcPr>
            <w:tcW w:w="79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30</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社会效益</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8</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color w:val="000000"/>
                <w:kern w:val="0"/>
                <w:sz w:val="24"/>
                <w:szCs w:val="24"/>
              </w:rPr>
            </w:pPr>
            <w:r>
              <w:rPr>
                <w:rFonts w:hint="eastAsia" w:ascii="Times New Roman" w:hAnsi="Times New Roman" w:eastAsia="Tahoma" w:cs="Times New Roman"/>
                <w:color w:val="000000"/>
                <w:kern w:val="0"/>
                <w:sz w:val="24"/>
                <w:szCs w:val="24"/>
              </w:rPr>
              <w:t>8</w:t>
            </w:r>
          </w:p>
        </w:tc>
      </w:tr>
      <w:tr>
        <w:tblPrEx>
          <w:tblCellMar>
            <w:top w:w="0" w:type="dxa"/>
            <w:left w:w="108" w:type="dxa"/>
            <w:bottom w:w="0" w:type="dxa"/>
            <w:right w:w="108" w:type="dxa"/>
          </w:tblCellMar>
        </w:tblPrEx>
        <w:trPr>
          <w:trHeight w:val="533" w:hRule="exact"/>
          <w:jc w:val="center"/>
        </w:trPr>
        <w:tc>
          <w:tcPr>
            <w:tcW w:w="127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79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40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可持续影响</w:t>
            </w:r>
          </w:p>
        </w:tc>
        <w:tc>
          <w:tcPr>
            <w:tcW w:w="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8</w:t>
            </w:r>
          </w:p>
        </w:tc>
        <w:tc>
          <w:tcPr>
            <w:tcW w:w="19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w:t>
            </w:r>
          </w:p>
        </w:tc>
        <w:tc>
          <w:tcPr>
            <w:tcW w:w="106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w:t>
            </w:r>
          </w:p>
        </w:tc>
        <w:tc>
          <w:tcPr>
            <w:tcW w:w="1304" w:type="dxa"/>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color w:val="000000"/>
                <w:kern w:val="0"/>
                <w:sz w:val="24"/>
                <w:szCs w:val="24"/>
              </w:rPr>
            </w:pPr>
            <w:r>
              <w:rPr>
                <w:rFonts w:hint="eastAsia" w:ascii="Times New Roman" w:hAnsi="Times New Roman" w:eastAsia="Tahoma" w:cs="Times New Roman"/>
                <w:color w:val="000000"/>
                <w:kern w:val="0"/>
                <w:sz w:val="24"/>
                <w:szCs w:val="24"/>
              </w:rPr>
              <w:t>8</w:t>
            </w:r>
          </w:p>
        </w:tc>
      </w:tr>
      <w:tr>
        <w:tblPrEx>
          <w:tblCellMar>
            <w:top w:w="0" w:type="dxa"/>
            <w:left w:w="108" w:type="dxa"/>
            <w:bottom w:w="0" w:type="dxa"/>
            <w:right w:w="108" w:type="dxa"/>
          </w:tblCellMar>
        </w:tblPrEx>
        <w:trPr>
          <w:trHeight w:val="533" w:hRule="exact"/>
          <w:jc w:val="center"/>
        </w:trPr>
        <w:tc>
          <w:tcPr>
            <w:tcW w:w="1277"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79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left"/>
              <w:rPr>
                <w:rFonts w:ascii="Times New Roman" w:hAnsi="Times New Roman" w:eastAsia="仿宋" w:cs="Times New Roman"/>
                <w:color w:val="000000"/>
                <w:kern w:val="0"/>
                <w:sz w:val="24"/>
              </w:rPr>
            </w:pPr>
          </w:p>
        </w:tc>
        <w:tc>
          <w:tcPr>
            <w:tcW w:w="140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4"/>
              </w:rPr>
              <w:t>社会公众满意度</w:t>
            </w:r>
          </w:p>
        </w:tc>
        <w:tc>
          <w:tcPr>
            <w:tcW w:w="866"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1</w:t>
            </w:r>
            <w:r>
              <w:rPr>
                <w:rFonts w:hint="eastAsia" w:ascii="Times New Roman" w:hAnsi="Times New Roman" w:eastAsia="仿宋" w:cs="Times New Roman"/>
                <w:color w:val="000000"/>
                <w:kern w:val="0"/>
                <w:sz w:val="24"/>
              </w:rPr>
              <w:t>4</w:t>
            </w:r>
          </w:p>
        </w:tc>
        <w:tc>
          <w:tcPr>
            <w:tcW w:w="1961"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w:t>
            </w:r>
          </w:p>
        </w:tc>
        <w:tc>
          <w:tcPr>
            <w:tcW w:w="130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color w:val="000000"/>
                <w:kern w:val="0"/>
                <w:sz w:val="24"/>
                <w:szCs w:val="24"/>
              </w:rPr>
            </w:pPr>
            <w:r>
              <w:rPr>
                <w:rFonts w:ascii="Times New Roman" w:hAnsi="Times New Roman" w:eastAsia="Tahoma" w:cs="Times New Roman"/>
                <w:color w:val="000000"/>
                <w:kern w:val="0"/>
                <w:sz w:val="24"/>
                <w:szCs w:val="24"/>
              </w:rPr>
              <w:t>1</w:t>
            </w:r>
            <w:r>
              <w:rPr>
                <w:rFonts w:hint="eastAsia" w:ascii="Times New Roman" w:hAnsi="Times New Roman" w:eastAsia="Tahoma" w:cs="Times New Roman"/>
                <w:color w:val="000000"/>
                <w:kern w:val="0"/>
                <w:sz w:val="24"/>
                <w:szCs w:val="24"/>
              </w:rPr>
              <w:t>4</w:t>
            </w:r>
          </w:p>
        </w:tc>
      </w:tr>
      <w:tr>
        <w:tblPrEx>
          <w:tblCellMar>
            <w:top w:w="0" w:type="dxa"/>
            <w:left w:w="108" w:type="dxa"/>
            <w:bottom w:w="0" w:type="dxa"/>
            <w:right w:w="108" w:type="dxa"/>
          </w:tblCellMar>
        </w:tblPrEx>
        <w:trPr>
          <w:trHeight w:val="533" w:hRule="exact"/>
          <w:jc w:val="center"/>
        </w:trPr>
        <w:tc>
          <w:tcPr>
            <w:tcW w:w="12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整体评价</w:t>
            </w:r>
          </w:p>
        </w:tc>
        <w:tc>
          <w:tcPr>
            <w:tcW w:w="792"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100</w:t>
            </w:r>
          </w:p>
        </w:tc>
        <w:tc>
          <w:tcPr>
            <w:tcW w:w="4234"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　</w:t>
            </w:r>
          </w:p>
        </w:tc>
        <w:tc>
          <w:tcPr>
            <w:tcW w:w="130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Times New Roman" w:hAnsi="Times New Roman" w:eastAsia="仿宋" w:cs="Times New Roman"/>
                <w:b/>
                <w:bCs/>
                <w:color w:val="000000"/>
                <w:kern w:val="0"/>
                <w:sz w:val="24"/>
              </w:rPr>
            </w:pPr>
            <w:r>
              <w:rPr>
                <w:rFonts w:hint="eastAsia" w:ascii="仿宋" w:hAnsi="仿宋" w:eastAsia="仿宋" w:cs="仿宋"/>
                <w:b/>
                <w:bCs/>
                <w:color w:val="000000"/>
                <w:kern w:val="0"/>
                <w:sz w:val="22"/>
                <w:szCs w:val="22"/>
              </w:rPr>
              <w:t>83.2</w:t>
            </w:r>
          </w:p>
        </w:tc>
      </w:tr>
    </w:tbl>
    <w:p>
      <w:pPr>
        <w:pStyle w:val="12"/>
        <w:ind w:firstLine="560"/>
        <w:rPr>
          <w:rFonts w:cs="Times New Roman"/>
        </w:rPr>
        <w:sectPr>
          <w:pgSz w:w="11906" w:h="16838"/>
          <w:pgMar w:top="1440" w:right="1800" w:bottom="1440" w:left="1800" w:header="851" w:footer="992" w:gutter="0"/>
          <w:cols w:space="425" w:num="1"/>
          <w:titlePg/>
          <w:docGrid w:type="lines" w:linePitch="435" w:charSpace="0"/>
        </w:sectPr>
      </w:pPr>
      <w:r>
        <w:rPr>
          <w:rFonts w:hint="eastAsia" w:cs="Times New Roman"/>
        </w:rPr>
        <w:t>漯河经济技术开发区行政服务中心</w:t>
      </w:r>
      <w:r>
        <w:rPr>
          <w:rFonts w:cs="Times New Roman"/>
        </w:rPr>
        <w:t>“</w:t>
      </w:r>
      <w:r>
        <w:rPr>
          <w:rFonts w:hint="eastAsia" w:cs="Times New Roman"/>
        </w:rPr>
        <w:t>行政服务中心工作经费</w:t>
      </w:r>
      <w:r>
        <w:rPr>
          <w:rFonts w:cs="Times New Roman"/>
        </w:rPr>
        <w:t>”支出绩效评价指标体系总分100分，评价得分</w:t>
      </w:r>
      <w:r>
        <w:rPr>
          <w:rFonts w:hint="eastAsia" w:cs="Times New Roman"/>
        </w:rPr>
        <w:t>83.2</w:t>
      </w:r>
      <w:r>
        <w:rPr>
          <w:rFonts w:cs="Times New Roman"/>
        </w:rPr>
        <w:t>分，得分率为</w:t>
      </w:r>
      <w:r>
        <w:rPr>
          <w:rFonts w:hint="eastAsia" w:cs="Times New Roman"/>
        </w:rPr>
        <w:t>83.2</w:t>
      </w:r>
      <w:r>
        <w:rPr>
          <w:rFonts w:cs="Times New Roman"/>
        </w:rPr>
        <w:t>%。各级评价指标得分情况详见附件3。</w:t>
      </w:r>
    </w:p>
    <w:p>
      <w:pPr>
        <w:pStyle w:val="3"/>
        <w:rPr>
          <w:rFonts w:cs="Times New Roman"/>
        </w:rPr>
      </w:pPr>
      <w:bookmarkStart w:id="44" w:name="_Toc67315588"/>
      <w:bookmarkStart w:id="45" w:name="_Toc22564"/>
      <w:r>
        <w:rPr>
          <w:rFonts w:cs="Times New Roman"/>
        </w:rPr>
        <w:t>四、绩效评价指标分析</w:t>
      </w:r>
      <w:bookmarkEnd w:id="44"/>
      <w:bookmarkEnd w:id="45"/>
    </w:p>
    <w:p>
      <w:pPr>
        <w:pStyle w:val="12"/>
        <w:ind w:firstLine="560"/>
        <w:rPr>
          <w:rFonts w:cs="Times New Roman"/>
        </w:rPr>
      </w:pPr>
      <w:r>
        <w:rPr>
          <w:rFonts w:cs="Times New Roman"/>
        </w:rPr>
        <w:t>本绩效评价指标体系包括项目决策情况、项目过程情况、项目产出情况及项目效果情况，具体分值分布情况如图1：</w:t>
      </w:r>
    </w:p>
    <w:p>
      <w:pPr>
        <w:pStyle w:val="12"/>
        <w:ind w:firstLine="560"/>
        <w:rPr>
          <w:rFonts w:cs="Times New Roman"/>
        </w:rPr>
      </w:pPr>
      <w:r>
        <w:rPr>
          <w:rFonts w:cs="Times New Roman"/>
        </w:rPr>
        <w:drawing>
          <wp:inline distT="0" distB="0" distL="0" distR="0">
            <wp:extent cx="4568190" cy="2889250"/>
            <wp:effectExtent l="19050" t="0" r="22645" b="5751"/>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4"/>
        <w:ind w:firstLine="602"/>
        <w:rPr>
          <w:rFonts w:cs="Times New Roman"/>
        </w:rPr>
      </w:pPr>
      <w:bookmarkStart w:id="46" w:name="_Toc17659"/>
      <w:bookmarkStart w:id="47" w:name="_Toc67315589"/>
      <w:r>
        <w:rPr>
          <w:rFonts w:cs="Times New Roman"/>
        </w:rPr>
        <w:t>（一）项目决策情况（权重15，得分</w:t>
      </w:r>
      <w:r>
        <w:rPr>
          <w:rFonts w:hint="eastAsia" w:cs="Times New Roman"/>
        </w:rPr>
        <w:t>10.25</w:t>
      </w:r>
      <w:r>
        <w:rPr>
          <w:rFonts w:cs="Times New Roman"/>
        </w:rPr>
        <w:t>）</w:t>
      </w:r>
      <w:bookmarkEnd w:id="46"/>
      <w:bookmarkEnd w:id="47"/>
    </w:p>
    <w:p>
      <w:pPr>
        <w:pStyle w:val="5"/>
        <w:ind w:firstLine="562"/>
        <w:rPr>
          <w:rFonts w:cs="Times New Roman"/>
        </w:rPr>
      </w:pPr>
      <w:bookmarkStart w:id="48" w:name="_Toc1904"/>
      <w:bookmarkStart w:id="49" w:name="_Toc67315590"/>
      <w:r>
        <w:rPr>
          <w:rFonts w:cs="Times New Roman"/>
        </w:rPr>
        <w:t>1.项目立项（权重5，得分</w:t>
      </w:r>
      <w:r>
        <w:rPr>
          <w:rFonts w:hint="eastAsia" w:cs="Times New Roman"/>
        </w:rPr>
        <w:t>4.5</w:t>
      </w:r>
      <w:r>
        <w:rPr>
          <w:rFonts w:cs="Times New Roman"/>
        </w:rPr>
        <w:t>）</w:t>
      </w:r>
      <w:bookmarkEnd w:id="48"/>
      <w:bookmarkEnd w:id="49"/>
    </w:p>
    <w:p>
      <w:pPr>
        <w:pStyle w:val="12"/>
        <w:ind w:firstLine="560"/>
        <w:rPr>
          <w:rFonts w:cs="Times New Roman"/>
        </w:rPr>
      </w:pPr>
      <w:r>
        <w:rPr>
          <w:rFonts w:cs="Times New Roman"/>
        </w:rPr>
        <w:t>（1）立项依据充分性（权重2.5，得分2.5）</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项目立项是否符合国家法律法规、国民经济发展规划和相关政策，0.5分；</w:t>
      </w:r>
    </w:p>
    <w:p>
      <w:pPr>
        <w:pStyle w:val="12"/>
        <w:ind w:firstLine="560"/>
        <w:rPr>
          <w:rFonts w:cs="Times New Roman"/>
        </w:rPr>
      </w:pPr>
      <w:r>
        <w:rPr>
          <w:rFonts w:hint="eastAsia" w:ascii="宋体" w:hAnsi="宋体" w:eastAsia="宋体" w:cs="宋体"/>
        </w:rPr>
        <w:t>②</w:t>
      </w:r>
      <w:r>
        <w:rPr>
          <w:rFonts w:cs="Times New Roman"/>
        </w:rPr>
        <w:t>项目立项是否符合行业发展规划和政策要求，0.5分；</w:t>
      </w:r>
    </w:p>
    <w:p>
      <w:pPr>
        <w:pStyle w:val="12"/>
        <w:ind w:firstLine="560"/>
        <w:rPr>
          <w:rFonts w:cs="Times New Roman"/>
        </w:rPr>
      </w:pPr>
      <w:r>
        <w:rPr>
          <w:rFonts w:hint="eastAsia" w:ascii="宋体" w:hAnsi="宋体" w:eastAsia="宋体" w:cs="宋体"/>
        </w:rPr>
        <w:t>③</w:t>
      </w:r>
      <w:r>
        <w:rPr>
          <w:rFonts w:cs="Times New Roman"/>
        </w:rPr>
        <w:t>项目立项是否与部门职责范围相符，属于部门履职所需，系能够充分支持项目立项所要解决的问题；0.5分；</w:t>
      </w:r>
    </w:p>
    <w:p>
      <w:pPr>
        <w:pStyle w:val="12"/>
        <w:ind w:firstLine="560"/>
        <w:rPr>
          <w:rFonts w:cs="Times New Roman"/>
        </w:rPr>
      </w:pPr>
      <w:r>
        <w:rPr>
          <w:rFonts w:hint="eastAsia" w:ascii="宋体" w:hAnsi="宋体" w:eastAsia="宋体" w:cs="宋体"/>
        </w:rPr>
        <w:t>④</w:t>
      </w:r>
      <w:r>
        <w:rPr>
          <w:rFonts w:cs="Times New Roman"/>
        </w:rPr>
        <w:t>项目是否属于公共财政支持范围，是否符合中央、地方事权支出责任划分原则，0.5分；</w:t>
      </w:r>
    </w:p>
    <w:p>
      <w:pPr>
        <w:pStyle w:val="12"/>
        <w:ind w:firstLine="560"/>
        <w:rPr>
          <w:rFonts w:cs="Times New Roman"/>
        </w:rPr>
      </w:pPr>
      <w:r>
        <w:rPr>
          <w:rFonts w:hint="eastAsia" w:ascii="宋体" w:hAnsi="宋体" w:eastAsia="宋体" w:cs="宋体"/>
        </w:rPr>
        <w:t>⑤</w:t>
      </w:r>
      <w:r>
        <w:rPr>
          <w:rFonts w:cs="Times New Roman"/>
        </w:rPr>
        <w:t>该项目是否与相关部门同类项目或者部门内部相关项目交叉重复，0.5分。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hint="eastAsia" w:ascii="仿宋" w:hAnsi="仿宋" w:cs="仿宋"/>
        </w:rPr>
        <w:t>行政服务中心</w:t>
      </w:r>
      <w:r>
        <w:rPr>
          <w:rFonts w:hint="eastAsia" w:cs="Times New Roman"/>
        </w:rPr>
        <w:t>工作经费预算</w:t>
      </w:r>
      <w:r>
        <w:rPr>
          <w:rFonts w:cs="Times New Roman"/>
        </w:rPr>
        <w:t>申请经漯河经济技术开发区</w:t>
      </w:r>
      <w:r>
        <w:rPr>
          <w:rFonts w:hint="eastAsia" w:cs="Times New Roman"/>
        </w:rPr>
        <w:t>行政服务中心、财政局</w:t>
      </w:r>
      <w:r>
        <w:rPr>
          <w:rFonts w:cs="Times New Roman"/>
        </w:rPr>
        <w:t>审批通过</w:t>
      </w:r>
      <w:r>
        <w:rPr>
          <w:rFonts w:hint="eastAsia" w:cs="Times New Roman"/>
        </w:rPr>
        <w:t>，</w:t>
      </w:r>
      <w:r>
        <w:rPr>
          <w:rFonts w:cs="Times New Roman"/>
        </w:rPr>
        <w:t>符合国家法律法规、地方相关规定，符合国民经济发展规划和相关政策要求，得0.5分；</w:t>
      </w:r>
    </w:p>
    <w:p>
      <w:pPr>
        <w:pStyle w:val="12"/>
        <w:ind w:firstLine="560"/>
        <w:rPr>
          <w:rFonts w:cs="Times New Roman"/>
        </w:rPr>
      </w:pPr>
      <w:r>
        <w:rPr>
          <w:rFonts w:hint="eastAsia" w:cs="Times New Roman"/>
        </w:rPr>
        <w:t>②行政服务中心工作经费主要梳理行政审批事项，完善细化各项目办理流程，各类会议服务，</w:t>
      </w:r>
      <w:r>
        <w:rPr>
          <w:rFonts w:cs="Times New Roman"/>
        </w:rPr>
        <w:t>符合行业发展规划和政策要求得0.5分；</w:t>
      </w:r>
    </w:p>
    <w:p>
      <w:pPr>
        <w:pStyle w:val="12"/>
        <w:ind w:firstLine="560"/>
        <w:rPr>
          <w:rFonts w:cs="Times New Roman"/>
        </w:rPr>
      </w:pPr>
      <w:r>
        <w:rPr>
          <w:rFonts w:hint="eastAsia" w:ascii="宋体" w:hAnsi="宋体" w:eastAsia="宋体" w:cs="宋体"/>
        </w:rPr>
        <w:t>③</w:t>
      </w:r>
      <w:r>
        <w:rPr>
          <w:rFonts w:hint="eastAsia" w:cs="Times New Roman"/>
        </w:rPr>
        <w:t>漯河市经济技术开发区行政服务中心的职责有“负责对区行政服务中心服务窗口及其工作人员的管理和考核；负责对进入行政服务中心项目的确定、调整；受理对行政服务中心工作人员违规违纪行为的投诉，并提出处理建议；负责开发区规划展览馆、会议室的管理和服务工作”。行政服务中心工作经费项目</w:t>
      </w:r>
      <w:r>
        <w:rPr>
          <w:rFonts w:cs="Times New Roman"/>
        </w:rPr>
        <w:t>属于</w:t>
      </w:r>
      <w:r>
        <w:rPr>
          <w:rFonts w:hint="eastAsia" w:cs="Times New Roman"/>
        </w:rPr>
        <w:t>漯河经济技术开发区行政服务中心</w:t>
      </w:r>
      <w:r>
        <w:rPr>
          <w:rFonts w:cs="Times New Roman"/>
        </w:rPr>
        <w:t>部门履职所需，得0.5分；</w:t>
      </w:r>
    </w:p>
    <w:p>
      <w:pPr>
        <w:pStyle w:val="12"/>
        <w:ind w:firstLine="560"/>
        <w:rPr>
          <w:rFonts w:cs="Times New Roman"/>
        </w:rPr>
      </w:pPr>
      <w:r>
        <w:rPr>
          <w:rFonts w:hint="eastAsia" w:ascii="宋体" w:hAnsi="宋体" w:eastAsia="宋体" w:cs="宋体"/>
        </w:rPr>
        <w:t>④</w:t>
      </w:r>
      <w:r>
        <w:rPr>
          <w:rFonts w:hint="eastAsia" w:ascii="仿宋" w:hAnsi="仿宋" w:cs="仿宋"/>
        </w:rPr>
        <w:t>行政服务中心工作经费项目服务民生</w:t>
      </w:r>
      <w:r>
        <w:rPr>
          <w:rFonts w:hint="eastAsia" w:eastAsia="宋体" w:cs="Times New Roman"/>
        </w:rPr>
        <w:t>，</w:t>
      </w:r>
      <w:r>
        <w:rPr>
          <w:rFonts w:cs="Times New Roman"/>
        </w:rPr>
        <w:t>是财政部门贯彻落实党中央、国务院精神，坚持以人为本，支持加强基本公共服务的重要举措，是公共财政的重要职责，项目属于公共财政支持范围，符合中央、地方事权支出责任划分原则，得0.5分；</w:t>
      </w:r>
    </w:p>
    <w:p>
      <w:pPr>
        <w:pStyle w:val="12"/>
        <w:ind w:firstLine="560"/>
        <w:rPr>
          <w:rFonts w:cs="Times New Roman"/>
        </w:rPr>
      </w:pPr>
      <w:r>
        <w:rPr>
          <w:rFonts w:hint="eastAsia" w:ascii="宋体" w:hAnsi="宋体" w:eastAsia="宋体" w:cs="宋体"/>
        </w:rPr>
        <w:t>⑤</w:t>
      </w:r>
      <w:r>
        <w:rPr>
          <w:rFonts w:cs="Times New Roman"/>
        </w:rPr>
        <w:t>该项目由</w:t>
      </w:r>
      <w:r>
        <w:rPr>
          <w:rFonts w:hint="eastAsia" w:cs="Times New Roman"/>
        </w:rPr>
        <w:t>漯河经济技术开发区行政服务中心</w:t>
      </w:r>
      <w:r>
        <w:rPr>
          <w:rFonts w:cs="Times New Roman"/>
        </w:rPr>
        <w:t>独立立项项目，不存在与相关部门同类项目或者部门内部相关项目交叉重复交叉的情况，得0.5分。</w:t>
      </w:r>
    </w:p>
    <w:p>
      <w:pPr>
        <w:pStyle w:val="12"/>
        <w:ind w:firstLine="560"/>
        <w:rPr>
          <w:rFonts w:cs="Times New Roman"/>
        </w:rPr>
      </w:pPr>
      <w:r>
        <w:rPr>
          <w:rFonts w:cs="Times New Roman"/>
        </w:rPr>
        <w:t>（2）立项程序规范性（权重2.5，得分</w:t>
      </w:r>
      <w:r>
        <w:rPr>
          <w:rFonts w:hint="eastAsia" w:cs="Times New Roman"/>
        </w:rPr>
        <w:t>2</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项目是否按照规定的程序申请设立，0.75分；</w:t>
      </w:r>
    </w:p>
    <w:p>
      <w:pPr>
        <w:pStyle w:val="12"/>
        <w:ind w:firstLine="560"/>
        <w:rPr>
          <w:rFonts w:cs="Times New Roman"/>
        </w:rPr>
      </w:pPr>
      <w:r>
        <w:rPr>
          <w:rFonts w:hint="eastAsia" w:ascii="宋体" w:hAnsi="宋体" w:eastAsia="宋体" w:cs="宋体"/>
        </w:rPr>
        <w:t>②</w:t>
      </w:r>
      <w:r>
        <w:rPr>
          <w:rFonts w:cs="Times New Roman"/>
        </w:rPr>
        <w:t>审批文件、材料是否符合相关要求，0.75分；</w:t>
      </w:r>
    </w:p>
    <w:p>
      <w:pPr>
        <w:pStyle w:val="12"/>
        <w:ind w:firstLine="560"/>
        <w:rPr>
          <w:rFonts w:cs="Times New Roman"/>
        </w:rPr>
      </w:pPr>
      <w:r>
        <w:rPr>
          <w:rFonts w:hint="eastAsia" w:ascii="宋体" w:hAnsi="宋体" w:eastAsia="宋体" w:cs="宋体"/>
        </w:rPr>
        <w:t>③</w:t>
      </w:r>
      <w:r>
        <w:rPr>
          <w:rFonts w:cs="Times New Roman"/>
        </w:rPr>
        <w:t>事前是否已经过必要的可行性研究、专家论证、风险评估、集体决策等，1分。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hint="eastAsia" w:ascii="仿宋" w:hAnsi="仿宋" w:cs="仿宋"/>
        </w:rPr>
        <w:t>为了</w:t>
      </w:r>
      <w:r>
        <w:rPr>
          <w:rFonts w:hint="eastAsia" w:ascii="仿宋_GB2312"/>
        </w:rPr>
        <w:t>提高行政效能，全面提升中心的服务质量和水平，树立良好的服务型政府形象，打造一流的政务服务环境</w:t>
      </w:r>
      <w:r>
        <w:rPr>
          <w:rFonts w:hint="eastAsia" w:cs="Times New Roman"/>
        </w:rPr>
        <w:t>。</w:t>
      </w:r>
      <w:r>
        <w:rPr>
          <w:rFonts w:cs="Times New Roman"/>
        </w:rPr>
        <w:t>该项目资金申请按照有关程序和规定依法执行，项目符合按照规定的程序申请设立要求，得0.75分；</w:t>
      </w:r>
    </w:p>
    <w:p>
      <w:pPr>
        <w:pStyle w:val="12"/>
        <w:ind w:firstLine="560"/>
        <w:rPr>
          <w:rFonts w:cs="Times New Roman"/>
        </w:rPr>
      </w:pPr>
      <w:r>
        <w:rPr>
          <w:rFonts w:hint="eastAsia" w:ascii="宋体" w:hAnsi="宋体" w:eastAsia="宋体" w:cs="宋体"/>
        </w:rPr>
        <w:t>②</w:t>
      </w:r>
      <w:r>
        <w:rPr>
          <w:rFonts w:cs="Times New Roman"/>
        </w:rPr>
        <w:t>由上述</w:t>
      </w:r>
      <w:r>
        <w:rPr>
          <w:rFonts w:hint="eastAsia" w:ascii="宋体" w:hAnsi="宋体" w:eastAsia="宋体" w:cs="宋体"/>
        </w:rPr>
        <w:t>①</w:t>
      </w:r>
      <w:r>
        <w:rPr>
          <w:rFonts w:cs="Times New Roman"/>
        </w:rPr>
        <w:t>中内容可得出结论，项目立项申请及方案、批复文件均按照相关程序出具，审批文件、材料均符合相关要求，得0.75分；</w:t>
      </w:r>
    </w:p>
    <w:p>
      <w:pPr>
        <w:pStyle w:val="12"/>
        <w:ind w:firstLine="560"/>
        <w:rPr>
          <w:rFonts w:cs="Times New Roman"/>
        </w:rPr>
      </w:pPr>
      <w:r>
        <w:rPr>
          <w:rFonts w:hint="eastAsia" w:ascii="宋体" w:hAnsi="宋体" w:eastAsia="宋体" w:cs="宋体"/>
        </w:rPr>
        <w:t>③</w:t>
      </w:r>
      <w:r>
        <w:rPr>
          <w:rFonts w:hint="eastAsia" w:cs="Times New Roman"/>
        </w:rPr>
        <w:t>该</w:t>
      </w:r>
      <w:r>
        <w:rPr>
          <w:rFonts w:cs="Times New Roman"/>
        </w:rPr>
        <w:t>资金依据国家</w:t>
      </w:r>
      <w:r>
        <w:rPr>
          <w:rFonts w:hint="eastAsia" w:cs="Times New Roman"/>
        </w:rPr>
        <w:t>、</w:t>
      </w:r>
      <w:r>
        <w:rPr>
          <w:rFonts w:cs="Times New Roman"/>
        </w:rPr>
        <w:t>省</w:t>
      </w:r>
      <w:r>
        <w:rPr>
          <w:rFonts w:hint="eastAsia" w:cs="Times New Roman"/>
        </w:rPr>
        <w:t>、</w:t>
      </w:r>
      <w:r>
        <w:rPr>
          <w:rFonts w:cs="Times New Roman"/>
        </w:rPr>
        <w:t>市级相关文件规定进行申请，但根据资金投入情况来看</w:t>
      </w:r>
      <w:r>
        <w:rPr>
          <w:rFonts w:hint="eastAsia" w:cs="Times New Roman"/>
        </w:rPr>
        <w:t>，</w:t>
      </w:r>
      <w:r>
        <w:rPr>
          <w:rFonts w:cs="Times New Roman"/>
        </w:rPr>
        <w:t>该资金</w:t>
      </w:r>
      <w:r>
        <w:rPr>
          <w:rFonts w:hint="eastAsia" w:cs="Times New Roman"/>
        </w:rPr>
        <w:t>实际支出与预算存在差异，说明资金分配未进行详细充分的论证与测算，</w:t>
      </w:r>
      <w:r>
        <w:rPr>
          <w:rFonts w:cs="Times New Roman"/>
        </w:rPr>
        <w:t>得</w:t>
      </w:r>
      <w:r>
        <w:rPr>
          <w:rFonts w:hint="eastAsia" w:cs="Times New Roman"/>
        </w:rPr>
        <w:t>0.5</w:t>
      </w:r>
      <w:r>
        <w:rPr>
          <w:rFonts w:cs="Times New Roman"/>
        </w:rPr>
        <w:t>分。</w:t>
      </w:r>
    </w:p>
    <w:p>
      <w:pPr>
        <w:pStyle w:val="5"/>
        <w:ind w:firstLine="562"/>
        <w:rPr>
          <w:rFonts w:cs="Times New Roman"/>
        </w:rPr>
      </w:pPr>
      <w:bookmarkStart w:id="50" w:name="_Toc20755"/>
      <w:bookmarkStart w:id="51" w:name="_Toc67315591"/>
      <w:r>
        <w:rPr>
          <w:rFonts w:cs="Times New Roman"/>
        </w:rPr>
        <w:t>2.绩效目标（权重5，得分</w:t>
      </w:r>
      <w:r>
        <w:rPr>
          <w:rFonts w:hint="eastAsia" w:cs="Times New Roman"/>
        </w:rPr>
        <w:t>3.75</w:t>
      </w:r>
      <w:r>
        <w:rPr>
          <w:rFonts w:cs="Times New Roman"/>
        </w:rPr>
        <w:t>）</w:t>
      </w:r>
      <w:bookmarkEnd w:id="50"/>
      <w:bookmarkEnd w:id="51"/>
    </w:p>
    <w:p>
      <w:pPr>
        <w:pStyle w:val="12"/>
        <w:ind w:firstLine="560"/>
        <w:rPr>
          <w:rFonts w:cs="Times New Roman"/>
        </w:rPr>
      </w:pPr>
      <w:r>
        <w:rPr>
          <w:rFonts w:cs="Times New Roman"/>
        </w:rPr>
        <w:t>（1）绩效目标合理性（权重2.5，得分2.</w:t>
      </w:r>
      <w:r>
        <w:rPr>
          <w:rFonts w:hint="eastAsia" w:cs="Times New Roman"/>
        </w:rPr>
        <w:t>25</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项目是否有绩效目标，0.5分；</w:t>
      </w:r>
    </w:p>
    <w:p>
      <w:pPr>
        <w:pStyle w:val="12"/>
        <w:ind w:firstLine="560"/>
        <w:rPr>
          <w:rFonts w:cs="Times New Roman"/>
        </w:rPr>
      </w:pPr>
      <w:r>
        <w:rPr>
          <w:rFonts w:hint="eastAsia" w:ascii="宋体" w:hAnsi="宋体" w:eastAsia="宋体" w:cs="宋体"/>
        </w:rPr>
        <w:t>②</w:t>
      </w:r>
      <w:r>
        <w:rPr>
          <w:rFonts w:cs="Times New Roman"/>
        </w:rPr>
        <w:t>是否与项目实施单位或委托单位职责密切相关，0.5分；</w:t>
      </w:r>
    </w:p>
    <w:p>
      <w:pPr>
        <w:pStyle w:val="12"/>
        <w:ind w:firstLine="560"/>
        <w:rPr>
          <w:rFonts w:cs="Times New Roman"/>
        </w:rPr>
      </w:pPr>
      <w:r>
        <w:rPr>
          <w:rFonts w:hint="eastAsia" w:ascii="宋体" w:hAnsi="宋体" w:eastAsia="宋体" w:cs="宋体"/>
        </w:rPr>
        <w:t>③</w:t>
      </w:r>
      <w:r>
        <w:rPr>
          <w:rFonts w:cs="Times New Roman"/>
        </w:rPr>
        <w:t>项目预期产出和效果是否符合正常的业绩水平，0.5分；</w:t>
      </w:r>
    </w:p>
    <w:p>
      <w:pPr>
        <w:pStyle w:val="12"/>
        <w:ind w:firstLine="560"/>
        <w:rPr>
          <w:rFonts w:cs="Times New Roman"/>
        </w:rPr>
      </w:pPr>
      <w:r>
        <w:rPr>
          <w:rFonts w:hint="eastAsia" w:ascii="宋体" w:hAnsi="宋体" w:eastAsia="宋体" w:cs="宋体"/>
        </w:rPr>
        <w:t>④</w:t>
      </w:r>
      <w:r>
        <w:rPr>
          <w:rFonts w:cs="Times New Roman"/>
        </w:rPr>
        <w:t>是否符合国家相关法律法规、国民经济发展规划和党委政府决策，0.5分；</w:t>
      </w:r>
    </w:p>
    <w:p>
      <w:pPr>
        <w:pStyle w:val="12"/>
        <w:ind w:firstLine="560"/>
        <w:rPr>
          <w:rFonts w:cs="Times New Roman"/>
        </w:rPr>
      </w:pPr>
      <w:r>
        <w:rPr>
          <w:rFonts w:hint="eastAsia" w:ascii="宋体" w:hAnsi="宋体" w:eastAsia="宋体" w:cs="宋体"/>
        </w:rPr>
        <w:t>⑤</w:t>
      </w:r>
      <w:r>
        <w:rPr>
          <w:rFonts w:cs="Times New Roman"/>
        </w:rPr>
        <w:t>项目是否为促进事业发展所必需，0.5分。</w:t>
      </w:r>
    </w:p>
    <w:p>
      <w:pPr>
        <w:pStyle w:val="12"/>
        <w:ind w:firstLine="560"/>
        <w:rPr>
          <w:rFonts w:cs="Times New Roman"/>
        </w:rPr>
      </w:pPr>
      <w:r>
        <w:rPr>
          <w:rFonts w:ascii="Segoe UI Symbol" w:hAnsi="Segoe UI Symbol" w:cs="Segoe UI Symbol"/>
        </w:rPr>
        <w:t>★</w:t>
      </w:r>
      <w:r>
        <w:rPr>
          <w:rFonts w:cs="Times New Roman"/>
        </w:rPr>
        <w:t>如未要求制定预算绩效目标，也可考核其他工作任务目标。</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cs="Times New Roman"/>
        </w:rPr>
        <w:t>项目的整体绩效目标：</w:t>
      </w:r>
      <w:r>
        <w:rPr>
          <w:rFonts w:hint="eastAsia" w:cs="Times New Roman"/>
        </w:rPr>
        <w:t>按照全年目标任务，强化服务意识，提升服务质量</w:t>
      </w:r>
      <w:r>
        <w:rPr>
          <w:rFonts w:cs="Times New Roman"/>
        </w:rPr>
        <w:t>，有绩效目标得0.5分；</w:t>
      </w:r>
    </w:p>
    <w:p>
      <w:pPr>
        <w:pStyle w:val="12"/>
        <w:ind w:firstLine="560"/>
        <w:rPr>
          <w:rFonts w:cs="Times New Roman"/>
        </w:rPr>
      </w:pPr>
      <w:r>
        <w:rPr>
          <w:rFonts w:hint="eastAsia" w:ascii="宋体" w:hAnsi="宋体" w:eastAsia="宋体" w:cs="宋体"/>
        </w:rPr>
        <w:t>②</w:t>
      </w:r>
      <w:r>
        <w:rPr>
          <w:rFonts w:cs="Times New Roman"/>
        </w:rPr>
        <w:t>该项目主要是为</w:t>
      </w:r>
      <w:r>
        <w:rPr>
          <w:rFonts w:hint="eastAsia" w:ascii="仿宋_GB2312"/>
        </w:rPr>
        <w:t>提高行政效能，全面提升中心的服务质量和水平，树立良好的服务型政府形象，打造一流的政务服务环境</w:t>
      </w:r>
      <w:r>
        <w:rPr>
          <w:rFonts w:hint="eastAsia" w:cs="Times New Roman"/>
        </w:rPr>
        <w:t>，</w:t>
      </w:r>
      <w:r>
        <w:rPr>
          <w:rFonts w:cs="Times New Roman"/>
        </w:rPr>
        <w:t>与</w:t>
      </w:r>
      <w:r>
        <w:rPr>
          <w:rFonts w:hint="eastAsia" w:cs="Times New Roman"/>
        </w:rPr>
        <w:t>漯河经济技术开发区行政服务中心</w:t>
      </w:r>
      <w:r>
        <w:rPr>
          <w:rFonts w:cs="Times New Roman"/>
        </w:rPr>
        <w:t>部门职责密切相关，得0.5分；</w:t>
      </w:r>
    </w:p>
    <w:p>
      <w:pPr>
        <w:pStyle w:val="12"/>
        <w:ind w:firstLine="560"/>
        <w:rPr>
          <w:rFonts w:cs="Times New Roman"/>
        </w:rPr>
      </w:pPr>
      <w:r>
        <w:rPr>
          <w:rFonts w:hint="eastAsia" w:ascii="宋体" w:hAnsi="宋体" w:eastAsia="宋体" w:cs="宋体"/>
        </w:rPr>
        <w:t>③</w:t>
      </w:r>
      <w:r>
        <w:rPr>
          <w:rFonts w:hint="eastAsia" w:ascii="仿宋" w:hAnsi="仿宋" w:cs="仿宋"/>
        </w:rPr>
        <w:t>漯河经济技术开发区行政服务中心提</w:t>
      </w:r>
      <w:r>
        <w:rPr>
          <w:rFonts w:cs="Times New Roman"/>
        </w:rPr>
        <w:t>供的《</w:t>
      </w:r>
      <w:r>
        <w:rPr>
          <w:rFonts w:hint="eastAsia" w:cs="Times New Roman"/>
        </w:rPr>
        <w:t>开发区财政资金支付申请表</w:t>
      </w:r>
      <w:r>
        <w:rPr>
          <w:rFonts w:cs="Times New Roman"/>
        </w:rPr>
        <w:t>》</w:t>
      </w:r>
      <w:r>
        <w:rPr>
          <w:rFonts w:hint="eastAsia" w:cs="Times New Roman"/>
        </w:rPr>
        <w:t>及费用请示</w:t>
      </w:r>
      <w:r>
        <w:rPr>
          <w:rFonts w:cs="Times New Roman"/>
        </w:rPr>
        <w:t>，对202</w:t>
      </w:r>
      <w:r>
        <w:rPr>
          <w:rFonts w:hint="eastAsia" w:cs="Times New Roman"/>
        </w:rPr>
        <w:t>1</w:t>
      </w:r>
      <w:r>
        <w:rPr>
          <w:rFonts w:cs="Times New Roman"/>
        </w:rPr>
        <w:t>年度</w:t>
      </w:r>
      <w:r>
        <w:rPr>
          <w:rFonts w:hint="eastAsia" w:cs="Times New Roman"/>
        </w:rPr>
        <w:t>漯河经济技术开发区行政服务中心</w:t>
      </w:r>
      <w:r>
        <w:rPr>
          <w:rFonts w:cs="Times New Roman"/>
        </w:rPr>
        <w:t>预算支出做出了说明，但资金的实际支付与预算存在差额</w:t>
      </w:r>
      <w:r>
        <w:rPr>
          <w:rFonts w:hint="eastAsia" w:cs="Times New Roman"/>
        </w:rPr>
        <w:t>，</w:t>
      </w:r>
      <w:r>
        <w:rPr>
          <w:rFonts w:cs="Times New Roman"/>
          <w:szCs w:val="40"/>
        </w:rPr>
        <w:t>相关活动和项目的开展未全部按照计划和</w:t>
      </w:r>
      <w:r>
        <w:rPr>
          <w:rFonts w:hint="eastAsia" w:cs="Times New Roman"/>
          <w:szCs w:val="40"/>
        </w:rPr>
        <w:t>拨付</w:t>
      </w:r>
      <w:r>
        <w:rPr>
          <w:rFonts w:cs="Times New Roman"/>
          <w:szCs w:val="40"/>
        </w:rPr>
        <w:t>执行完成，</w:t>
      </w:r>
      <w:r>
        <w:rPr>
          <w:rFonts w:cs="Times New Roman"/>
        </w:rPr>
        <w:t>预期产出和效果</w:t>
      </w:r>
      <w:r>
        <w:rPr>
          <w:rFonts w:hint="eastAsia" w:cs="Times New Roman"/>
        </w:rPr>
        <w:t>与</w:t>
      </w:r>
      <w:r>
        <w:rPr>
          <w:rFonts w:cs="Times New Roman"/>
        </w:rPr>
        <w:t>实际产出和效果存在差异，得0.</w:t>
      </w:r>
      <w:r>
        <w:rPr>
          <w:rFonts w:hint="eastAsia" w:cs="Times New Roman"/>
        </w:rPr>
        <w:t>25</w:t>
      </w:r>
      <w:r>
        <w:rPr>
          <w:rFonts w:cs="Times New Roman"/>
        </w:rPr>
        <w:t>分；</w:t>
      </w:r>
    </w:p>
    <w:p>
      <w:pPr>
        <w:pStyle w:val="12"/>
        <w:ind w:firstLine="560"/>
        <w:rPr>
          <w:rFonts w:cs="Times New Roman"/>
        </w:rPr>
      </w:pPr>
      <w:r>
        <w:rPr>
          <w:rFonts w:hint="eastAsia" w:ascii="宋体" w:hAnsi="宋体" w:eastAsia="宋体" w:cs="宋体"/>
        </w:rPr>
        <w:t>④</w:t>
      </w:r>
      <w:r>
        <w:rPr>
          <w:rFonts w:cs="Times New Roman"/>
        </w:rPr>
        <w:t>项目绩效制定符合国家相关法律法规、国民经济发展规划和党委政府决策，得0.5分；</w:t>
      </w:r>
    </w:p>
    <w:p>
      <w:pPr>
        <w:pStyle w:val="12"/>
        <w:ind w:firstLine="560"/>
        <w:rPr>
          <w:rFonts w:cs="Times New Roman"/>
        </w:rPr>
      </w:pPr>
      <w:r>
        <w:rPr>
          <w:rFonts w:hint="eastAsia" w:ascii="宋体" w:hAnsi="宋体" w:eastAsia="宋体" w:cs="宋体"/>
        </w:rPr>
        <w:t>⑤</w:t>
      </w:r>
      <w:r>
        <w:rPr>
          <w:rFonts w:cs="Times New Roman"/>
        </w:rPr>
        <w:t>该项目的实施有效</w:t>
      </w:r>
      <w:r>
        <w:rPr>
          <w:rFonts w:hint="eastAsia" w:ascii="仿宋_GB2312"/>
        </w:rPr>
        <w:t>提高行政效能，全面提升中心的服务质量和水平，树立良好的服务型政府形象</w:t>
      </w:r>
      <w:r>
        <w:rPr>
          <w:rFonts w:cs="Times New Roman"/>
        </w:rPr>
        <w:t>。项目为促进</w:t>
      </w:r>
      <w:r>
        <w:rPr>
          <w:rFonts w:hint="eastAsia" w:cs="Times New Roman"/>
        </w:rPr>
        <w:t>城市</w:t>
      </w:r>
      <w:r>
        <w:rPr>
          <w:rFonts w:cs="Times New Roman"/>
        </w:rPr>
        <w:t>发展所必需，得0.5分。</w:t>
      </w:r>
    </w:p>
    <w:p>
      <w:pPr>
        <w:pStyle w:val="12"/>
        <w:ind w:firstLine="560"/>
        <w:rPr>
          <w:rFonts w:cs="Times New Roman"/>
        </w:rPr>
      </w:pPr>
      <w:r>
        <w:rPr>
          <w:rFonts w:cs="Times New Roman"/>
        </w:rPr>
        <w:t>（2）绩效指标明确性（权重2.5，得分</w:t>
      </w:r>
      <w:r>
        <w:rPr>
          <w:rFonts w:hint="eastAsia" w:cs="Times New Roman"/>
        </w:rPr>
        <w:t>1.5</w:t>
      </w:r>
      <w:r>
        <w:rPr>
          <w:rFonts w:cs="Times New Roman"/>
        </w:rPr>
        <w:t>分）</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是否将项目绩效目标细化分解为具体的绩效指标，1分；</w:t>
      </w:r>
    </w:p>
    <w:p>
      <w:pPr>
        <w:pStyle w:val="12"/>
        <w:ind w:firstLine="560"/>
        <w:rPr>
          <w:rFonts w:cs="Times New Roman"/>
        </w:rPr>
      </w:pPr>
      <w:r>
        <w:rPr>
          <w:rFonts w:hint="eastAsia" w:ascii="宋体" w:hAnsi="宋体" w:eastAsia="宋体" w:cs="宋体"/>
        </w:rPr>
        <w:t>②</w:t>
      </w:r>
      <w:r>
        <w:rPr>
          <w:rFonts w:cs="Times New Roman"/>
        </w:rPr>
        <w:t>是否通过清晰、可衡量的指标值予以体现，0.5分；</w:t>
      </w:r>
    </w:p>
    <w:p>
      <w:pPr>
        <w:pStyle w:val="12"/>
        <w:ind w:firstLine="560"/>
        <w:rPr>
          <w:rFonts w:cs="Times New Roman"/>
        </w:rPr>
      </w:pPr>
      <w:r>
        <w:rPr>
          <w:rFonts w:hint="eastAsia" w:ascii="宋体" w:hAnsi="宋体" w:eastAsia="宋体" w:cs="宋体"/>
        </w:rPr>
        <w:t>③</w:t>
      </w:r>
      <w:r>
        <w:rPr>
          <w:rFonts w:cs="Times New Roman"/>
        </w:rPr>
        <w:t>是否与项目目标任务数或计划数相对应，0.5分；</w:t>
      </w:r>
    </w:p>
    <w:p>
      <w:pPr>
        <w:pStyle w:val="12"/>
        <w:ind w:firstLine="560"/>
        <w:rPr>
          <w:rFonts w:cs="Times New Roman"/>
        </w:rPr>
      </w:pPr>
      <w:r>
        <w:rPr>
          <w:rFonts w:hint="eastAsia" w:ascii="宋体" w:hAnsi="宋体" w:eastAsia="宋体" w:cs="宋体"/>
        </w:rPr>
        <w:t>④</w:t>
      </w:r>
      <w:r>
        <w:rPr>
          <w:rFonts w:cs="Times New Roman"/>
        </w:rPr>
        <w:t>是否与预算确定的项目投资额或资金量相匹配，0.5分。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cs="Times New Roman"/>
        </w:rPr>
        <w:t>项目绩效目标进行了细化分解，细分为</w:t>
      </w:r>
      <w:r>
        <w:rPr>
          <w:rFonts w:hint="eastAsia" w:cs="Times New Roman"/>
        </w:rPr>
        <w:t>招商信息工作、与市政务服务和大数据管理局对接工作、窗口投诉和网上投诉的处置工作、市重点项目联审联批工作，入驻开发区企业的证件办理全程协助服务工作、保证国家级、省级开发区评价等相关工作、保证上级、党工委、管委会等交办的其他重点工作完成工作</w:t>
      </w:r>
      <w:r>
        <w:rPr>
          <w:rFonts w:cs="Times New Roman"/>
        </w:rPr>
        <w:t>等目标，</w:t>
      </w:r>
      <w:r>
        <w:rPr>
          <w:rFonts w:hint="eastAsia" w:cs="Times New Roman"/>
        </w:rPr>
        <w:t>但未将该中心的全部重点工作任务设置可考核的指标，无法与各专业工作经费完全匹配，得0.5分</w:t>
      </w:r>
      <w:r>
        <w:rPr>
          <w:rFonts w:cs="Times New Roman"/>
        </w:rPr>
        <w:t>；</w:t>
      </w:r>
    </w:p>
    <w:p>
      <w:pPr>
        <w:pStyle w:val="12"/>
        <w:ind w:firstLine="560"/>
        <w:rPr>
          <w:rFonts w:cs="Times New Roman"/>
        </w:rPr>
      </w:pPr>
      <w:r>
        <w:rPr>
          <w:rFonts w:hint="eastAsia" w:ascii="宋体" w:hAnsi="宋体" w:eastAsia="宋体" w:cs="宋体"/>
        </w:rPr>
        <w:t>②</w:t>
      </w:r>
      <w:r>
        <w:rPr>
          <w:rFonts w:cs="Times New Roman"/>
        </w:rPr>
        <w:t>上述绩效目标的指标值分别为：</w:t>
      </w:r>
      <w:r>
        <w:rPr>
          <w:rFonts w:hint="eastAsia" w:cs="Times New Roman"/>
        </w:rPr>
        <w:t>梳理行政审批事项，完善细化各项目办理流程392项，并整理归档</w:t>
      </w:r>
      <w:r>
        <w:rPr>
          <w:rFonts w:hint="eastAsia" w:ascii="仿宋" w:hAnsi="仿宋" w:cs="仿宋"/>
          <w:bCs/>
          <w:color w:val="000000"/>
          <w:kern w:val="0"/>
          <w:sz w:val="30"/>
          <w:szCs w:val="30"/>
          <w:shd w:val="clear" w:color="auto" w:fill="FFFFFF"/>
        </w:rPr>
        <w:t>。受理各类办件2240件，办结率100%，办结时间较去年进一步缩短，群众满意率达到95%以上。各类会议服务1095余次，满意率97%。但该指标未体现该中心的全部重点工作与计划，无法与行政服务中心工作经费完全匹配，</w:t>
      </w:r>
      <w:r>
        <w:rPr>
          <w:rFonts w:cs="Times New Roman"/>
        </w:rPr>
        <w:t>得0.</w:t>
      </w:r>
      <w:r>
        <w:rPr>
          <w:rFonts w:hint="eastAsia" w:cs="Times New Roman"/>
        </w:rPr>
        <w:t>2</w:t>
      </w:r>
      <w:r>
        <w:rPr>
          <w:rFonts w:cs="Times New Roman"/>
        </w:rPr>
        <w:t>5分；</w:t>
      </w:r>
    </w:p>
    <w:p>
      <w:pPr>
        <w:pStyle w:val="12"/>
        <w:ind w:firstLine="560"/>
        <w:rPr>
          <w:rFonts w:cs="Times New Roman"/>
        </w:rPr>
      </w:pPr>
      <w:r>
        <w:rPr>
          <w:rFonts w:hint="eastAsia" w:ascii="宋体" w:hAnsi="宋体" w:eastAsia="宋体" w:cs="宋体"/>
        </w:rPr>
        <w:t>③</w:t>
      </w:r>
      <w:r>
        <w:rPr>
          <w:rFonts w:cs="Times New Roman"/>
        </w:rPr>
        <w:t>绩效目标</w:t>
      </w:r>
      <w:r>
        <w:rPr>
          <w:rFonts w:hint="eastAsia" w:cs="Times New Roman"/>
        </w:rPr>
        <w:t>为强化服务意识，提升服务质量，</w:t>
      </w:r>
      <w:r>
        <w:rPr>
          <w:rFonts w:cs="Times New Roman"/>
        </w:rPr>
        <w:t>与项目年度任务数相对应，得0.5分；</w:t>
      </w:r>
    </w:p>
    <w:p>
      <w:pPr>
        <w:pStyle w:val="12"/>
        <w:ind w:firstLine="560"/>
        <w:rPr>
          <w:rFonts w:eastAsia="楷体_GB2312" w:cs="Times New Roman"/>
        </w:rPr>
      </w:pPr>
      <w:r>
        <w:rPr>
          <w:rFonts w:hint="eastAsia" w:ascii="宋体" w:hAnsi="宋体" w:eastAsia="宋体" w:cs="宋体"/>
        </w:rPr>
        <w:t>④</w:t>
      </w:r>
      <w:r>
        <w:rPr>
          <w:rFonts w:cs="Times New Roman"/>
        </w:rPr>
        <w:t>本项目总目标为</w:t>
      </w:r>
      <w:r>
        <w:rPr>
          <w:rFonts w:hint="eastAsia" w:cs="Times New Roman"/>
        </w:rPr>
        <w:t>强化服务意识，提升服务质量，申请年初预算为240000元，全年预算为240000元，</w:t>
      </w:r>
      <w:r>
        <w:rPr>
          <w:rFonts w:cs="Times New Roman"/>
        </w:rPr>
        <w:t>实际总支出为</w:t>
      </w:r>
      <w:r>
        <w:rPr>
          <w:rFonts w:hint="eastAsia" w:cs="Times New Roman"/>
        </w:rPr>
        <w:t>231451.26</w:t>
      </w:r>
      <w:r>
        <w:rPr>
          <w:rFonts w:cs="Times New Roman"/>
        </w:rPr>
        <w:t>元</w:t>
      </w:r>
      <w:r>
        <w:rPr>
          <w:rFonts w:hint="eastAsia" w:cs="Times New Roman"/>
        </w:rPr>
        <w:t>；虽然</w:t>
      </w:r>
      <w:r>
        <w:rPr>
          <w:rFonts w:cs="Times New Roman"/>
        </w:rPr>
        <w:t>总目标和总任务相符，</w:t>
      </w:r>
      <w:r>
        <w:rPr>
          <w:rFonts w:hint="eastAsia" w:cs="Times New Roman"/>
        </w:rPr>
        <w:t>但</w:t>
      </w:r>
      <w:r>
        <w:rPr>
          <w:rFonts w:cs="Times New Roman"/>
        </w:rPr>
        <w:t>实际支出额比预算确定的项目支出</w:t>
      </w:r>
      <w:r>
        <w:rPr>
          <w:rFonts w:hint="eastAsia" w:cs="Times New Roman"/>
        </w:rPr>
        <w:t>少</w:t>
      </w:r>
      <w:r>
        <w:rPr>
          <w:rFonts w:cs="Times New Roman"/>
        </w:rPr>
        <w:t>，存在误差</w:t>
      </w:r>
      <w:r>
        <w:rPr>
          <w:rFonts w:hint="eastAsia" w:cs="Times New Roman"/>
        </w:rPr>
        <w:t>，</w:t>
      </w:r>
      <w:r>
        <w:rPr>
          <w:rFonts w:cs="Times New Roman"/>
        </w:rPr>
        <w:t>得0.</w:t>
      </w:r>
      <w:r>
        <w:rPr>
          <w:rFonts w:hint="eastAsia" w:cs="Times New Roman"/>
        </w:rPr>
        <w:t>25</w:t>
      </w:r>
      <w:r>
        <w:rPr>
          <w:rFonts w:cs="Times New Roman"/>
        </w:rPr>
        <w:t>分。</w:t>
      </w:r>
    </w:p>
    <w:p>
      <w:pPr>
        <w:pStyle w:val="5"/>
        <w:ind w:firstLine="562"/>
        <w:rPr>
          <w:rFonts w:cs="Times New Roman"/>
        </w:rPr>
      </w:pPr>
      <w:bookmarkStart w:id="52" w:name="_Toc32087"/>
      <w:bookmarkStart w:id="53" w:name="_Toc67315592"/>
      <w:r>
        <w:rPr>
          <w:rFonts w:cs="Times New Roman"/>
        </w:rPr>
        <w:t>3.资金安排（权重5，得分</w:t>
      </w:r>
      <w:r>
        <w:rPr>
          <w:rFonts w:hint="eastAsia" w:cs="Times New Roman"/>
        </w:rPr>
        <w:t>2</w:t>
      </w:r>
      <w:r>
        <w:rPr>
          <w:rFonts w:cs="Times New Roman"/>
        </w:rPr>
        <w:t>）</w:t>
      </w:r>
      <w:bookmarkEnd w:id="52"/>
      <w:bookmarkEnd w:id="53"/>
    </w:p>
    <w:p>
      <w:pPr>
        <w:pStyle w:val="12"/>
        <w:ind w:firstLine="560"/>
        <w:rPr>
          <w:rFonts w:cs="Times New Roman"/>
        </w:rPr>
      </w:pPr>
      <w:r>
        <w:rPr>
          <w:rFonts w:cs="Times New Roman"/>
        </w:rPr>
        <w:t>（1）预算编制合理性（权重3，得分</w:t>
      </w:r>
      <w:r>
        <w:rPr>
          <w:rFonts w:hint="eastAsia" w:cs="Times New Roman"/>
        </w:rPr>
        <w:t>1</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预算编制是否经过论证，0.75分；</w:t>
      </w:r>
    </w:p>
    <w:p>
      <w:pPr>
        <w:pStyle w:val="12"/>
        <w:ind w:firstLine="560"/>
        <w:rPr>
          <w:rFonts w:cs="Times New Roman"/>
        </w:rPr>
      </w:pPr>
      <w:r>
        <w:rPr>
          <w:rFonts w:hint="eastAsia" w:ascii="宋体" w:hAnsi="宋体" w:eastAsia="宋体" w:cs="宋体"/>
        </w:rPr>
        <w:t>②</w:t>
      </w:r>
      <w:r>
        <w:rPr>
          <w:rFonts w:cs="Times New Roman"/>
        </w:rPr>
        <w:t>预算内容与项目实际内容是否匹配，0.75分；</w:t>
      </w:r>
    </w:p>
    <w:p>
      <w:pPr>
        <w:pStyle w:val="12"/>
        <w:ind w:firstLine="560"/>
        <w:rPr>
          <w:rFonts w:cs="Times New Roman"/>
        </w:rPr>
      </w:pPr>
      <w:r>
        <w:rPr>
          <w:rFonts w:hint="eastAsia" w:ascii="宋体" w:hAnsi="宋体" w:eastAsia="宋体" w:cs="宋体"/>
        </w:rPr>
        <w:t>③</w:t>
      </w:r>
      <w:r>
        <w:rPr>
          <w:rFonts w:cs="Times New Roman"/>
        </w:rPr>
        <w:t>预算额度测算依据是否充分，是否按标准编制，0.75分；</w:t>
      </w:r>
    </w:p>
    <w:p>
      <w:pPr>
        <w:pStyle w:val="12"/>
        <w:ind w:firstLine="560"/>
        <w:rPr>
          <w:rFonts w:cs="Times New Roman"/>
        </w:rPr>
      </w:pPr>
      <w:r>
        <w:rPr>
          <w:rFonts w:hint="eastAsia" w:ascii="宋体" w:hAnsi="宋体" w:eastAsia="宋体" w:cs="宋体"/>
        </w:rPr>
        <w:t>④</w:t>
      </w:r>
      <w:r>
        <w:rPr>
          <w:rFonts w:cs="Times New Roman"/>
        </w:rPr>
        <w:t>预算确定的项目投资额或资金量是否与年度工作任务相匹配，0.75分。</w:t>
      </w:r>
    </w:p>
    <w:p>
      <w:pPr>
        <w:pStyle w:val="12"/>
        <w:ind w:firstLine="562"/>
        <w:rPr>
          <w:rFonts w:cs="Times New Roman"/>
          <w:b/>
        </w:rPr>
      </w:pPr>
      <w:r>
        <w:rPr>
          <w:rFonts w:cs="Times New Roman"/>
          <w:b/>
        </w:rPr>
        <w:t>得分：</w:t>
      </w:r>
    </w:p>
    <w:p>
      <w:pPr>
        <w:pStyle w:val="12"/>
        <w:ind w:firstLine="560"/>
        <w:rPr>
          <w:rFonts w:cs="Times New Roman"/>
        </w:rPr>
      </w:pPr>
      <w:r>
        <w:rPr>
          <w:rFonts w:hint="eastAsia" w:ascii="仿宋" w:hAnsi="仿宋" w:cs="仿宋"/>
        </w:rPr>
        <w:t>①漯河经济技术开发区行政服务中心虽然</w:t>
      </w:r>
      <w:r>
        <w:rPr>
          <w:rFonts w:hint="eastAsia" w:cs="Times New Roman"/>
        </w:rPr>
        <w:t>提供了《漯河经济技术开发区财政局关于批复2021年部门预算的通知》（漯开财【2021】15号）文件，但未提供预算调剂相关资料，</w:t>
      </w:r>
      <w:r>
        <w:rPr>
          <w:rFonts w:cs="Times New Roman"/>
        </w:rPr>
        <w:t>得</w:t>
      </w:r>
      <w:r>
        <w:rPr>
          <w:rFonts w:hint="eastAsia" w:cs="Times New Roman"/>
        </w:rPr>
        <w:t>0.5</w:t>
      </w:r>
      <w:r>
        <w:rPr>
          <w:rFonts w:cs="Times New Roman"/>
        </w:rPr>
        <w:t>分；</w:t>
      </w:r>
    </w:p>
    <w:p>
      <w:pPr>
        <w:pStyle w:val="12"/>
        <w:ind w:firstLine="560"/>
        <w:rPr>
          <w:rFonts w:cs="Times New Roman"/>
        </w:rPr>
      </w:pPr>
      <w:r>
        <w:rPr>
          <w:rFonts w:hint="eastAsia" w:ascii="宋体" w:hAnsi="宋体" w:eastAsia="宋体" w:cs="宋体"/>
        </w:rPr>
        <w:t>②</w:t>
      </w:r>
      <w:r>
        <w:rPr>
          <w:rFonts w:hint="eastAsia" w:ascii="仿宋" w:hAnsi="仿宋" w:cs="仿宋"/>
        </w:rPr>
        <w:t>漯河经济技术开发区行政服务中心工作经费</w:t>
      </w:r>
      <w:r>
        <w:rPr>
          <w:rFonts w:hint="eastAsia" w:cs="Times New Roman"/>
        </w:rPr>
        <w:t>，年初</w:t>
      </w:r>
      <w:r>
        <w:rPr>
          <w:rFonts w:cs="Times New Roman"/>
        </w:rPr>
        <w:t>预算资金</w:t>
      </w:r>
      <w:r>
        <w:rPr>
          <w:rFonts w:hint="eastAsia" w:cs="Times New Roman"/>
        </w:rPr>
        <w:t>240000.00</w:t>
      </w:r>
      <w:r>
        <w:rPr>
          <w:rFonts w:cs="Times New Roman"/>
        </w:rPr>
        <w:t>元</w:t>
      </w:r>
      <w:r>
        <w:rPr>
          <w:rFonts w:hint="eastAsia" w:cs="Times New Roman"/>
        </w:rPr>
        <w:t>，</w:t>
      </w:r>
      <w:r>
        <w:rPr>
          <w:rFonts w:cs="Times New Roman"/>
        </w:rPr>
        <w:t>实际总支出为</w:t>
      </w:r>
      <w:r>
        <w:rPr>
          <w:rFonts w:hint="eastAsia" w:cs="Times New Roman"/>
        </w:rPr>
        <w:t>231451.26</w:t>
      </w:r>
      <w:r>
        <w:rPr>
          <w:rFonts w:cs="Times New Roman"/>
        </w:rPr>
        <w:t>元，存在误差，</w:t>
      </w:r>
      <w:r>
        <w:rPr>
          <w:rFonts w:hint="eastAsia" w:cs="Times New Roman"/>
        </w:rPr>
        <w:t>具体</w:t>
      </w:r>
      <w:r>
        <w:rPr>
          <w:rFonts w:cs="Times New Roman"/>
        </w:rPr>
        <w:t>表现</w:t>
      </w:r>
      <w:r>
        <w:rPr>
          <w:rFonts w:hint="eastAsia" w:cs="Times New Roman"/>
        </w:rPr>
        <w:t>如下</w:t>
      </w:r>
      <w:r>
        <w:rPr>
          <w:rFonts w:cs="Times New Roman"/>
        </w:rPr>
        <w:t>：</w:t>
      </w:r>
    </w:p>
    <w:tbl>
      <w:tblPr>
        <w:tblStyle w:val="2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400"/>
        <w:gridCol w:w="1819"/>
        <w:gridCol w:w="1847"/>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Align w:val="center"/>
          </w:tcPr>
          <w:p>
            <w:pPr>
              <w:spacing w:line="240" w:lineRule="auto"/>
              <w:ind w:left="0" w:leftChars="0" w:right="0" w:rightChars="0"/>
              <w:jc w:val="center"/>
              <w:rPr>
                <w:rFonts w:ascii="仿宋" w:hAnsi="仿宋" w:eastAsia="仿宋" w:cs="仿宋"/>
                <w:sz w:val="24"/>
              </w:rPr>
            </w:pPr>
            <w:r>
              <w:rPr>
                <w:rFonts w:hint="eastAsia" w:ascii="仿宋" w:hAnsi="仿宋" w:eastAsia="仿宋" w:cs="仿宋"/>
                <w:sz w:val="24"/>
              </w:rPr>
              <w:t>序号</w:t>
            </w:r>
          </w:p>
        </w:tc>
        <w:tc>
          <w:tcPr>
            <w:tcW w:w="2400" w:type="dxa"/>
            <w:vAlign w:val="center"/>
          </w:tcPr>
          <w:p>
            <w:pPr>
              <w:spacing w:line="240" w:lineRule="auto"/>
              <w:ind w:left="0" w:leftChars="0" w:right="0" w:rightChars="0"/>
              <w:jc w:val="center"/>
              <w:rPr>
                <w:rFonts w:ascii="仿宋" w:hAnsi="仿宋" w:eastAsia="仿宋" w:cs="仿宋"/>
                <w:sz w:val="24"/>
              </w:rPr>
            </w:pPr>
            <w:r>
              <w:rPr>
                <w:rFonts w:hint="eastAsia" w:ascii="仿宋" w:hAnsi="仿宋" w:eastAsia="仿宋" w:cs="仿宋"/>
                <w:sz w:val="24"/>
              </w:rPr>
              <w:t>费用明细</w:t>
            </w:r>
          </w:p>
        </w:tc>
        <w:tc>
          <w:tcPr>
            <w:tcW w:w="1819" w:type="dxa"/>
            <w:vAlign w:val="center"/>
          </w:tcPr>
          <w:p>
            <w:pPr>
              <w:spacing w:line="240" w:lineRule="auto"/>
              <w:ind w:left="0" w:leftChars="0" w:right="0" w:rightChars="0"/>
              <w:jc w:val="center"/>
              <w:rPr>
                <w:rFonts w:ascii="仿宋" w:hAnsi="仿宋" w:eastAsia="仿宋" w:cs="仿宋"/>
                <w:sz w:val="24"/>
              </w:rPr>
            </w:pPr>
            <w:r>
              <w:rPr>
                <w:rFonts w:hint="eastAsia" w:ascii="仿宋" w:hAnsi="仿宋" w:eastAsia="仿宋" w:cs="仿宋"/>
                <w:color w:val="000000"/>
                <w:kern w:val="0"/>
                <w:sz w:val="24"/>
              </w:rPr>
              <w:t>预算金额（元）</w:t>
            </w:r>
          </w:p>
        </w:tc>
        <w:tc>
          <w:tcPr>
            <w:tcW w:w="1847" w:type="dxa"/>
            <w:vAlign w:val="center"/>
          </w:tcPr>
          <w:p>
            <w:pPr>
              <w:spacing w:line="240" w:lineRule="auto"/>
              <w:ind w:left="0" w:leftChars="0" w:right="0" w:rightChars="0"/>
              <w:jc w:val="center"/>
              <w:rPr>
                <w:rFonts w:ascii="仿宋" w:hAnsi="仿宋" w:eastAsia="仿宋" w:cs="仿宋"/>
                <w:sz w:val="24"/>
              </w:rPr>
            </w:pPr>
            <w:r>
              <w:rPr>
                <w:rFonts w:hint="eastAsia" w:ascii="仿宋" w:hAnsi="仿宋" w:eastAsia="仿宋" w:cs="仿宋"/>
                <w:color w:val="000000"/>
                <w:kern w:val="0"/>
                <w:sz w:val="24"/>
              </w:rPr>
              <w:t>实际支出金额（元）</w:t>
            </w:r>
          </w:p>
        </w:tc>
        <w:tc>
          <w:tcPr>
            <w:tcW w:w="1661"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color w:val="000000"/>
                <w:kern w:val="0"/>
                <w:sz w:val="24"/>
              </w:rPr>
              <w:t>预算完成率（%）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32" w:type="dxa"/>
            <w:vAlign w:val="center"/>
          </w:tcPr>
          <w:p>
            <w:pPr>
              <w:spacing w:line="240" w:lineRule="auto"/>
              <w:ind w:left="0" w:leftChars="0" w:right="0" w:rightChars="0"/>
              <w:jc w:val="center"/>
              <w:rPr>
                <w:rFonts w:ascii="仿宋" w:hAnsi="仿宋" w:eastAsia="仿宋" w:cs="仿宋"/>
                <w:sz w:val="24"/>
              </w:rPr>
            </w:pPr>
            <w:r>
              <w:rPr>
                <w:rFonts w:hint="eastAsia" w:ascii="仿宋" w:hAnsi="仿宋" w:eastAsia="仿宋" w:cs="仿宋"/>
                <w:sz w:val="24"/>
              </w:rPr>
              <w:t>1</w:t>
            </w:r>
          </w:p>
        </w:tc>
        <w:tc>
          <w:tcPr>
            <w:tcW w:w="2400"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color w:val="000000"/>
                <w:kern w:val="0"/>
                <w:sz w:val="24"/>
              </w:rPr>
              <w:t>维修、维护费</w:t>
            </w:r>
          </w:p>
        </w:tc>
        <w:tc>
          <w:tcPr>
            <w:tcW w:w="1819"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40000</w:t>
            </w:r>
          </w:p>
        </w:tc>
        <w:tc>
          <w:tcPr>
            <w:tcW w:w="1847"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16160</w:t>
            </w:r>
          </w:p>
        </w:tc>
        <w:tc>
          <w:tcPr>
            <w:tcW w:w="1661"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40.40%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32" w:type="dxa"/>
            <w:vAlign w:val="center"/>
          </w:tcPr>
          <w:p>
            <w:pPr>
              <w:spacing w:line="240" w:lineRule="auto"/>
              <w:ind w:left="0" w:leftChars="0" w:right="0" w:rightChars="0"/>
              <w:jc w:val="center"/>
              <w:rPr>
                <w:rFonts w:ascii="仿宋" w:hAnsi="仿宋" w:eastAsia="仿宋" w:cs="仿宋"/>
                <w:sz w:val="24"/>
              </w:rPr>
            </w:pPr>
            <w:r>
              <w:rPr>
                <w:rFonts w:hint="eastAsia" w:ascii="仿宋" w:hAnsi="仿宋" w:eastAsia="仿宋" w:cs="仿宋"/>
                <w:sz w:val="24"/>
              </w:rPr>
              <w:t>2</w:t>
            </w:r>
          </w:p>
        </w:tc>
        <w:tc>
          <w:tcPr>
            <w:tcW w:w="2400"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color w:val="000000"/>
                <w:kern w:val="0"/>
                <w:sz w:val="24"/>
              </w:rPr>
              <w:t>办公费</w:t>
            </w:r>
          </w:p>
        </w:tc>
        <w:tc>
          <w:tcPr>
            <w:tcW w:w="1819"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20000</w:t>
            </w:r>
          </w:p>
        </w:tc>
        <w:tc>
          <w:tcPr>
            <w:tcW w:w="1847"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25532.96</w:t>
            </w:r>
          </w:p>
        </w:tc>
        <w:tc>
          <w:tcPr>
            <w:tcW w:w="1661"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127.66%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2" w:type="dxa"/>
            <w:vAlign w:val="center"/>
          </w:tcPr>
          <w:p>
            <w:pPr>
              <w:spacing w:line="240" w:lineRule="auto"/>
              <w:ind w:left="0" w:leftChars="0" w:right="0" w:rightChars="0"/>
              <w:jc w:val="center"/>
              <w:rPr>
                <w:rFonts w:ascii="仿宋" w:hAnsi="仿宋" w:eastAsia="仿宋" w:cs="仿宋"/>
                <w:sz w:val="24"/>
              </w:rPr>
            </w:pPr>
            <w:r>
              <w:rPr>
                <w:rFonts w:hint="eastAsia" w:ascii="仿宋" w:hAnsi="仿宋" w:eastAsia="仿宋" w:cs="仿宋"/>
                <w:sz w:val="24"/>
              </w:rPr>
              <w:t>3</w:t>
            </w:r>
          </w:p>
        </w:tc>
        <w:tc>
          <w:tcPr>
            <w:tcW w:w="2400"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color w:val="000000"/>
                <w:kern w:val="0"/>
                <w:sz w:val="24"/>
              </w:rPr>
              <w:t>劳务费</w:t>
            </w:r>
          </w:p>
        </w:tc>
        <w:tc>
          <w:tcPr>
            <w:tcW w:w="1819"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20000</w:t>
            </w:r>
          </w:p>
        </w:tc>
        <w:tc>
          <w:tcPr>
            <w:tcW w:w="1847"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1800</w:t>
            </w:r>
          </w:p>
        </w:tc>
        <w:tc>
          <w:tcPr>
            <w:tcW w:w="1661"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2" w:type="dxa"/>
            <w:vAlign w:val="center"/>
          </w:tcPr>
          <w:p>
            <w:pPr>
              <w:spacing w:line="240" w:lineRule="auto"/>
              <w:ind w:left="0" w:leftChars="0" w:right="0" w:rightChars="0"/>
              <w:jc w:val="center"/>
              <w:rPr>
                <w:rFonts w:ascii="仿宋" w:hAnsi="仿宋" w:eastAsia="仿宋" w:cs="仿宋"/>
                <w:sz w:val="24"/>
              </w:rPr>
            </w:pPr>
            <w:r>
              <w:rPr>
                <w:rFonts w:hint="eastAsia" w:ascii="仿宋" w:hAnsi="仿宋" w:eastAsia="仿宋" w:cs="仿宋"/>
                <w:sz w:val="24"/>
              </w:rPr>
              <w:t>4</w:t>
            </w:r>
          </w:p>
        </w:tc>
        <w:tc>
          <w:tcPr>
            <w:tcW w:w="2400"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color w:val="000000"/>
                <w:kern w:val="0"/>
                <w:sz w:val="24"/>
              </w:rPr>
              <w:t>邮电费</w:t>
            </w:r>
          </w:p>
        </w:tc>
        <w:tc>
          <w:tcPr>
            <w:tcW w:w="1819"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2000</w:t>
            </w:r>
          </w:p>
        </w:tc>
        <w:tc>
          <w:tcPr>
            <w:tcW w:w="1847"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3958.3</w:t>
            </w:r>
          </w:p>
        </w:tc>
        <w:tc>
          <w:tcPr>
            <w:tcW w:w="1661"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197.92%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32" w:type="dxa"/>
            <w:vAlign w:val="center"/>
          </w:tcPr>
          <w:p>
            <w:pPr>
              <w:spacing w:line="240" w:lineRule="auto"/>
              <w:ind w:left="0" w:leftChars="0" w:right="0" w:rightChars="0"/>
              <w:jc w:val="center"/>
              <w:rPr>
                <w:rFonts w:ascii="仿宋" w:hAnsi="仿宋" w:eastAsia="仿宋" w:cs="仿宋"/>
                <w:sz w:val="24"/>
              </w:rPr>
            </w:pPr>
            <w:r>
              <w:rPr>
                <w:rFonts w:hint="eastAsia" w:ascii="仿宋" w:hAnsi="仿宋" w:eastAsia="仿宋" w:cs="仿宋"/>
                <w:sz w:val="24"/>
              </w:rPr>
              <w:t>5</w:t>
            </w:r>
          </w:p>
        </w:tc>
        <w:tc>
          <w:tcPr>
            <w:tcW w:w="2400"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color w:val="000000"/>
                <w:kern w:val="0"/>
                <w:sz w:val="24"/>
              </w:rPr>
              <w:t>其他商品和服务支出</w:t>
            </w:r>
          </w:p>
        </w:tc>
        <w:tc>
          <w:tcPr>
            <w:tcW w:w="1819"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78000</w:t>
            </w:r>
          </w:p>
        </w:tc>
        <w:tc>
          <w:tcPr>
            <w:tcW w:w="1847"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136000</w:t>
            </w:r>
          </w:p>
        </w:tc>
        <w:tc>
          <w:tcPr>
            <w:tcW w:w="1661"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174.36%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33"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sz w:val="24"/>
              </w:rPr>
              <w:t>6</w:t>
            </w:r>
          </w:p>
        </w:tc>
        <w:tc>
          <w:tcPr>
            <w:tcW w:w="2399"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color w:val="000000"/>
                <w:kern w:val="0"/>
                <w:sz w:val="24"/>
              </w:rPr>
              <w:t>其他工资福利支出</w:t>
            </w:r>
          </w:p>
        </w:tc>
        <w:tc>
          <w:tcPr>
            <w:tcW w:w="1819"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80000</w:t>
            </w:r>
          </w:p>
        </w:tc>
        <w:tc>
          <w:tcPr>
            <w:tcW w:w="1847"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48000</w:t>
            </w:r>
          </w:p>
        </w:tc>
        <w:tc>
          <w:tcPr>
            <w:tcW w:w="1661"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宋体" w:hAnsi="宋体" w:eastAsia="宋体" w:cs="宋体"/>
                <w:color w:val="000000"/>
                <w:kern w:val="0"/>
                <w:sz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032" w:type="dxa"/>
            <w:gridSpan w:val="2"/>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sz w:val="24"/>
              </w:rPr>
              <w:t>合计</w:t>
            </w:r>
          </w:p>
        </w:tc>
        <w:tc>
          <w:tcPr>
            <w:tcW w:w="1819" w:type="dxa"/>
            <w:vAlign w:val="center"/>
          </w:tcPr>
          <w:p>
            <w:pPr>
              <w:widowControl/>
              <w:spacing w:line="240" w:lineRule="auto"/>
              <w:ind w:left="0" w:leftChars="0" w:right="0" w:rightChars="0"/>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240000</w:t>
            </w:r>
          </w:p>
        </w:tc>
        <w:tc>
          <w:tcPr>
            <w:tcW w:w="1847" w:type="dxa"/>
            <w:vAlign w:val="center"/>
          </w:tcPr>
          <w:p>
            <w:pPr>
              <w:widowControl/>
              <w:spacing w:line="240" w:lineRule="auto"/>
              <w:ind w:left="0" w:leftChars="0" w:right="0" w:rightChars="0"/>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231451.26</w:t>
            </w:r>
          </w:p>
        </w:tc>
        <w:tc>
          <w:tcPr>
            <w:tcW w:w="1661" w:type="dxa"/>
            <w:vAlign w:val="center"/>
          </w:tcPr>
          <w:p>
            <w:pPr>
              <w:widowControl/>
              <w:spacing w:line="240" w:lineRule="auto"/>
              <w:ind w:left="0" w:leftChars="0" w:right="0" w:rightChars="0"/>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96.44%</w:t>
            </w:r>
          </w:p>
        </w:tc>
      </w:tr>
    </w:tbl>
    <w:p>
      <w:pPr>
        <w:pStyle w:val="12"/>
        <w:ind w:firstLine="560"/>
        <w:rPr>
          <w:rFonts w:cs="Times New Roman"/>
        </w:rPr>
      </w:pPr>
      <w:r>
        <w:rPr>
          <w:rFonts w:cs="Times New Roman"/>
        </w:rPr>
        <w:t>主要原因是</w:t>
      </w:r>
      <w:r>
        <w:rPr>
          <w:rFonts w:hint="eastAsia" w:ascii="仿宋" w:hAnsi="仿宋" w:cs="仿宋"/>
          <w:szCs w:val="28"/>
        </w:rPr>
        <w:t>工作经费</w:t>
      </w:r>
      <w:r>
        <w:rPr>
          <w:rFonts w:cs="Times New Roman"/>
        </w:rPr>
        <w:t>实际使用情况与预算存在差异，得0.5分；</w:t>
      </w:r>
    </w:p>
    <w:p>
      <w:pPr>
        <w:pStyle w:val="12"/>
        <w:ind w:firstLine="560"/>
        <w:rPr>
          <w:rFonts w:cs="Times New Roman"/>
        </w:rPr>
      </w:pPr>
      <w:r>
        <w:rPr>
          <w:rFonts w:hint="eastAsia" w:ascii="Times New Roman" w:hAnsi="Times New Roman" w:eastAsia="仿宋" w:cs="Times New Roman"/>
        </w:rPr>
        <w:t>③未提供</w:t>
      </w:r>
      <w:r>
        <w:rPr>
          <w:rFonts w:cs="Times New Roman"/>
        </w:rPr>
        <w:t>预算额度测算依据</w:t>
      </w:r>
      <w:r>
        <w:rPr>
          <w:rFonts w:hint="eastAsia" w:ascii="Times New Roman" w:hAnsi="Times New Roman" w:cs="Times New Roman"/>
        </w:rPr>
        <w:t>资料，得0分；</w:t>
      </w:r>
    </w:p>
    <w:p>
      <w:pPr>
        <w:pStyle w:val="12"/>
        <w:ind w:firstLine="560"/>
        <w:rPr>
          <w:rFonts w:cs="Times New Roman"/>
        </w:rPr>
      </w:pPr>
      <w:r>
        <w:rPr>
          <w:rFonts w:hint="eastAsia" w:ascii="宋体" w:hAnsi="宋体" w:eastAsia="宋体" w:cs="宋体"/>
        </w:rPr>
        <w:t>④</w:t>
      </w:r>
      <w:r>
        <w:rPr>
          <w:rFonts w:hint="eastAsia" w:ascii="仿宋" w:hAnsi="仿宋" w:cs="仿宋"/>
        </w:rPr>
        <w:t>漯河经济技术开发区行政服务中心2021年预算</w:t>
      </w:r>
      <w:r>
        <w:rPr>
          <w:rFonts w:cs="Times New Roman"/>
        </w:rPr>
        <w:t>数为</w:t>
      </w:r>
      <w:r>
        <w:rPr>
          <w:rFonts w:hint="eastAsia" w:cs="Times New Roman"/>
        </w:rPr>
        <w:t>24000</w:t>
      </w:r>
      <w:r>
        <w:rPr>
          <w:rFonts w:cs="Times New Roman"/>
        </w:rPr>
        <w:t>元，全年项目支出执行数</w:t>
      </w:r>
      <w:r>
        <w:rPr>
          <w:rFonts w:hint="eastAsia" w:cs="Times New Roman"/>
        </w:rPr>
        <w:t>231451.26</w:t>
      </w:r>
      <w:r>
        <w:rPr>
          <w:rFonts w:cs="Times New Roman"/>
        </w:rPr>
        <w:t>元，预算确定的项目支出额与年度工作任务</w:t>
      </w:r>
      <w:r>
        <w:rPr>
          <w:rFonts w:hint="eastAsia" w:cs="Times New Roman"/>
        </w:rPr>
        <w:t>有</w:t>
      </w:r>
      <w:r>
        <w:rPr>
          <w:rFonts w:cs="Times New Roman"/>
        </w:rPr>
        <w:t>差异，得0.5分。</w:t>
      </w:r>
    </w:p>
    <w:p>
      <w:pPr>
        <w:pStyle w:val="12"/>
        <w:ind w:firstLine="560"/>
        <w:rPr>
          <w:rFonts w:cs="Times New Roman"/>
        </w:rPr>
      </w:pPr>
      <w:r>
        <w:rPr>
          <w:rFonts w:cs="Times New Roman"/>
        </w:rPr>
        <w:t>（2）资金分配合理性（权重2，得分</w:t>
      </w:r>
      <w:r>
        <w:rPr>
          <w:rFonts w:hint="eastAsia" w:cs="Times New Roman"/>
        </w:rPr>
        <w:t>1</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预算资金分配依据是否充分，1分；</w:t>
      </w:r>
    </w:p>
    <w:p>
      <w:pPr>
        <w:pStyle w:val="12"/>
        <w:ind w:firstLine="560"/>
        <w:rPr>
          <w:rFonts w:cs="Times New Roman"/>
        </w:rPr>
      </w:pPr>
      <w:r>
        <w:rPr>
          <w:rFonts w:hint="eastAsia" w:ascii="宋体" w:hAnsi="宋体" w:eastAsia="宋体" w:cs="宋体"/>
        </w:rPr>
        <w:t>②</w:t>
      </w:r>
      <w:r>
        <w:rPr>
          <w:rFonts w:cs="Times New Roman"/>
        </w:rPr>
        <w:t>资金分配额度是否合理，与补助单位或地方实际是否相适应，1分。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cs="Times New Roman"/>
        </w:rPr>
        <w:t>根据</w:t>
      </w:r>
      <w:r>
        <w:rPr>
          <w:rFonts w:hint="eastAsia" w:cs="Times New Roman"/>
        </w:rPr>
        <w:t>漯河经济技术开发区行政服务中心</w:t>
      </w:r>
      <w:r>
        <w:rPr>
          <w:rFonts w:cs="Times New Roman"/>
        </w:rPr>
        <w:t>日常运营和项目开展情况，项目资金主要运用于</w:t>
      </w:r>
      <w:r>
        <w:rPr>
          <w:rFonts w:hint="eastAsia" w:cs="Times New Roman"/>
        </w:rPr>
        <w:t>劳务费、邮电费、维修费</w:t>
      </w:r>
      <w:r>
        <w:rPr>
          <w:rFonts w:cs="Times New Roman"/>
        </w:rPr>
        <w:t>等，该项目制定了详细的</w:t>
      </w:r>
      <w:r>
        <w:rPr>
          <w:rFonts w:hint="eastAsia" w:cs="Times New Roman"/>
        </w:rPr>
        <w:t>费用</w:t>
      </w:r>
      <w:r>
        <w:rPr>
          <w:rFonts w:cs="Times New Roman"/>
        </w:rPr>
        <w:t>清单</w:t>
      </w:r>
      <w:r>
        <w:rPr>
          <w:rFonts w:hint="eastAsia" w:cs="Times New Roman"/>
        </w:rPr>
        <w:t>，但实际支出费用与预算费用存在误差，</w:t>
      </w:r>
      <w:r>
        <w:rPr>
          <w:rFonts w:cs="Times New Roman"/>
        </w:rPr>
        <w:t>主要分配依据不充分</w:t>
      </w:r>
      <w:r>
        <w:rPr>
          <w:rFonts w:hint="eastAsia" w:cs="Times New Roman"/>
        </w:rPr>
        <w:t>，</w:t>
      </w:r>
      <w:r>
        <w:rPr>
          <w:rFonts w:cs="Times New Roman"/>
        </w:rPr>
        <w:t>得0.5分；</w:t>
      </w:r>
    </w:p>
    <w:p>
      <w:pPr>
        <w:pStyle w:val="12"/>
        <w:ind w:firstLine="560"/>
        <w:rPr>
          <w:rFonts w:cs="Times New Roman"/>
        </w:rPr>
      </w:pPr>
      <w:r>
        <w:rPr>
          <w:rFonts w:hint="eastAsia" w:ascii="宋体" w:hAnsi="宋体" w:eastAsia="宋体" w:cs="宋体"/>
        </w:rPr>
        <w:t>②</w:t>
      </w:r>
      <w:r>
        <w:rPr>
          <w:rFonts w:hint="eastAsia" w:ascii="仿宋" w:hAnsi="仿宋" w:cs="仿宋"/>
        </w:rPr>
        <w:t>行政服务中心工作经费</w:t>
      </w:r>
      <w:r>
        <w:rPr>
          <w:rFonts w:cs="Times New Roman"/>
        </w:rPr>
        <w:t>资金根据国家法律法规、地方相关规定和</w:t>
      </w:r>
      <w:r>
        <w:rPr>
          <w:rFonts w:hint="eastAsia" w:cs="Times New Roman"/>
        </w:rPr>
        <w:t>漯河经济技术开发区行政服务中心</w:t>
      </w:r>
      <w:r>
        <w:rPr>
          <w:rFonts w:cs="Times New Roman"/>
        </w:rPr>
        <w:t>实际</w:t>
      </w:r>
      <w:r>
        <w:rPr>
          <w:rFonts w:hint="eastAsia" w:cs="Times New Roman"/>
        </w:rPr>
        <w:t>支出</w:t>
      </w:r>
      <w:r>
        <w:rPr>
          <w:rFonts w:cs="Times New Roman"/>
        </w:rPr>
        <w:t>进行分配，与地方实际相适应，但</w:t>
      </w:r>
      <w:r>
        <w:rPr>
          <w:rFonts w:hint="eastAsia" w:cs="Times New Roman"/>
        </w:rPr>
        <w:t>实际支出与预算存在差异</w:t>
      </w:r>
      <w:r>
        <w:rPr>
          <w:rFonts w:cs="Times New Roman"/>
        </w:rPr>
        <w:t>，资金分配额度存在一定误差且</w:t>
      </w:r>
      <w:r>
        <w:rPr>
          <w:rFonts w:hint="eastAsia" w:cs="Times New Roman"/>
        </w:rPr>
        <w:t>未提供预算调剂或支出调整的相关资料</w:t>
      </w:r>
      <w:r>
        <w:rPr>
          <w:rFonts w:cs="Times New Roman"/>
        </w:rPr>
        <w:t>，得0.5分。</w:t>
      </w:r>
    </w:p>
    <w:p>
      <w:pPr>
        <w:pStyle w:val="4"/>
        <w:ind w:firstLine="602"/>
        <w:rPr>
          <w:rFonts w:eastAsia="仿宋_GB2312" w:cs="Times New Roman"/>
        </w:rPr>
      </w:pPr>
      <w:bookmarkStart w:id="54" w:name="_Toc67315593"/>
      <w:bookmarkStart w:id="55" w:name="_Toc26743"/>
      <w:r>
        <w:rPr>
          <w:rFonts w:cs="Times New Roman"/>
        </w:rPr>
        <w:t>（二）项目过程情况（权重</w:t>
      </w:r>
      <w:r>
        <w:rPr>
          <w:rFonts w:cs="Times New Roman"/>
          <w:color w:val="000000" w:themeColor="text1"/>
        </w:rPr>
        <w:t>25，得分</w:t>
      </w:r>
      <w:r>
        <w:rPr>
          <w:rFonts w:hint="eastAsia" w:cs="Times New Roman"/>
          <w:color w:val="000000" w:themeColor="text1"/>
        </w:rPr>
        <w:t>16.7</w:t>
      </w:r>
      <w:r>
        <w:rPr>
          <w:rFonts w:cs="Times New Roman"/>
          <w:color w:val="000000" w:themeColor="text1"/>
        </w:rPr>
        <w:t>）</w:t>
      </w:r>
      <w:bookmarkEnd w:id="54"/>
      <w:bookmarkEnd w:id="55"/>
    </w:p>
    <w:p>
      <w:pPr>
        <w:pStyle w:val="5"/>
        <w:ind w:firstLine="562"/>
        <w:rPr>
          <w:rFonts w:cs="Times New Roman"/>
        </w:rPr>
      </w:pPr>
      <w:bookmarkStart w:id="56" w:name="_Toc29955"/>
      <w:bookmarkStart w:id="57" w:name="_Toc67315594"/>
      <w:r>
        <w:rPr>
          <w:rFonts w:cs="Times New Roman"/>
        </w:rPr>
        <w:t>1.业务管理（权重10，得分</w:t>
      </w:r>
      <w:r>
        <w:rPr>
          <w:rFonts w:hint="eastAsia" w:cs="Times New Roman"/>
        </w:rPr>
        <w:t>8.75</w:t>
      </w:r>
      <w:r>
        <w:rPr>
          <w:rFonts w:cs="Times New Roman"/>
        </w:rPr>
        <w:t>）</w:t>
      </w:r>
      <w:bookmarkEnd w:id="56"/>
      <w:bookmarkEnd w:id="57"/>
    </w:p>
    <w:p>
      <w:pPr>
        <w:pStyle w:val="12"/>
        <w:ind w:firstLine="560"/>
        <w:rPr>
          <w:rFonts w:cs="Times New Roman"/>
        </w:rPr>
      </w:pPr>
      <w:r>
        <w:rPr>
          <w:rFonts w:cs="Times New Roman"/>
        </w:rPr>
        <w:t>（1）管理制度健全性（权重2，得分</w:t>
      </w:r>
      <w:r>
        <w:rPr>
          <w:rFonts w:hint="eastAsia" w:cs="Times New Roman"/>
        </w:rPr>
        <w:t>2</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是否已制定或具有相应的业务管理制度,1分；</w:t>
      </w:r>
    </w:p>
    <w:p>
      <w:pPr>
        <w:pStyle w:val="12"/>
        <w:ind w:firstLine="560"/>
        <w:rPr>
          <w:rFonts w:cs="Times New Roman"/>
        </w:rPr>
      </w:pPr>
      <w:r>
        <w:rPr>
          <w:rFonts w:hint="eastAsia" w:ascii="宋体" w:hAnsi="宋体" w:eastAsia="宋体" w:cs="宋体"/>
        </w:rPr>
        <w:t>②</w:t>
      </w:r>
      <w:r>
        <w:rPr>
          <w:rFonts w:cs="Times New Roman"/>
        </w:rPr>
        <w:t>业务管理制度是否合法、合规、完整,1分。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cs="Times New Roman"/>
        </w:rPr>
        <w:t>为</w:t>
      </w:r>
      <w:r>
        <w:rPr>
          <w:rFonts w:hint="eastAsia" w:cs="Times New Roman"/>
        </w:rPr>
        <w:t>保证相关业务的开展和工作经费的使用，漯河经济技术开发区行政服务中心制定了相关管理制度，如《财务管理制度》、《漯河经济技术开发区行政服务中心标准化政务服务管理办法》、《人员管理考核办法》、《会议室管理规定》等</w:t>
      </w:r>
      <w:r>
        <w:rPr>
          <w:rFonts w:cs="Times New Roman"/>
        </w:rPr>
        <w:t>，得</w:t>
      </w:r>
      <w:r>
        <w:rPr>
          <w:rFonts w:hint="eastAsia" w:cs="Times New Roman"/>
        </w:rPr>
        <w:t>1</w:t>
      </w:r>
      <w:r>
        <w:rPr>
          <w:rFonts w:cs="Times New Roman"/>
        </w:rPr>
        <w:t>分；</w:t>
      </w:r>
    </w:p>
    <w:p>
      <w:pPr>
        <w:pStyle w:val="12"/>
        <w:ind w:firstLine="560"/>
        <w:rPr>
          <w:rFonts w:cs="Times New Roman"/>
        </w:rPr>
      </w:pPr>
      <w:r>
        <w:rPr>
          <w:rFonts w:hint="eastAsia" w:ascii="宋体" w:hAnsi="宋体" w:eastAsia="宋体" w:cs="宋体"/>
        </w:rPr>
        <w:t>②</w:t>
      </w:r>
      <w:r>
        <w:rPr>
          <w:rFonts w:hint="eastAsia" w:ascii="仿宋" w:hAnsi="仿宋" w:cs="仿宋"/>
        </w:rPr>
        <w:t>漯河经济技术开发区行政服务中心提供</w:t>
      </w:r>
      <w:r>
        <w:rPr>
          <w:rFonts w:cs="Times New Roman"/>
        </w:rPr>
        <w:t>相关业务管理制度</w:t>
      </w:r>
      <w:r>
        <w:rPr>
          <w:rFonts w:hint="eastAsia" w:cs="Times New Roman"/>
        </w:rPr>
        <w:t>合法、合规</w:t>
      </w:r>
      <w:r>
        <w:rPr>
          <w:rFonts w:cs="Times New Roman"/>
        </w:rPr>
        <w:t>,得</w:t>
      </w:r>
      <w:r>
        <w:rPr>
          <w:rFonts w:hint="eastAsia" w:cs="Times New Roman"/>
        </w:rPr>
        <w:t>1</w:t>
      </w:r>
      <w:r>
        <w:rPr>
          <w:rFonts w:cs="Times New Roman"/>
        </w:rPr>
        <w:t>分。</w:t>
      </w:r>
    </w:p>
    <w:p>
      <w:pPr>
        <w:pStyle w:val="12"/>
        <w:ind w:firstLine="560"/>
        <w:rPr>
          <w:rFonts w:eastAsia="楷体_GB2312" w:cs="Times New Roman"/>
        </w:rPr>
      </w:pPr>
      <w:r>
        <w:rPr>
          <w:rFonts w:cs="Times New Roman"/>
        </w:rPr>
        <w:t>（2）制度执行有效性（权重3，得分</w:t>
      </w:r>
      <w:r>
        <w:rPr>
          <w:rFonts w:hint="eastAsia" w:cs="Times New Roman"/>
        </w:rPr>
        <w:t>2.25</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是否遵守相关法律法规和业务管理规定,0.75分；</w:t>
      </w:r>
    </w:p>
    <w:p>
      <w:pPr>
        <w:pStyle w:val="12"/>
        <w:ind w:firstLine="560"/>
        <w:rPr>
          <w:rFonts w:cs="Times New Roman"/>
        </w:rPr>
      </w:pPr>
      <w:r>
        <w:rPr>
          <w:rFonts w:hint="eastAsia" w:ascii="宋体" w:hAnsi="宋体" w:eastAsia="宋体" w:cs="宋体"/>
        </w:rPr>
        <w:t>②</w:t>
      </w:r>
      <w:r>
        <w:rPr>
          <w:rFonts w:cs="Times New Roman"/>
        </w:rPr>
        <w:t>项目调整及支出调整手续是否完备，0.75分；</w:t>
      </w:r>
    </w:p>
    <w:p>
      <w:pPr>
        <w:pStyle w:val="12"/>
        <w:ind w:firstLine="560"/>
        <w:rPr>
          <w:rFonts w:cs="Times New Roman"/>
        </w:rPr>
      </w:pPr>
      <w:r>
        <w:rPr>
          <w:rFonts w:hint="eastAsia" w:ascii="宋体" w:hAnsi="宋体" w:eastAsia="宋体" w:cs="宋体"/>
        </w:rPr>
        <w:t>③</w:t>
      </w:r>
      <w:r>
        <w:rPr>
          <w:rFonts w:cs="Times New Roman"/>
        </w:rPr>
        <w:t>项目合同书、确认书、协议书等资料是否齐全并及时归档，0.75分；</w:t>
      </w:r>
    </w:p>
    <w:p>
      <w:pPr>
        <w:pStyle w:val="12"/>
        <w:ind w:firstLine="560"/>
        <w:rPr>
          <w:rFonts w:cs="Times New Roman"/>
        </w:rPr>
      </w:pPr>
      <w:r>
        <w:rPr>
          <w:rFonts w:hint="eastAsia" w:ascii="宋体" w:hAnsi="宋体" w:eastAsia="宋体" w:cs="宋体"/>
        </w:rPr>
        <w:t>④</w:t>
      </w:r>
      <w:r>
        <w:rPr>
          <w:rFonts w:cs="Times New Roman"/>
        </w:rPr>
        <w:t>项目实施的人员条件、场地设备、信息支撑等是否落实到位，0.75分。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cs="Times New Roman"/>
        </w:rPr>
        <w:t>在“</w:t>
      </w:r>
      <w:r>
        <w:rPr>
          <w:rFonts w:hint="eastAsia" w:cs="Times New Roman"/>
        </w:rPr>
        <w:t>行政服务中心工作经费</w:t>
      </w:r>
      <w:r>
        <w:rPr>
          <w:rFonts w:cs="Times New Roman"/>
        </w:rPr>
        <w:t>”实施和执行过程中，</w:t>
      </w:r>
      <w:r>
        <w:rPr>
          <w:rFonts w:hint="eastAsia" w:cs="Times New Roman"/>
        </w:rPr>
        <w:t>漯河经济技术开发区行政服务中心</w:t>
      </w:r>
      <w:r>
        <w:rPr>
          <w:rFonts w:cs="Times New Roman"/>
        </w:rPr>
        <w:t>均能按照相关法律法规及规章制度履行相关手续</w:t>
      </w:r>
      <w:r>
        <w:rPr>
          <w:rFonts w:hint="eastAsia" w:cs="Times New Roman"/>
        </w:rPr>
        <w:t>，</w:t>
      </w:r>
      <w:r>
        <w:rPr>
          <w:rFonts w:cs="Times New Roman"/>
        </w:rPr>
        <w:t>得</w:t>
      </w:r>
      <w:r>
        <w:rPr>
          <w:rFonts w:hint="eastAsia" w:cs="Times New Roman"/>
        </w:rPr>
        <w:t>0.75</w:t>
      </w:r>
      <w:r>
        <w:rPr>
          <w:rFonts w:cs="Times New Roman"/>
        </w:rPr>
        <w:t>分；</w:t>
      </w:r>
    </w:p>
    <w:p>
      <w:pPr>
        <w:pStyle w:val="12"/>
        <w:ind w:firstLine="560"/>
        <w:rPr>
          <w:rFonts w:cs="Times New Roman"/>
        </w:rPr>
      </w:pPr>
      <w:r>
        <w:rPr>
          <w:rFonts w:hint="eastAsia" w:ascii="宋体" w:hAnsi="宋体" w:eastAsia="宋体" w:cs="宋体"/>
        </w:rPr>
        <w:t>②</w:t>
      </w:r>
      <w:r>
        <w:rPr>
          <w:rFonts w:hint="eastAsia" w:cs="Times New Roman"/>
        </w:rPr>
        <w:t>行政服务中心工作经费实际执行与预算存在差异，相关资料提供不完整，评价小组无法对该流程进行评判</w:t>
      </w:r>
      <w:r>
        <w:rPr>
          <w:rFonts w:cs="Times New Roman"/>
        </w:rPr>
        <w:t>，得0分；</w:t>
      </w:r>
    </w:p>
    <w:p>
      <w:pPr>
        <w:pStyle w:val="12"/>
        <w:ind w:firstLine="560"/>
        <w:rPr>
          <w:rFonts w:cs="Times New Roman"/>
        </w:rPr>
      </w:pPr>
      <w:r>
        <w:rPr>
          <w:rFonts w:hint="eastAsia" w:ascii="宋体" w:hAnsi="宋体" w:eastAsia="宋体" w:cs="宋体"/>
        </w:rPr>
        <w:t>③</w:t>
      </w:r>
      <w:r>
        <w:rPr>
          <w:rFonts w:hint="eastAsia" w:cs="Times New Roman"/>
        </w:rPr>
        <w:t>漯河经济技术开发区行政服务中心</w:t>
      </w:r>
      <w:r>
        <w:rPr>
          <w:rFonts w:cs="Times New Roman"/>
        </w:rPr>
        <w:t>按照相关法律法规要求开展相关工作，项目合同书等资料能及时归档，得0.</w:t>
      </w:r>
      <w:r>
        <w:rPr>
          <w:rFonts w:hint="eastAsia" w:cs="Times New Roman"/>
        </w:rPr>
        <w:t>7</w:t>
      </w:r>
      <w:r>
        <w:rPr>
          <w:rFonts w:cs="Times New Roman"/>
        </w:rPr>
        <w:t>5分；</w:t>
      </w:r>
    </w:p>
    <w:p>
      <w:pPr>
        <w:pStyle w:val="12"/>
        <w:ind w:firstLine="560"/>
        <w:rPr>
          <w:rFonts w:eastAsia="楷体_GB2312" w:cs="Times New Roman"/>
        </w:rPr>
      </w:pPr>
      <w:r>
        <w:rPr>
          <w:rFonts w:hint="eastAsia" w:ascii="宋体" w:hAnsi="宋体" w:eastAsia="宋体" w:cs="宋体"/>
        </w:rPr>
        <w:t>④</w:t>
      </w:r>
      <w:r>
        <w:rPr>
          <w:rFonts w:cs="Times New Roman"/>
        </w:rPr>
        <w:t>经与</w:t>
      </w:r>
      <w:r>
        <w:rPr>
          <w:rFonts w:hint="eastAsia" w:cs="Times New Roman"/>
        </w:rPr>
        <w:t>漯河经济技术开发区行政服务中心</w:t>
      </w:r>
      <w:r>
        <w:rPr>
          <w:rFonts w:cs="Times New Roman"/>
        </w:rPr>
        <w:t>相关负责人访谈及现场专访和调查，该项目由专人专管，项目实施的人员条件、场地设备、信息支撑等落实到位，得0.75分。</w:t>
      </w:r>
    </w:p>
    <w:p>
      <w:pPr>
        <w:pStyle w:val="12"/>
        <w:ind w:firstLine="560"/>
        <w:rPr>
          <w:rFonts w:eastAsia="楷体_GB2312" w:cs="Times New Roman"/>
        </w:rPr>
      </w:pPr>
      <w:r>
        <w:rPr>
          <w:rFonts w:cs="Times New Roman"/>
        </w:rPr>
        <w:t>（3）档案管理规范性（权重2，得分</w:t>
      </w:r>
      <w:r>
        <w:rPr>
          <w:rFonts w:hint="eastAsia" w:cs="Times New Roman"/>
        </w:rPr>
        <w:t>1.5</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是否指定专人负责项目档案专门管理，1分；</w:t>
      </w:r>
    </w:p>
    <w:p>
      <w:pPr>
        <w:pStyle w:val="12"/>
        <w:ind w:firstLine="560"/>
        <w:rPr>
          <w:rFonts w:cs="Times New Roman"/>
        </w:rPr>
      </w:pPr>
      <w:r>
        <w:rPr>
          <w:rFonts w:hint="eastAsia" w:ascii="宋体" w:hAnsi="宋体" w:eastAsia="宋体" w:cs="宋体"/>
        </w:rPr>
        <w:t>②</w:t>
      </w:r>
      <w:r>
        <w:rPr>
          <w:rFonts w:cs="Times New Roman"/>
        </w:rPr>
        <w:t>项目档案资料是否完整、齐全、规范，1分。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cs="Times New Roman"/>
        </w:rPr>
        <w:t>为加强档案管理规范性，</w:t>
      </w:r>
      <w:r>
        <w:rPr>
          <w:rFonts w:hint="eastAsia" w:cs="Times New Roman"/>
        </w:rPr>
        <w:t>漯河经济技术开发区行政服务中心</w:t>
      </w:r>
      <w:r>
        <w:rPr>
          <w:rFonts w:cs="Times New Roman"/>
        </w:rPr>
        <w:t>指定专人负责项目档案专门管理，其档案管理参照《</w:t>
      </w:r>
      <w:r>
        <w:rPr>
          <w:rFonts w:hint="eastAsia" w:cs="Times New Roman"/>
        </w:rPr>
        <w:t>漯河</w:t>
      </w:r>
      <w:r>
        <w:rPr>
          <w:rFonts w:cs="Times New Roman"/>
        </w:rPr>
        <w:t>市档案管理办法》，得</w:t>
      </w:r>
      <w:r>
        <w:rPr>
          <w:rFonts w:hint="eastAsia" w:cs="Times New Roman"/>
        </w:rPr>
        <w:t>1</w:t>
      </w:r>
      <w:r>
        <w:rPr>
          <w:rFonts w:cs="Times New Roman"/>
        </w:rPr>
        <w:t>分；</w:t>
      </w:r>
    </w:p>
    <w:p>
      <w:pPr>
        <w:pStyle w:val="12"/>
        <w:ind w:firstLine="560"/>
        <w:rPr>
          <w:rFonts w:cs="Times New Roman"/>
        </w:rPr>
      </w:pPr>
      <w:r>
        <w:rPr>
          <w:rFonts w:hint="eastAsia" w:ascii="宋体" w:hAnsi="宋体" w:eastAsia="宋体" w:cs="宋体"/>
        </w:rPr>
        <w:t>②</w:t>
      </w:r>
      <w:r>
        <w:rPr>
          <w:rFonts w:cs="Times New Roman"/>
        </w:rPr>
        <w:t>经现场走访和档案资料调查查阅情况来看，对本次调研所需档案，</w:t>
      </w:r>
      <w:r>
        <w:rPr>
          <w:rFonts w:hint="eastAsia" w:cs="Times New Roman"/>
        </w:rPr>
        <w:t>除未能提供预算调剂或支出调整的相关资料外，其他资料漯河经济技术开发区行政服务中心</w:t>
      </w:r>
      <w:r>
        <w:rPr>
          <w:rFonts w:cs="Times New Roman"/>
        </w:rPr>
        <w:t>均能提供</w:t>
      </w:r>
      <w:r>
        <w:rPr>
          <w:rFonts w:hint="eastAsia" w:cs="Times New Roman"/>
        </w:rPr>
        <w:t>，</w:t>
      </w:r>
      <w:r>
        <w:rPr>
          <w:rFonts w:cs="Times New Roman"/>
        </w:rPr>
        <w:t>得</w:t>
      </w:r>
      <w:r>
        <w:rPr>
          <w:rFonts w:hint="eastAsia" w:cs="Times New Roman"/>
        </w:rPr>
        <w:t>0.5</w:t>
      </w:r>
      <w:r>
        <w:rPr>
          <w:rFonts w:cs="Times New Roman"/>
        </w:rPr>
        <w:t>分</w:t>
      </w:r>
      <w:r>
        <w:rPr>
          <w:rFonts w:hint="eastAsia" w:cs="Times New Roman"/>
        </w:rPr>
        <w:t>。</w:t>
      </w:r>
    </w:p>
    <w:p>
      <w:pPr>
        <w:pStyle w:val="12"/>
        <w:ind w:firstLine="560"/>
        <w:rPr>
          <w:rFonts w:eastAsia="楷体_GB2312" w:cs="Times New Roman"/>
        </w:rPr>
      </w:pPr>
      <w:r>
        <w:rPr>
          <w:rFonts w:cs="Times New Roman"/>
        </w:rPr>
        <w:t>（4）项目质量可控性（权重3，得分</w:t>
      </w:r>
      <w:r>
        <w:rPr>
          <w:rFonts w:hint="eastAsia" w:cs="Times New Roman"/>
        </w:rPr>
        <w:t>3</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是否已制定或具有相应的项目质量要求或标准，1.5分；</w:t>
      </w:r>
    </w:p>
    <w:p>
      <w:pPr>
        <w:pStyle w:val="12"/>
        <w:ind w:firstLine="560"/>
        <w:rPr>
          <w:rFonts w:cs="Times New Roman"/>
        </w:rPr>
      </w:pPr>
      <w:r>
        <w:rPr>
          <w:rFonts w:hint="eastAsia" w:ascii="宋体" w:hAnsi="宋体" w:eastAsia="宋体" w:cs="宋体"/>
        </w:rPr>
        <w:t>②</w:t>
      </w:r>
      <w:r>
        <w:rPr>
          <w:rFonts w:cs="Times New Roman"/>
        </w:rPr>
        <w:t>是否采取了相应的项目质量检查、验收等必需的控制措施或手段，1.5分。</w:t>
      </w:r>
    </w:p>
    <w:p>
      <w:pPr>
        <w:pStyle w:val="12"/>
        <w:ind w:firstLine="562"/>
        <w:rPr>
          <w:rFonts w:cs="Times New Roman"/>
          <w:b/>
        </w:rPr>
      </w:pPr>
      <w:r>
        <w:rPr>
          <w:rFonts w:cs="Times New Roman"/>
          <w:b/>
        </w:rPr>
        <w:t>得分：</w:t>
      </w:r>
    </w:p>
    <w:p>
      <w:pPr>
        <w:pStyle w:val="12"/>
        <w:ind w:firstLine="560"/>
        <w:rPr>
          <w:rFonts w:ascii="仿宋" w:hAnsi="仿宋" w:cs="Times New Roman"/>
        </w:rPr>
      </w:pPr>
      <w:r>
        <w:rPr>
          <w:rFonts w:hint="eastAsia" w:ascii="仿宋" w:hAnsi="仿宋" w:cs="Times New Roman"/>
        </w:rPr>
        <w:t>该部分在资料搜集和评判工作，主要从保证招商信息工作质量的措施、保证与市政务服务和大数据管理局对接工作质量的措施、保证窗口投诉和网上投诉的处置工作质量的措施、保证市重点项目联审联批工作，入驻开发区企业的证件办理全程协助服务工作质量的措施、保证国家级、省级开发区评价等相关工作质量的措施、保证上级、党工委、管委会等交办的其他重点工作完成质量的措施等方面进行。</w:t>
      </w:r>
    </w:p>
    <w:p>
      <w:pPr>
        <w:pStyle w:val="12"/>
        <w:ind w:firstLine="560"/>
        <w:rPr>
          <w:rFonts w:cs="Times New Roman"/>
        </w:rPr>
      </w:pPr>
      <w:r>
        <w:rPr>
          <w:rFonts w:hint="eastAsia" w:ascii="仿宋" w:hAnsi="仿宋" w:cs="Times New Roman"/>
        </w:rPr>
        <w:t>①</w:t>
      </w:r>
      <w:r>
        <w:rPr>
          <w:rFonts w:hint="eastAsia" w:cs="Times New Roman"/>
        </w:rPr>
        <w:t>为提高行政服务中心工作的质量，漯河经济技术开发区行政服务中心制定了《漯河经济技术开发区行政服务中心标准化政务服务管理办法》工作制度，</w:t>
      </w:r>
      <w:r>
        <w:rPr>
          <w:rFonts w:cs="Times New Roman"/>
        </w:rPr>
        <w:t>得1</w:t>
      </w:r>
      <w:r>
        <w:rPr>
          <w:rFonts w:hint="eastAsia" w:cs="Times New Roman"/>
        </w:rPr>
        <w:t>.5</w:t>
      </w:r>
      <w:r>
        <w:rPr>
          <w:rFonts w:cs="Times New Roman"/>
        </w:rPr>
        <w:t>分；</w:t>
      </w:r>
    </w:p>
    <w:p>
      <w:pPr>
        <w:pStyle w:val="12"/>
        <w:ind w:firstLine="560"/>
        <w:rPr>
          <w:rFonts w:eastAsia="楷体_GB2312" w:cs="Times New Roman"/>
        </w:rPr>
      </w:pPr>
      <w:r>
        <w:rPr>
          <w:rFonts w:hint="eastAsia" w:ascii="宋体" w:hAnsi="宋体" w:eastAsia="宋体" w:cs="宋体"/>
        </w:rPr>
        <w:t>②</w:t>
      </w:r>
      <w:r>
        <w:rPr>
          <w:rFonts w:cs="Times New Roman"/>
        </w:rPr>
        <w:t>在</w:t>
      </w:r>
      <w:r>
        <w:rPr>
          <w:rFonts w:hint="eastAsia" w:cs="Times New Roman"/>
        </w:rPr>
        <w:t>日常工作</w:t>
      </w:r>
      <w:r>
        <w:rPr>
          <w:rFonts w:cs="Times New Roman"/>
        </w:rPr>
        <w:t>中</w:t>
      </w:r>
      <w:r>
        <w:rPr>
          <w:rFonts w:hint="eastAsia" w:cs="Times New Roman"/>
        </w:rPr>
        <w:t>，漯河经济技术开发区行政服务中心根据工作制度，</w:t>
      </w:r>
      <w:r>
        <w:rPr>
          <w:rFonts w:cs="Times New Roman"/>
        </w:rPr>
        <w:t>采取了相应的</w:t>
      </w:r>
      <w:r>
        <w:rPr>
          <w:rFonts w:hint="eastAsia" w:cs="Times New Roman"/>
        </w:rPr>
        <w:t>标准化</w:t>
      </w:r>
      <w:r>
        <w:rPr>
          <w:rFonts w:cs="Times New Roman"/>
        </w:rPr>
        <w:t>管理、满意度调查等必需的控制措施或手段，1.5分。</w:t>
      </w:r>
    </w:p>
    <w:p>
      <w:pPr>
        <w:pStyle w:val="5"/>
        <w:ind w:firstLine="562"/>
        <w:rPr>
          <w:rFonts w:cs="Times New Roman"/>
        </w:rPr>
      </w:pPr>
      <w:bookmarkStart w:id="58" w:name="_Toc67315595"/>
      <w:bookmarkStart w:id="59" w:name="_Toc19591"/>
      <w:r>
        <w:rPr>
          <w:rFonts w:cs="Times New Roman"/>
        </w:rPr>
        <w:t>2.预算管理（权重15，得分</w:t>
      </w:r>
      <w:r>
        <w:rPr>
          <w:rFonts w:hint="eastAsia" w:cs="Times New Roman"/>
        </w:rPr>
        <w:t>7.95</w:t>
      </w:r>
      <w:r>
        <w:rPr>
          <w:rFonts w:cs="Times New Roman"/>
        </w:rPr>
        <w:t>）</w:t>
      </w:r>
      <w:bookmarkEnd w:id="58"/>
      <w:bookmarkEnd w:id="59"/>
    </w:p>
    <w:p>
      <w:pPr>
        <w:pStyle w:val="12"/>
        <w:ind w:firstLine="560"/>
        <w:rPr>
          <w:rFonts w:cs="Times New Roman"/>
        </w:rPr>
      </w:pPr>
      <w:r>
        <w:rPr>
          <w:rFonts w:cs="Times New Roman"/>
        </w:rPr>
        <w:t>（1）资金</w:t>
      </w:r>
      <w:r>
        <w:rPr>
          <w:rFonts w:hint="eastAsia" w:cs="Times New Roman"/>
        </w:rPr>
        <w:t>拨付</w:t>
      </w:r>
      <w:r>
        <w:rPr>
          <w:rFonts w:cs="Times New Roman"/>
        </w:rPr>
        <w:t>率（权重2.5，得分</w:t>
      </w:r>
      <w:r>
        <w:rPr>
          <w:rFonts w:hint="eastAsia" w:cs="Times New Roman"/>
        </w:rPr>
        <w:t>0.225</w:t>
      </w:r>
      <w:r>
        <w:rPr>
          <w:rFonts w:cs="Times New Roman"/>
        </w:rPr>
        <w:t>）</w:t>
      </w:r>
    </w:p>
    <w:p>
      <w:pPr>
        <w:pStyle w:val="12"/>
        <w:ind w:firstLine="560"/>
        <w:rPr>
          <w:rFonts w:cs="Times New Roman"/>
          <w:bCs/>
        </w:rPr>
      </w:pPr>
      <w:r>
        <w:rPr>
          <w:rFonts w:hint="eastAsia" w:cs="Times New Roman"/>
          <w:bCs/>
        </w:rPr>
        <w:t>①维修、维护费资金拨付率；</w:t>
      </w:r>
    </w:p>
    <w:p>
      <w:pPr>
        <w:pStyle w:val="12"/>
        <w:ind w:firstLine="560"/>
        <w:rPr>
          <w:rFonts w:cs="Times New Roman"/>
          <w:bCs/>
        </w:rPr>
      </w:pPr>
      <w:r>
        <w:rPr>
          <w:rFonts w:hint="eastAsia" w:cs="Times New Roman"/>
          <w:bCs/>
        </w:rPr>
        <w:t>②办公费资金拨付率；</w:t>
      </w:r>
    </w:p>
    <w:p>
      <w:pPr>
        <w:pStyle w:val="12"/>
        <w:ind w:firstLine="560"/>
        <w:rPr>
          <w:rFonts w:cs="Times New Roman"/>
          <w:bCs/>
        </w:rPr>
      </w:pPr>
      <w:r>
        <w:rPr>
          <w:rFonts w:hint="eastAsia" w:cs="Times New Roman"/>
          <w:bCs/>
        </w:rPr>
        <w:t>③劳务费资金拨付率；</w:t>
      </w:r>
    </w:p>
    <w:p>
      <w:pPr>
        <w:pStyle w:val="12"/>
        <w:ind w:firstLine="560"/>
        <w:rPr>
          <w:rFonts w:cs="Times New Roman"/>
          <w:bCs/>
        </w:rPr>
      </w:pPr>
      <w:r>
        <w:rPr>
          <w:rFonts w:hint="eastAsia" w:cs="Times New Roman"/>
          <w:bCs/>
        </w:rPr>
        <w:t>④邮电费资金拨付率；</w:t>
      </w:r>
    </w:p>
    <w:p>
      <w:pPr>
        <w:pStyle w:val="12"/>
        <w:ind w:firstLine="560"/>
        <w:rPr>
          <w:rFonts w:cs="Times New Roman"/>
          <w:bCs/>
        </w:rPr>
      </w:pPr>
      <w:r>
        <w:rPr>
          <w:rFonts w:hint="eastAsia" w:cs="Times New Roman"/>
          <w:bCs/>
        </w:rPr>
        <w:t>⑤其他商品和服务支出资金拨付率；</w:t>
      </w:r>
    </w:p>
    <w:p>
      <w:pPr>
        <w:pStyle w:val="12"/>
        <w:ind w:firstLine="560"/>
        <w:rPr>
          <w:rFonts w:cs="Times New Roman"/>
          <w:bCs/>
        </w:rPr>
      </w:pPr>
      <w:r>
        <w:rPr>
          <w:rFonts w:hint="eastAsia" w:cs="Times New Roman"/>
          <w:bCs/>
        </w:rPr>
        <w:t>⑥其他工资福利支出资金拨付率；</w:t>
      </w:r>
    </w:p>
    <w:p>
      <w:pPr>
        <w:pStyle w:val="12"/>
        <w:ind w:firstLine="562"/>
        <w:rPr>
          <w:rFonts w:cs="Times New Roman"/>
          <w:b/>
        </w:rPr>
      </w:pPr>
      <w:r>
        <w:rPr>
          <w:rFonts w:cs="Times New Roman"/>
          <w:b/>
        </w:rPr>
        <w:t>评分标准：</w:t>
      </w:r>
    </w:p>
    <w:p>
      <w:pPr>
        <w:pStyle w:val="12"/>
        <w:ind w:firstLine="560"/>
        <w:rPr>
          <w:rFonts w:cs="Times New Roman"/>
        </w:rPr>
      </w:pPr>
      <w:r>
        <w:rPr>
          <w:rFonts w:cs="Times New Roman"/>
        </w:rPr>
        <w:t>资金</w:t>
      </w:r>
      <w:r>
        <w:rPr>
          <w:rFonts w:hint="eastAsia" w:cs="Times New Roman"/>
        </w:rPr>
        <w:t>拨付</w:t>
      </w:r>
      <w:r>
        <w:rPr>
          <w:rFonts w:cs="Times New Roman"/>
        </w:rPr>
        <w:t>率=（实际</w:t>
      </w:r>
      <w:r>
        <w:rPr>
          <w:rFonts w:hint="eastAsia" w:cs="Times New Roman"/>
        </w:rPr>
        <w:t>拨付</w:t>
      </w:r>
      <w:r>
        <w:rPr>
          <w:rFonts w:cs="Times New Roman"/>
        </w:rPr>
        <w:t>资金/计划投入资金）×100%。</w:t>
      </w:r>
    </w:p>
    <w:p>
      <w:pPr>
        <w:pStyle w:val="12"/>
        <w:ind w:firstLine="560"/>
        <w:rPr>
          <w:rFonts w:cs="Times New Roman"/>
        </w:rPr>
      </w:pPr>
      <w:r>
        <w:rPr>
          <w:rFonts w:hint="eastAsia" w:ascii="宋体" w:hAnsi="宋体" w:eastAsia="宋体" w:cs="宋体"/>
        </w:rPr>
        <w:t>①</w:t>
      </w:r>
      <w:r>
        <w:rPr>
          <w:rFonts w:cs="Times New Roman"/>
        </w:rPr>
        <w:t>实际</w:t>
      </w:r>
      <w:r>
        <w:rPr>
          <w:rFonts w:hint="eastAsia" w:cs="Times New Roman"/>
        </w:rPr>
        <w:t>拨付</w:t>
      </w:r>
      <w:r>
        <w:rPr>
          <w:rFonts w:cs="Times New Roman"/>
        </w:rPr>
        <w:t>资金：一定时期（本年度或项目期）内实际落实到具体项目的资金。</w:t>
      </w:r>
    </w:p>
    <w:p>
      <w:pPr>
        <w:pStyle w:val="12"/>
        <w:ind w:firstLine="560"/>
        <w:rPr>
          <w:rFonts w:cs="Times New Roman"/>
        </w:rPr>
      </w:pPr>
      <w:r>
        <w:rPr>
          <w:rFonts w:hint="eastAsia" w:ascii="宋体" w:hAnsi="宋体" w:eastAsia="宋体" w:cs="宋体"/>
        </w:rPr>
        <w:t>②</w:t>
      </w:r>
      <w:r>
        <w:rPr>
          <w:rFonts w:cs="Times New Roman"/>
        </w:rPr>
        <w:t>计划投入资金：一定时期（本年度或项目期）内计划投入到具体项目的资金。</w:t>
      </w:r>
    </w:p>
    <w:p>
      <w:pPr>
        <w:pStyle w:val="12"/>
        <w:ind w:firstLine="560"/>
        <w:rPr>
          <w:rFonts w:cs="Times New Roman"/>
        </w:rPr>
      </w:pPr>
      <w:r>
        <w:rPr>
          <w:rFonts w:cs="Times New Roman"/>
        </w:rPr>
        <w:t>实际得分=资金</w:t>
      </w:r>
      <w:r>
        <w:rPr>
          <w:rFonts w:hint="eastAsia" w:cs="Times New Roman"/>
        </w:rPr>
        <w:t>拨付</w:t>
      </w:r>
      <w:r>
        <w:rPr>
          <w:rFonts w:cs="Times New Roman"/>
        </w:rPr>
        <w:t>率</w:t>
      </w:r>
      <w:r>
        <w:rPr>
          <w:rFonts w:hint="eastAsia" w:cs="Times New Roman"/>
        </w:rPr>
        <w:t>（最低）</w:t>
      </w:r>
      <w:r>
        <w:rPr>
          <w:rFonts w:cs="Times New Roman"/>
        </w:rPr>
        <w:t>×2.5。</w:t>
      </w:r>
    </w:p>
    <w:p>
      <w:pPr>
        <w:pStyle w:val="12"/>
        <w:ind w:firstLine="562"/>
        <w:rPr>
          <w:rFonts w:cs="Times New Roman"/>
          <w:b/>
        </w:rPr>
      </w:pPr>
      <w:r>
        <w:rPr>
          <w:rFonts w:cs="Times New Roman"/>
          <w:b/>
        </w:rPr>
        <w:t>得分：</w:t>
      </w:r>
    </w:p>
    <w:p>
      <w:pPr>
        <w:pStyle w:val="12"/>
        <w:ind w:firstLine="560"/>
        <w:rPr>
          <w:rFonts w:cs="Times New Roman"/>
        </w:rPr>
      </w:pPr>
      <w:r>
        <w:rPr>
          <w:rFonts w:hint="eastAsia" w:cs="Times New Roman"/>
        </w:rPr>
        <w:t>由“一、（一）5.资金投入及使用情况”得知，实际得分</w:t>
      </w:r>
      <w:r>
        <w:rPr>
          <w:rFonts w:cs="Times New Roman"/>
        </w:rPr>
        <w:t>=资金</w:t>
      </w:r>
      <w:r>
        <w:rPr>
          <w:rFonts w:hint="eastAsia" w:cs="Times New Roman"/>
        </w:rPr>
        <w:t>拨付</w:t>
      </w:r>
      <w:r>
        <w:rPr>
          <w:rFonts w:cs="Times New Roman"/>
        </w:rPr>
        <w:t>率×2.5</w:t>
      </w:r>
      <w:r>
        <w:rPr>
          <w:rFonts w:hint="eastAsia" w:cs="Times New Roman"/>
        </w:rPr>
        <w:t>=9%</w:t>
      </w:r>
      <w:r>
        <w:rPr>
          <w:rFonts w:cs="Times New Roman"/>
        </w:rPr>
        <w:t>×</w:t>
      </w:r>
      <w:r>
        <w:rPr>
          <w:rFonts w:hint="eastAsia" w:cs="Times New Roman"/>
        </w:rPr>
        <w:t>2.5=0.225，得0.225分。</w:t>
      </w:r>
    </w:p>
    <w:p>
      <w:pPr>
        <w:pStyle w:val="12"/>
        <w:ind w:firstLine="560"/>
        <w:rPr>
          <w:rFonts w:cs="Times New Roman"/>
        </w:rPr>
      </w:pPr>
      <w:r>
        <w:rPr>
          <w:rFonts w:cs="Times New Roman"/>
        </w:rPr>
        <w:t>（2）</w:t>
      </w:r>
      <w:r>
        <w:rPr>
          <w:rFonts w:hint="eastAsia" w:cs="Times New Roman"/>
          <w:bCs/>
        </w:rPr>
        <w:t>拨付</w:t>
      </w:r>
      <w:r>
        <w:rPr>
          <w:rFonts w:cs="Times New Roman"/>
        </w:rPr>
        <w:t>及时率（权重2.5，得分2.5）</w:t>
      </w:r>
    </w:p>
    <w:p>
      <w:pPr>
        <w:pStyle w:val="12"/>
        <w:ind w:firstLine="562"/>
        <w:rPr>
          <w:rFonts w:cs="Times New Roman"/>
          <w:b/>
        </w:rPr>
      </w:pPr>
      <w:r>
        <w:rPr>
          <w:rFonts w:cs="Times New Roman"/>
          <w:b/>
        </w:rPr>
        <w:t>评分标准：</w:t>
      </w:r>
    </w:p>
    <w:p>
      <w:pPr>
        <w:pStyle w:val="12"/>
        <w:ind w:firstLine="560"/>
        <w:rPr>
          <w:rFonts w:cs="Times New Roman"/>
          <w:bCs/>
        </w:rPr>
      </w:pPr>
      <w:r>
        <w:rPr>
          <w:rFonts w:hint="eastAsia" w:cs="Times New Roman"/>
          <w:bCs/>
        </w:rPr>
        <w:t>①维修、维护费资金拨付及时率；</w:t>
      </w:r>
    </w:p>
    <w:p>
      <w:pPr>
        <w:pStyle w:val="12"/>
        <w:ind w:firstLine="560"/>
        <w:rPr>
          <w:rFonts w:cs="Times New Roman"/>
          <w:bCs/>
        </w:rPr>
      </w:pPr>
      <w:r>
        <w:rPr>
          <w:rFonts w:hint="eastAsia" w:cs="Times New Roman"/>
          <w:bCs/>
        </w:rPr>
        <w:t>②办公费资金拨付及时率；</w:t>
      </w:r>
    </w:p>
    <w:p>
      <w:pPr>
        <w:pStyle w:val="12"/>
        <w:ind w:firstLine="560"/>
        <w:rPr>
          <w:rFonts w:cs="Times New Roman"/>
          <w:bCs/>
        </w:rPr>
      </w:pPr>
      <w:r>
        <w:rPr>
          <w:rFonts w:hint="eastAsia" w:cs="Times New Roman"/>
          <w:bCs/>
        </w:rPr>
        <w:t>③劳务费资金拨付及时率；</w:t>
      </w:r>
    </w:p>
    <w:p>
      <w:pPr>
        <w:pStyle w:val="12"/>
        <w:ind w:firstLine="560"/>
        <w:rPr>
          <w:rFonts w:cs="Times New Roman"/>
          <w:bCs/>
        </w:rPr>
      </w:pPr>
      <w:r>
        <w:rPr>
          <w:rFonts w:hint="eastAsia" w:cs="Times New Roman"/>
          <w:bCs/>
        </w:rPr>
        <w:t>④邮电费资金拨付及时率；</w:t>
      </w:r>
    </w:p>
    <w:p>
      <w:pPr>
        <w:pStyle w:val="12"/>
        <w:ind w:firstLine="560"/>
        <w:rPr>
          <w:rFonts w:cs="Times New Roman"/>
          <w:bCs/>
        </w:rPr>
      </w:pPr>
      <w:r>
        <w:rPr>
          <w:rFonts w:hint="eastAsia" w:cs="Times New Roman"/>
          <w:bCs/>
        </w:rPr>
        <w:t>⑤其他商品和服务支出资金拨付及时率；</w:t>
      </w:r>
    </w:p>
    <w:p>
      <w:pPr>
        <w:pStyle w:val="12"/>
        <w:ind w:firstLine="560"/>
        <w:rPr>
          <w:rFonts w:cs="Times New Roman"/>
          <w:bCs/>
        </w:rPr>
      </w:pPr>
      <w:r>
        <w:rPr>
          <w:rFonts w:hint="eastAsia" w:cs="Times New Roman"/>
          <w:bCs/>
        </w:rPr>
        <w:t>⑥其他工资福利支出资金拨付及时率；</w:t>
      </w:r>
    </w:p>
    <w:p>
      <w:pPr>
        <w:pStyle w:val="12"/>
        <w:ind w:firstLine="560"/>
        <w:rPr>
          <w:rFonts w:cs="Times New Roman"/>
        </w:rPr>
      </w:pPr>
      <w:r>
        <w:rPr>
          <w:rFonts w:hint="eastAsia" w:cs="Times New Roman"/>
          <w:bCs/>
        </w:rPr>
        <w:t>拨付</w:t>
      </w:r>
      <w:r>
        <w:rPr>
          <w:rFonts w:cs="Times New Roman"/>
        </w:rPr>
        <w:t>及时率=（及时</w:t>
      </w:r>
      <w:r>
        <w:rPr>
          <w:rFonts w:hint="eastAsia" w:cs="Times New Roman"/>
        </w:rPr>
        <w:t>拨付</w:t>
      </w:r>
      <w:r>
        <w:rPr>
          <w:rFonts w:cs="Times New Roman"/>
        </w:rPr>
        <w:t>资金/应</w:t>
      </w:r>
      <w:r>
        <w:rPr>
          <w:rFonts w:hint="eastAsia" w:cs="Times New Roman"/>
        </w:rPr>
        <w:t>拨付</w:t>
      </w:r>
      <w:r>
        <w:rPr>
          <w:rFonts w:cs="Times New Roman"/>
        </w:rPr>
        <w:t>资金）×100%。</w:t>
      </w:r>
    </w:p>
    <w:p>
      <w:pPr>
        <w:pStyle w:val="12"/>
        <w:ind w:firstLine="560"/>
        <w:rPr>
          <w:rFonts w:cs="Times New Roman"/>
        </w:rPr>
      </w:pPr>
      <w:r>
        <w:rPr>
          <w:rFonts w:cs="Times New Roman"/>
        </w:rPr>
        <w:t>应</w:t>
      </w:r>
      <w:r>
        <w:rPr>
          <w:rFonts w:hint="eastAsia" w:cs="Times New Roman"/>
          <w:bCs/>
        </w:rPr>
        <w:t>拨付</w:t>
      </w:r>
      <w:r>
        <w:rPr>
          <w:rFonts w:cs="Times New Roman"/>
        </w:rPr>
        <w:t>资金：按照绩效办法、合同或项目进度要求截至规定时点应落实到具体项目的资金。</w:t>
      </w:r>
    </w:p>
    <w:p>
      <w:pPr>
        <w:pStyle w:val="12"/>
        <w:ind w:firstLine="560"/>
        <w:rPr>
          <w:rFonts w:cs="Times New Roman"/>
        </w:rPr>
      </w:pPr>
      <w:r>
        <w:rPr>
          <w:rFonts w:cs="Times New Roman"/>
        </w:rPr>
        <w:t>实际得分=</w:t>
      </w:r>
      <w:r>
        <w:rPr>
          <w:rFonts w:hint="eastAsia" w:cs="Times New Roman"/>
          <w:bCs/>
        </w:rPr>
        <w:t>拨付</w:t>
      </w:r>
      <w:r>
        <w:rPr>
          <w:rFonts w:cs="Times New Roman"/>
        </w:rPr>
        <w:t>及时率</w:t>
      </w:r>
      <w:r>
        <w:rPr>
          <w:rFonts w:hint="eastAsia" w:cs="Times New Roman"/>
        </w:rPr>
        <w:t>（</w:t>
      </w:r>
      <w:r>
        <w:rPr>
          <w:rFonts w:hint="eastAsia" w:cs="Times New Roman"/>
          <w:bCs/>
        </w:rPr>
        <w:t>①至⑥最低</w:t>
      </w:r>
      <w:r>
        <w:rPr>
          <w:rFonts w:hint="eastAsia" w:cs="Times New Roman"/>
        </w:rPr>
        <w:t>）</w:t>
      </w:r>
      <w:r>
        <w:rPr>
          <w:rFonts w:cs="Times New Roman"/>
        </w:rPr>
        <w:t>×2.5。</w:t>
      </w:r>
    </w:p>
    <w:p>
      <w:pPr>
        <w:pStyle w:val="12"/>
        <w:ind w:firstLine="562"/>
        <w:rPr>
          <w:rFonts w:cs="Times New Roman"/>
          <w:b/>
        </w:rPr>
      </w:pPr>
      <w:r>
        <w:rPr>
          <w:rFonts w:cs="Times New Roman"/>
          <w:b/>
        </w:rPr>
        <w:t>得分：</w:t>
      </w:r>
    </w:p>
    <w:p>
      <w:pPr>
        <w:pStyle w:val="12"/>
        <w:ind w:firstLine="560"/>
        <w:rPr>
          <w:rFonts w:cs="Times New Roman"/>
          <w:bCs/>
        </w:rPr>
      </w:pPr>
      <w:r>
        <w:rPr>
          <w:rFonts w:hint="eastAsia" w:cs="Times New Roman"/>
          <w:bCs/>
        </w:rPr>
        <w:t>①维修、维护费资金拨付及时率=16160元/16160元</w:t>
      </w:r>
      <w:r>
        <w:rPr>
          <w:rFonts w:cs="Times New Roman"/>
        </w:rPr>
        <w:t>×</w:t>
      </w:r>
      <w:r>
        <w:rPr>
          <w:rFonts w:hint="eastAsia" w:cs="Times New Roman"/>
        </w:rPr>
        <w:t>100%=100%</w:t>
      </w:r>
      <w:r>
        <w:rPr>
          <w:rFonts w:hint="eastAsia" w:cs="Times New Roman"/>
          <w:bCs/>
        </w:rPr>
        <w:t>；</w:t>
      </w:r>
    </w:p>
    <w:p>
      <w:pPr>
        <w:pStyle w:val="12"/>
        <w:ind w:firstLine="560"/>
        <w:rPr>
          <w:rFonts w:cs="Times New Roman"/>
          <w:bCs/>
        </w:rPr>
      </w:pPr>
      <w:r>
        <w:rPr>
          <w:rFonts w:hint="eastAsia" w:cs="Times New Roman"/>
          <w:bCs/>
        </w:rPr>
        <w:t>②办公费资金拨付及时率=25532.96元/25532.96元</w:t>
      </w:r>
      <w:r>
        <w:rPr>
          <w:rFonts w:cs="Times New Roman"/>
        </w:rPr>
        <w:t>×</w:t>
      </w:r>
      <w:r>
        <w:rPr>
          <w:rFonts w:hint="eastAsia" w:cs="Times New Roman"/>
        </w:rPr>
        <w:t>100%=100%</w:t>
      </w:r>
      <w:r>
        <w:rPr>
          <w:rFonts w:hint="eastAsia" w:cs="Times New Roman"/>
          <w:bCs/>
        </w:rPr>
        <w:t>；</w:t>
      </w:r>
    </w:p>
    <w:p>
      <w:pPr>
        <w:pStyle w:val="12"/>
        <w:ind w:firstLine="560"/>
        <w:rPr>
          <w:rFonts w:cs="Times New Roman"/>
          <w:bCs/>
        </w:rPr>
      </w:pPr>
      <w:r>
        <w:rPr>
          <w:rFonts w:hint="eastAsia" w:cs="Times New Roman"/>
          <w:bCs/>
        </w:rPr>
        <w:t>③劳务费资金拨付及时率=1800元/1800元</w:t>
      </w:r>
      <w:r>
        <w:rPr>
          <w:rFonts w:cs="Times New Roman"/>
        </w:rPr>
        <w:t>×</w:t>
      </w:r>
      <w:r>
        <w:rPr>
          <w:rFonts w:hint="eastAsia" w:cs="Times New Roman"/>
        </w:rPr>
        <w:t>100%=100%</w:t>
      </w:r>
      <w:r>
        <w:rPr>
          <w:rFonts w:hint="eastAsia" w:cs="Times New Roman"/>
          <w:bCs/>
        </w:rPr>
        <w:t>；</w:t>
      </w:r>
    </w:p>
    <w:p>
      <w:pPr>
        <w:pStyle w:val="12"/>
        <w:ind w:firstLine="560"/>
        <w:rPr>
          <w:rFonts w:cs="Times New Roman"/>
          <w:bCs/>
        </w:rPr>
      </w:pPr>
      <w:r>
        <w:rPr>
          <w:rFonts w:hint="eastAsia" w:cs="Times New Roman"/>
          <w:bCs/>
        </w:rPr>
        <w:t>④邮电费资金拨付及时率=3958.3元/3958.3元</w:t>
      </w:r>
      <w:r>
        <w:rPr>
          <w:rFonts w:cs="Times New Roman"/>
        </w:rPr>
        <w:t>×</w:t>
      </w:r>
      <w:r>
        <w:rPr>
          <w:rFonts w:hint="eastAsia" w:cs="Times New Roman"/>
        </w:rPr>
        <w:t>100%=100%</w:t>
      </w:r>
      <w:r>
        <w:rPr>
          <w:rFonts w:hint="eastAsia" w:cs="Times New Roman"/>
          <w:bCs/>
        </w:rPr>
        <w:t>；</w:t>
      </w:r>
    </w:p>
    <w:p>
      <w:pPr>
        <w:pStyle w:val="12"/>
        <w:ind w:firstLine="560"/>
        <w:rPr>
          <w:rFonts w:cs="Times New Roman"/>
          <w:bCs/>
        </w:rPr>
      </w:pPr>
      <w:r>
        <w:rPr>
          <w:rFonts w:hint="eastAsia" w:cs="Times New Roman"/>
          <w:bCs/>
        </w:rPr>
        <w:t>⑤其他商品和服务支出资金拨付及时率=136000元/136000元</w:t>
      </w:r>
      <w:r>
        <w:rPr>
          <w:rFonts w:cs="Times New Roman"/>
        </w:rPr>
        <w:t>×</w:t>
      </w:r>
      <w:r>
        <w:rPr>
          <w:rFonts w:hint="eastAsia" w:cs="Times New Roman"/>
        </w:rPr>
        <w:t>100%=100%</w:t>
      </w:r>
      <w:r>
        <w:rPr>
          <w:rFonts w:hint="eastAsia" w:cs="Times New Roman"/>
          <w:bCs/>
        </w:rPr>
        <w:t>；</w:t>
      </w:r>
    </w:p>
    <w:p>
      <w:pPr>
        <w:pStyle w:val="12"/>
        <w:ind w:firstLine="560"/>
        <w:rPr>
          <w:rFonts w:cs="Times New Roman"/>
          <w:bCs/>
        </w:rPr>
      </w:pPr>
      <w:r>
        <w:rPr>
          <w:rFonts w:hint="eastAsia" w:cs="Times New Roman"/>
          <w:bCs/>
        </w:rPr>
        <w:t>⑥其他工资福利支出资金拨付及时率=48000元/48000元</w:t>
      </w:r>
      <w:r>
        <w:rPr>
          <w:rFonts w:cs="Times New Roman"/>
        </w:rPr>
        <w:t>×</w:t>
      </w:r>
      <w:r>
        <w:rPr>
          <w:rFonts w:hint="eastAsia" w:cs="Times New Roman"/>
        </w:rPr>
        <w:t>100%=100%</w:t>
      </w:r>
      <w:r>
        <w:rPr>
          <w:rFonts w:hint="eastAsia" w:cs="Times New Roman"/>
          <w:bCs/>
        </w:rPr>
        <w:t>；</w:t>
      </w:r>
    </w:p>
    <w:p>
      <w:pPr>
        <w:pStyle w:val="12"/>
        <w:ind w:firstLine="560"/>
        <w:rPr>
          <w:rFonts w:cs="Times New Roman"/>
          <w:bCs/>
        </w:rPr>
      </w:pPr>
      <w:r>
        <w:rPr>
          <w:rFonts w:hint="eastAsia" w:cs="Times New Roman"/>
          <w:bCs/>
        </w:rPr>
        <w:t>综上所述，</w:t>
      </w:r>
      <w:r>
        <w:rPr>
          <w:rFonts w:cs="Times New Roman"/>
        </w:rPr>
        <w:t>实际得分=</w:t>
      </w:r>
      <w:r>
        <w:rPr>
          <w:rFonts w:hint="eastAsia" w:cs="Times New Roman"/>
          <w:bCs/>
        </w:rPr>
        <w:t>100%</w:t>
      </w:r>
      <w:r>
        <w:rPr>
          <w:rFonts w:cs="Times New Roman"/>
        </w:rPr>
        <w:t>×2.5</w:t>
      </w:r>
      <w:r>
        <w:rPr>
          <w:rFonts w:hint="eastAsia" w:cs="Times New Roman"/>
        </w:rPr>
        <w:t>=2.5，得2.5分。</w:t>
      </w:r>
    </w:p>
    <w:p>
      <w:pPr>
        <w:pStyle w:val="12"/>
        <w:ind w:firstLine="560"/>
        <w:rPr>
          <w:rFonts w:eastAsia="楷体_GB2312" w:cs="Times New Roman"/>
        </w:rPr>
      </w:pPr>
      <w:r>
        <w:rPr>
          <w:rFonts w:cs="Times New Roman"/>
        </w:rPr>
        <w:t>（3）预算执行率（权重2.5，得分1</w:t>
      </w:r>
      <w:r>
        <w:rPr>
          <w:rFonts w:hint="eastAsia" w:cs="Times New Roman"/>
        </w:rPr>
        <w:t>.24</w:t>
      </w:r>
      <w:r>
        <w:rPr>
          <w:rFonts w:cs="Times New Roman"/>
        </w:rPr>
        <w:t>）</w:t>
      </w:r>
    </w:p>
    <w:p>
      <w:pPr>
        <w:pStyle w:val="12"/>
        <w:ind w:firstLine="562"/>
        <w:rPr>
          <w:rFonts w:cs="Times New Roman"/>
          <w:b/>
        </w:rPr>
      </w:pPr>
      <w:r>
        <w:rPr>
          <w:rFonts w:cs="Times New Roman"/>
          <w:b/>
        </w:rPr>
        <w:t>评分标准：</w:t>
      </w:r>
    </w:p>
    <w:p>
      <w:pPr>
        <w:pStyle w:val="12"/>
        <w:ind w:left="640" w:leftChars="200" w:firstLine="0" w:firstLineChars="0"/>
        <w:rPr>
          <w:rFonts w:cs="Times New Roman"/>
        </w:rPr>
      </w:pPr>
      <w:r>
        <w:rPr>
          <w:rFonts w:hint="eastAsia" w:cs="Times New Roman"/>
        </w:rPr>
        <w:t>①维修维护费资金预算执行率；</w:t>
      </w:r>
    </w:p>
    <w:p>
      <w:pPr>
        <w:pStyle w:val="12"/>
        <w:ind w:left="640" w:leftChars="200" w:firstLine="0" w:firstLineChars="0"/>
        <w:rPr>
          <w:rFonts w:cs="Times New Roman"/>
        </w:rPr>
      </w:pPr>
      <w:r>
        <w:rPr>
          <w:rFonts w:hint="eastAsia" w:cs="Times New Roman"/>
        </w:rPr>
        <w:t>②办公费资金预算执行率；</w:t>
      </w:r>
    </w:p>
    <w:p>
      <w:pPr>
        <w:pStyle w:val="12"/>
        <w:ind w:left="640" w:leftChars="200" w:firstLine="0" w:firstLineChars="0"/>
        <w:rPr>
          <w:rFonts w:cs="Times New Roman"/>
        </w:rPr>
      </w:pPr>
      <w:r>
        <w:rPr>
          <w:rFonts w:hint="eastAsia" w:cs="Times New Roman"/>
        </w:rPr>
        <w:t>③劳务费资金预算执行率；</w:t>
      </w:r>
    </w:p>
    <w:p>
      <w:pPr>
        <w:pStyle w:val="12"/>
        <w:ind w:left="640" w:leftChars="200" w:firstLine="0" w:firstLineChars="0"/>
        <w:rPr>
          <w:rFonts w:cs="Times New Roman"/>
        </w:rPr>
      </w:pPr>
      <w:r>
        <w:rPr>
          <w:rFonts w:hint="eastAsia" w:cs="Times New Roman"/>
        </w:rPr>
        <w:t>④邮电费预算执行率；</w:t>
      </w:r>
    </w:p>
    <w:p>
      <w:pPr>
        <w:pStyle w:val="12"/>
        <w:ind w:left="640" w:leftChars="200" w:firstLine="0" w:firstLineChars="0"/>
        <w:rPr>
          <w:rFonts w:cs="Times New Roman"/>
        </w:rPr>
      </w:pPr>
      <w:r>
        <w:rPr>
          <w:rFonts w:hint="eastAsia" w:cs="Times New Roman"/>
        </w:rPr>
        <w:t>⑤其他商品和服务支出预算执行率；</w:t>
      </w:r>
    </w:p>
    <w:p>
      <w:pPr>
        <w:pStyle w:val="12"/>
        <w:ind w:left="640" w:leftChars="200" w:firstLine="0" w:firstLineChars="0"/>
        <w:rPr>
          <w:rFonts w:cs="Times New Roman"/>
        </w:rPr>
      </w:pPr>
      <w:r>
        <w:rPr>
          <w:rFonts w:hint="eastAsia" w:cs="Times New Roman"/>
          <w:bCs/>
        </w:rPr>
        <w:t>⑥</w:t>
      </w:r>
      <w:r>
        <w:rPr>
          <w:rFonts w:hint="eastAsia" w:cs="Times New Roman"/>
        </w:rPr>
        <w:t>其他福利工资支出资金预算执行率；</w:t>
      </w:r>
    </w:p>
    <w:p>
      <w:pPr>
        <w:pStyle w:val="12"/>
        <w:ind w:firstLine="560"/>
        <w:rPr>
          <w:rFonts w:cs="Times New Roman"/>
        </w:rPr>
      </w:pPr>
      <w:r>
        <w:rPr>
          <w:rFonts w:cs="Times New Roman"/>
        </w:rPr>
        <w:t>预算执行率=（实际支出资金/实际到位资金）×100%。</w:t>
      </w:r>
    </w:p>
    <w:p>
      <w:pPr>
        <w:pStyle w:val="12"/>
        <w:ind w:firstLine="560"/>
        <w:rPr>
          <w:rFonts w:cs="Times New Roman"/>
        </w:rPr>
      </w:pPr>
      <w:r>
        <w:rPr>
          <w:rFonts w:hint="eastAsia" w:ascii="宋体" w:hAnsi="宋体" w:eastAsia="宋体" w:cs="宋体"/>
        </w:rPr>
        <w:t>①</w:t>
      </w:r>
      <w:r>
        <w:rPr>
          <w:rFonts w:cs="Times New Roman"/>
        </w:rPr>
        <w:t>实际支出资金：一定时期（本年度或项目期）内项目实际拨付的资金；</w:t>
      </w:r>
    </w:p>
    <w:p>
      <w:pPr>
        <w:pStyle w:val="12"/>
        <w:ind w:firstLine="560"/>
        <w:rPr>
          <w:rFonts w:cs="Times New Roman"/>
        </w:rPr>
      </w:pPr>
      <w:r>
        <w:rPr>
          <w:rFonts w:hint="eastAsia" w:ascii="宋体" w:hAnsi="宋体" w:eastAsia="宋体" w:cs="宋体"/>
        </w:rPr>
        <w:t>②</w:t>
      </w:r>
      <w:r>
        <w:rPr>
          <w:rFonts w:cs="Times New Roman"/>
        </w:rPr>
        <w:t>实际到位资金：一定时期（本年度或项目期）内实际落实到具体项目的资金。</w:t>
      </w:r>
    </w:p>
    <w:p>
      <w:pPr>
        <w:pStyle w:val="12"/>
        <w:ind w:firstLine="560"/>
        <w:rPr>
          <w:rFonts w:cs="Times New Roman"/>
        </w:rPr>
      </w:pPr>
      <w:r>
        <w:rPr>
          <w:rFonts w:cs="Times New Roman"/>
        </w:rPr>
        <w:t>实际得分</w:t>
      </w:r>
      <w:r>
        <w:rPr>
          <w:rFonts w:hint="eastAsia" w:cs="Times New Roman"/>
        </w:rPr>
        <w:t>=</w:t>
      </w:r>
      <w:r>
        <w:rPr>
          <w:rFonts w:cs="Times New Roman"/>
        </w:rPr>
        <w:t>预算执行率</w:t>
      </w:r>
      <w:r>
        <w:rPr>
          <w:rFonts w:hint="eastAsia" w:cs="Times New Roman"/>
        </w:rPr>
        <w:t>（①至</w:t>
      </w:r>
      <w:r>
        <w:rPr>
          <w:rFonts w:hint="eastAsia" w:cs="Times New Roman"/>
          <w:bCs/>
        </w:rPr>
        <w:t>⑥</w:t>
      </w:r>
      <w:r>
        <w:rPr>
          <w:rFonts w:hint="eastAsia" w:cs="Times New Roman"/>
        </w:rPr>
        <w:t>最低）</w:t>
      </w:r>
      <w:r>
        <w:rPr>
          <w:rFonts w:cs="Times New Roman"/>
        </w:rPr>
        <w:t>×</w:t>
      </w:r>
      <w:r>
        <w:rPr>
          <w:rFonts w:hint="eastAsia" w:cs="Times New Roman"/>
        </w:rPr>
        <w:t>2.5</w:t>
      </w:r>
      <w:r>
        <w:rPr>
          <w:rFonts w:cs="Times New Roman"/>
        </w:rPr>
        <w:t>。</w:t>
      </w:r>
    </w:p>
    <w:p>
      <w:pPr>
        <w:pStyle w:val="12"/>
        <w:ind w:firstLine="562"/>
        <w:rPr>
          <w:rFonts w:cs="Times New Roman"/>
          <w:b/>
        </w:rPr>
      </w:pPr>
      <w:r>
        <w:rPr>
          <w:rFonts w:cs="Times New Roman"/>
          <w:b/>
        </w:rPr>
        <w:t>得分：</w:t>
      </w:r>
    </w:p>
    <w:p>
      <w:pPr>
        <w:pStyle w:val="12"/>
        <w:ind w:firstLine="560"/>
        <w:rPr>
          <w:rFonts w:cs="Times New Roman"/>
        </w:rPr>
      </w:pPr>
      <w:r>
        <w:rPr>
          <w:rFonts w:cs="Times New Roman"/>
        </w:rPr>
        <w:t>由</w:t>
      </w:r>
      <w:r>
        <w:rPr>
          <w:rFonts w:hint="eastAsia" w:cs="Times New Roman"/>
        </w:rPr>
        <w:t>“</w:t>
      </w:r>
      <w:r>
        <w:rPr>
          <w:rFonts w:cs="Times New Roman"/>
        </w:rPr>
        <w:t>一</w:t>
      </w:r>
      <w:r>
        <w:rPr>
          <w:rFonts w:hint="eastAsia" w:cs="Times New Roman"/>
        </w:rPr>
        <w:t>、（</w:t>
      </w:r>
      <w:r>
        <w:rPr>
          <w:rFonts w:cs="Times New Roman"/>
        </w:rPr>
        <w:t>一</w:t>
      </w:r>
      <w:r>
        <w:rPr>
          <w:rFonts w:hint="eastAsia" w:cs="Times New Roman"/>
        </w:rPr>
        <w:t>）</w:t>
      </w:r>
      <w:r>
        <w:rPr>
          <w:rFonts w:cs="Times New Roman"/>
        </w:rPr>
        <w:t>5.资金投入及使用情况</w:t>
      </w:r>
      <w:r>
        <w:rPr>
          <w:rFonts w:hint="eastAsia" w:cs="Times New Roman"/>
        </w:rPr>
        <w:t>”</w:t>
      </w:r>
      <w:r>
        <w:rPr>
          <w:rFonts w:cs="Times New Roman"/>
        </w:rPr>
        <w:t>得知</w:t>
      </w:r>
      <w:r>
        <w:rPr>
          <w:rFonts w:hint="eastAsia" w:cs="Times New Roman"/>
        </w:rPr>
        <w:t>，实际</w:t>
      </w:r>
      <w:r>
        <w:rPr>
          <w:rFonts w:cs="Times New Roman"/>
        </w:rPr>
        <w:t>得分</w:t>
      </w:r>
      <w:r>
        <w:rPr>
          <w:rFonts w:hint="eastAsia" w:cs="Times New Roman"/>
        </w:rPr>
        <w:t>=9%</w:t>
      </w:r>
      <w:r>
        <w:rPr>
          <w:rFonts w:cs="Times New Roman"/>
        </w:rPr>
        <w:t>×</w:t>
      </w:r>
      <w:r>
        <w:rPr>
          <w:rFonts w:hint="eastAsia" w:cs="Times New Roman"/>
        </w:rPr>
        <w:t>2.5=0.225，得0.225分。</w:t>
      </w:r>
    </w:p>
    <w:p>
      <w:pPr>
        <w:pStyle w:val="12"/>
        <w:ind w:firstLine="560"/>
        <w:rPr>
          <w:rFonts w:eastAsia="楷体_GB2312" w:cs="Times New Roman"/>
        </w:rPr>
      </w:pPr>
      <w:r>
        <w:rPr>
          <w:rFonts w:cs="Times New Roman"/>
        </w:rPr>
        <w:t>（4）管理制度健全性（权重2.5，得分</w:t>
      </w:r>
      <w:r>
        <w:rPr>
          <w:rFonts w:hint="eastAsia" w:cs="Times New Roman"/>
        </w:rPr>
        <w:t>1.5</w:t>
      </w:r>
      <w:r>
        <w:rPr>
          <w:rFonts w:cs="Times New Roman"/>
        </w:rPr>
        <w:t>）</w:t>
      </w:r>
      <w:r>
        <w:rPr>
          <w:rFonts w:cs="Times New Roman"/>
        </w:rPr>
        <w:tab/>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是否已制定或具有相应项目资金管理办法，1分；</w:t>
      </w:r>
    </w:p>
    <w:p>
      <w:pPr>
        <w:pStyle w:val="12"/>
        <w:ind w:firstLine="560"/>
        <w:rPr>
          <w:rFonts w:cs="Times New Roman"/>
        </w:rPr>
      </w:pPr>
      <w:r>
        <w:rPr>
          <w:rFonts w:hint="eastAsia" w:ascii="宋体" w:hAnsi="宋体" w:eastAsia="宋体" w:cs="宋体"/>
        </w:rPr>
        <w:t>②</w:t>
      </w:r>
      <w:r>
        <w:rPr>
          <w:rFonts w:cs="Times New Roman"/>
        </w:rPr>
        <w:t>项目资金管理办法是否符合相关财务会计制度的规定，1分；</w:t>
      </w:r>
    </w:p>
    <w:p>
      <w:pPr>
        <w:pStyle w:val="12"/>
        <w:ind w:firstLine="560"/>
        <w:rPr>
          <w:rFonts w:cs="Times New Roman"/>
        </w:rPr>
      </w:pPr>
      <w:r>
        <w:rPr>
          <w:rFonts w:hint="eastAsia" w:ascii="宋体" w:hAnsi="宋体" w:eastAsia="宋体" w:cs="宋体"/>
        </w:rPr>
        <w:t>③</w:t>
      </w:r>
      <w:r>
        <w:rPr>
          <w:rFonts w:cs="Times New Roman"/>
        </w:rPr>
        <w:t>管理制度是否健全、完整，0.5分。</w:t>
      </w:r>
    </w:p>
    <w:p>
      <w:pPr>
        <w:pStyle w:val="12"/>
        <w:ind w:firstLine="562"/>
        <w:rPr>
          <w:rFonts w:cs="Times New Roman"/>
          <w:b/>
        </w:rPr>
      </w:pPr>
      <w:r>
        <w:rPr>
          <w:rFonts w:cs="Times New Roman"/>
          <w:b/>
        </w:rPr>
        <w:t>得分：</w:t>
      </w:r>
    </w:p>
    <w:p>
      <w:pPr>
        <w:pStyle w:val="12"/>
        <w:ind w:firstLine="560"/>
        <w:rPr>
          <w:rFonts w:cs="Times New Roman"/>
        </w:rPr>
      </w:pPr>
      <w:r>
        <w:rPr>
          <w:rFonts w:hint="eastAsia" w:cs="Times New Roman"/>
        </w:rPr>
        <w:t>①经询问区财政局相关人员，项目预算由会计核算中心统一管理，制定有《预算管理制度》、《项目资金管理制度》、《财务管理制度》等全面的管理制度。漯河经济技术开发区行政服务中心制定了《财务管理制度》，缺少《经费管理制度》，</w:t>
      </w:r>
      <w:r>
        <w:rPr>
          <w:rFonts w:cs="Times New Roman"/>
        </w:rPr>
        <w:t>得</w:t>
      </w:r>
      <w:r>
        <w:rPr>
          <w:rFonts w:hint="eastAsia" w:cs="Times New Roman"/>
        </w:rPr>
        <w:t>0.6</w:t>
      </w:r>
      <w:r>
        <w:rPr>
          <w:rFonts w:cs="Times New Roman"/>
        </w:rPr>
        <w:t>分；</w:t>
      </w:r>
    </w:p>
    <w:p>
      <w:pPr>
        <w:pStyle w:val="12"/>
        <w:ind w:firstLine="560"/>
        <w:rPr>
          <w:rFonts w:cs="Times New Roman"/>
        </w:rPr>
      </w:pPr>
      <w:r>
        <w:rPr>
          <w:rFonts w:hint="eastAsia" w:cs="Times New Roman"/>
        </w:rPr>
        <w:t>②漯河经济技术开发区行政服务中心制定的《财务管理制度》</w:t>
      </w:r>
      <w:r>
        <w:rPr>
          <w:rFonts w:cs="Times New Roman"/>
        </w:rPr>
        <w:t>符合相关财务会计制度的规定，</w:t>
      </w:r>
      <w:r>
        <w:rPr>
          <w:rFonts w:hint="eastAsia" w:cs="Times New Roman"/>
        </w:rPr>
        <w:t>但缺少《经费管理制度》，</w:t>
      </w:r>
      <w:r>
        <w:rPr>
          <w:rFonts w:cs="Times New Roman"/>
        </w:rPr>
        <w:t>得</w:t>
      </w:r>
      <w:r>
        <w:rPr>
          <w:rFonts w:hint="eastAsia" w:cs="Times New Roman"/>
        </w:rPr>
        <w:t>0.6</w:t>
      </w:r>
      <w:r>
        <w:rPr>
          <w:rFonts w:cs="Times New Roman"/>
        </w:rPr>
        <w:t>分；</w:t>
      </w:r>
    </w:p>
    <w:p>
      <w:pPr>
        <w:pStyle w:val="12"/>
        <w:ind w:firstLine="560"/>
        <w:rPr>
          <w:rFonts w:cs="Times New Roman"/>
        </w:rPr>
      </w:pPr>
      <w:r>
        <w:rPr>
          <w:rFonts w:hint="eastAsia" w:cs="Times New Roman"/>
        </w:rPr>
        <w:t>③由①和②得该部门有相应的管理办法，管理制度健全性有待提高</w:t>
      </w:r>
      <w:r>
        <w:rPr>
          <w:rFonts w:cs="Times New Roman"/>
        </w:rPr>
        <w:t>，得</w:t>
      </w:r>
      <w:r>
        <w:rPr>
          <w:rFonts w:hint="eastAsia" w:cs="Times New Roman"/>
        </w:rPr>
        <w:t>0.3</w:t>
      </w:r>
      <w:r>
        <w:rPr>
          <w:rFonts w:cs="Times New Roman"/>
        </w:rPr>
        <w:t>分。</w:t>
      </w:r>
    </w:p>
    <w:p>
      <w:pPr>
        <w:pStyle w:val="12"/>
        <w:ind w:firstLine="560"/>
        <w:rPr>
          <w:rFonts w:eastAsia="楷体_GB2312" w:cs="Times New Roman"/>
        </w:rPr>
      </w:pPr>
      <w:r>
        <w:rPr>
          <w:rFonts w:cs="Times New Roman"/>
        </w:rPr>
        <w:t>（5）资金使用合规性（权重2.5，得分</w:t>
      </w:r>
      <w:r>
        <w:rPr>
          <w:rFonts w:hint="eastAsia" w:cs="Times New Roman"/>
        </w:rPr>
        <w:t>2</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资金使用是否符合国家财经法规和财务管理制度以及有关专项资金管理办法的规定,0.5分；</w:t>
      </w:r>
    </w:p>
    <w:p>
      <w:pPr>
        <w:pStyle w:val="12"/>
        <w:ind w:firstLine="560"/>
        <w:rPr>
          <w:rFonts w:cs="Times New Roman"/>
        </w:rPr>
      </w:pPr>
      <w:r>
        <w:rPr>
          <w:rFonts w:hint="eastAsia" w:ascii="宋体" w:hAnsi="宋体" w:eastAsia="宋体" w:cs="宋体"/>
        </w:rPr>
        <w:t>②</w:t>
      </w:r>
      <w:r>
        <w:rPr>
          <w:rFonts w:cs="Times New Roman"/>
        </w:rPr>
        <w:t>资金的拨付是否有完整的审批程序和手续,0.5分；</w:t>
      </w:r>
    </w:p>
    <w:p>
      <w:pPr>
        <w:pStyle w:val="12"/>
        <w:ind w:firstLine="560"/>
        <w:rPr>
          <w:rFonts w:cs="Times New Roman"/>
        </w:rPr>
      </w:pPr>
      <w:r>
        <w:rPr>
          <w:rFonts w:hint="eastAsia" w:ascii="宋体" w:hAnsi="宋体" w:eastAsia="宋体" w:cs="宋体"/>
        </w:rPr>
        <w:t>③</w:t>
      </w:r>
      <w:r>
        <w:rPr>
          <w:rFonts w:cs="Times New Roman"/>
        </w:rPr>
        <w:t>项目的重大开支是否经过集体研究,0.5分；</w:t>
      </w:r>
    </w:p>
    <w:p>
      <w:pPr>
        <w:pStyle w:val="12"/>
        <w:ind w:firstLine="560"/>
        <w:rPr>
          <w:rFonts w:cs="Times New Roman"/>
        </w:rPr>
      </w:pPr>
      <w:r>
        <w:rPr>
          <w:rFonts w:hint="eastAsia" w:ascii="宋体" w:hAnsi="宋体" w:eastAsia="宋体" w:cs="宋体"/>
        </w:rPr>
        <w:t>④</w:t>
      </w:r>
      <w:r>
        <w:rPr>
          <w:rFonts w:cs="Times New Roman"/>
        </w:rPr>
        <w:t>资金使用是否符合项目预算批复或合同规定的用途,0.5分。</w:t>
      </w:r>
    </w:p>
    <w:p>
      <w:pPr>
        <w:pStyle w:val="12"/>
        <w:ind w:firstLine="560"/>
        <w:rPr>
          <w:rFonts w:cs="Times New Roman"/>
        </w:rPr>
      </w:pPr>
      <w:r>
        <w:rPr>
          <w:rFonts w:hint="eastAsia" w:ascii="宋体" w:hAnsi="宋体" w:eastAsia="宋体" w:cs="宋体"/>
        </w:rPr>
        <w:t>⑤</w:t>
      </w:r>
      <w:r>
        <w:rPr>
          <w:rFonts w:cs="Times New Roman"/>
        </w:rPr>
        <w:t>资金使用是否出现截留、挤占、挪用、虚列支出任何一种情况,0.5分。</w:t>
      </w:r>
    </w:p>
    <w:p>
      <w:pPr>
        <w:pStyle w:val="12"/>
        <w:ind w:firstLine="560"/>
        <w:rPr>
          <w:rFonts w:cs="Times New Roman"/>
        </w:rPr>
      </w:pPr>
      <w:r>
        <w:rPr>
          <w:rFonts w:ascii="Segoe UI Symbol" w:hAnsi="Segoe UI Symbol" w:cs="Segoe UI Symbol"/>
        </w:rPr>
        <w:t>★</w:t>
      </w:r>
      <w:r>
        <w:rPr>
          <w:rFonts w:cs="Times New Roman"/>
        </w:rPr>
        <w:t>出现</w:t>
      </w:r>
      <w:r>
        <w:rPr>
          <w:rFonts w:hint="eastAsia" w:ascii="宋体" w:hAnsi="宋体" w:eastAsia="宋体" w:cs="宋体"/>
        </w:rPr>
        <w:t>④</w:t>
      </w:r>
      <w:r>
        <w:rPr>
          <w:rFonts w:cs="Times New Roman"/>
        </w:rPr>
        <w:t>或</w:t>
      </w:r>
      <w:r>
        <w:rPr>
          <w:rFonts w:hint="eastAsia" w:ascii="宋体" w:hAnsi="宋体" w:eastAsia="宋体" w:cs="宋体"/>
        </w:rPr>
        <w:t>⑤</w:t>
      </w:r>
      <w:r>
        <w:rPr>
          <w:rFonts w:cs="Times New Roman"/>
        </w:rPr>
        <w:t>情况，本指标得分为0。</w:t>
      </w:r>
    </w:p>
    <w:p>
      <w:pPr>
        <w:pStyle w:val="12"/>
        <w:ind w:firstLine="562"/>
        <w:rPr>
          <w:rFonts w:cs="Times New Roman"/>
          <w:b/>
        </w:rPr>
      </w:pPr>
      <w:r>
        <w:rPr>
          <w:rFonts w:cs="Times New Roman"/>
          <w:b/>
        </w:rPr>
        <w:t>得分：</w:t>
      </w:r>
    </w:p>
    <w:p>
      <w:pPr>
        <w:pStyle w:val="12"/>
        <w:ind w:firstLine="560"/>
        <w:rPr>
          <w:rFonts w:cs="Times New Roman"/>
        </w:rPr>
      </w:pPr>
      <w:r>
        <w:rPr>
          <w:rFonts w:cs="Times New Roman"/>
        </w:rPr>
        <w:t>本部分主要从</w:t>
      </w:r>
      <w:r>
        <w:rPr>
          <w:rFonts w:hint="eastAsia" w:cs="Times New Roman"/>
        </w:rPr>
        <w:t>维修维护费资金使用合规性、办公费资金使用合规性、劳务费资金使用合规性、邮电费使用合规性、其他商品和服务支出资金使用合规性、其他福利工资支出资金使用合规性</w:t>
      </w:r>
      <w:r>
        <w:rPr>
          <w:rFonts w:cs="Times New Roman"/>
        </w:rPr>
        <w:t>进行分析。</w:t>
      </w:r>
    </w:p>
    <w:p>
      <w:pPr>
        <w:pStyle w:val="12"/>
        <w:ind w:firstLine="560"/>
        <w:rPr>
          <w:rFonts w:cs="Times New Roman"/>
        </w:rPr>
      </w:pPr>
      <w:r>
        <w:rPr>
          <w:rFonts w:hint="eastAsia" w:ascii="仿宋" w:hAnsi="仿宋" w:cs="Times New Roman"/>
        </w:rPr>
        <w:t>①</w:t>
      </w:r>
      <w:r>
        <w:rPr>
          <w:rFonts w:cs="Times New Roman"/>
        </w:rPr>
        <w:t>项目资金使用符合国家财经法规和财务管理制度规定，得0.5分；</w:t>
      </w:r>
    </w:p>
    <w:p>
      <w:pPr>
        <w:pStyle w:val="12"/>
        <w:ind w:firstLine="560"/>
        <w:rPr>
          <w:rFonts w:cs="Times New Roman"/>
        </w:rPr>
      </w:pPr>
      <w:r>
        <w:rPr>
          <w:rFonts w:hint="eastAsia" w:cs="Times New Roman"/>
        </w:rPr>
        <w:t>②</w:t>
      </w:r>
      <w:r>
        <w:rPr>
          <w:rFonts w:cs="Times New Roman"/>
        </w:rPr>
        <w:t>项目资金按照相关拨付流程进行审批，履行申请、批复手续，经现场查验，该笔资金划拨记账凭证完善，</w:t>
      </w:r>
      <w:r>
        <w:rPr>
          <w:rFonts w:hint="eastAsia" w:cs="Times New Roman"/>
        </w:rPr>
        <w:t>报销</w:t>
      </w:r>
      <w:r>
        <w:rPr>
          <w:rFonts w:cs="Times New Roman"/>
        </w:rPr>
        <w:t>单据、相关合同、发票、会计凭证等均妥善保管，资金的拨付有完整的审批程序和手续，但</w:t>
      </w:r>
      <w:r>
        <w:rPr>
          <w:rFonts w:hint="eastAsia" w:cs="Times New Roman"/>
        </w:rPr>
        <w:t>未提供预算调剂或支出调整</w:t>
      </w:r>
      <w:r>
        <w:rPr>
          <w:rFonts w:cs="Times New Roman"/>
        </w:rPr>
        <w:t>相关</w:t>
      </w:r>
      <w:r>
        <w:rPr>
          <w:rFonts w:hint="eastAsia" w:cs="Times New Roman"/>
        </w:rPr>
        <w:t>资料，</w:t>
      </w:r>
      <w:r>
        <w:rPr>
          <w:rFonts w:cs="Times New Roman"/>
          <w:color w:val="000000" w:themeColor="text1"/>
        </w:rPr>
        <w:t>得</w:t>
      </w:r>
      <w:r>
        <w:rPr>
          <w:rFonts w:cs="Times New Roman"/>
        </w:rPr>
        <w:t>0.</w:t>
      </w:r>
      <w:r>
        <w:rPr>
          <w:rFonts w:hint="eastAsia" w:cs="Times New Roman"/>
        </w:rPr>
        <w:t>2</w:t>
      </w:r>
      <w:r>
        <w:rPr>
          <w:rFonts w:cs="Times New Roman"/>
        </w:rPr>
        <w:t>5分；</w:t>
      </w:r>
    </w:p>
    <w:p>
      <w:pPr>
        <w:pStyle w:val="12"/>
        <w:ind w:firstLine="560"/>
        <w:rPr>
          <w:rFonts w:eastAsia="宋体" w:cs="Times New Roman"/>
          <w:color w:val="FF0000"/>
        </w:rPr>
      </w:pPr>
      <w:r>
        <w:rPr>
          <w:rFonts w:hint="eastAsia" w:ascii="宋体" w:hAnsi="宋体" w:eastAsia="宋体" w:cs="宋体"/>
        </w:rPr>
        <w:t>③</w:t>
      </w:r>
      <w:r>
        <w:rPr>
          <w:rFonts w:hint="eastAsia" w:ascii="仿宋" w:hAnsi="仿宋" w:cs="仿宋"/>
        </w:rPr>
        <w:t>该中心</w:t>
      </w:r>
      <w:r>
        <w:rPr>
          <w:rFonts w:cs="Times New Roman"/>
        </w:rPr>
        <w:t>的</w:t>
      </w:r>
      <w:r>
        <w:rPr>
          <w:rFonts w:hint="eastAsia" w:cs="Times New Roman"/>
        </w:rPr>
        <w:t>重大</w:t>
      </w:r>
      <w:r>
        <w:rPr>
          <w:rFonts w:cs="Times New Roman"/>
        </w:rPr>
        <w:t>项目履行内部讨论</w:t>
      </w:r>
      <w:r>
        <w:rPr>
          <w:rFonts w:hint="eastAsia" w:cs="Times New Roman"/>
        </w:rPr>
        <w:t>、集体研究后进行</w:t>
      </w:r>
      <w:r>
        <w:rPr>
          <w:rFonts w:cs="Times New Roman"/>
        </w:rPr>
        <w:t>申请</w:t>
      </w:r>
      <w:r>
        <w:rPr>
          <w:rFonts w:cs="Times New Roman"/>
          <w:color w:val="000000" w:themeColor="text1"/>
        </w:rPr>
        <w:t>，得0.5分；</w:t>
      </w:r>
    </w:p>
    <w:p>
      <w:pPr>
        <w:pStyle w:val="12"/>
        <w:ind w:firstLine="560"/>
        <w:rPr>
          <w:rFonts w:cs="Times New Roman"/>
        </w:rPr>
      </w:pPr>
      <w:r>
        <w:rPr>
          <w:rFonts w:hint="eastAsia" w:ascii="宋体" w:hAnsi="宋体" w:eastAsia="宋体" w:cs="宋体"/>
        </w:rPr>
        <w:t>④</w:t>
      </w:r>
      <w:r>
        <w:rPr>
          <w:rFonts w:cs="Times New Roman"/>
        </w:rPr>
        <w:t>资金使用均按照批复内容及招标文件内容</w:t>
      </w:r>
      <w:r>
        <w:rPr>
          <w:rFonts w:hint="eastAsia" w:cs="Times New Roman"/>
        </w:rPr>
        <w:t>，</w:t>
      </w:r>
      <w:r>
        <w:rPr>
          <w:rFonts w:cs="Times New Roman"/>
        </w:rPr>
        <w:t>符合项目预算批复和合同规定的用途，但</w:t>
      </w:r>
      <w:r>
        <w:rPr>
          <w:rFonts w:hint="eastAsia" w:cs="Times New Roman"/>
        </w:rPr>
        <w:t>未提供预算调剂或支出调整</w:t>
      </w:r>
      <w:r>
        <w:rPr>
          <w:rFonts w:cs="Times New Roman"/>
        </w:rPr>
        <w:t>相关</w:t>
      </w:r>
      <w:r>
        <w:rPr>
          <w:rFonts w:hint="eastAsia" w:cs="Times New Roman"/>
        </w:rPr>
        <w:t>资料，</w:t>
      </w:r>
      <w:r>
        <w:rPr>
          <w:rFonts w:cs="Times New Roman"/>
          <w:color w:val="000000" w:themeColor="text1"/>
        </w:rPr>
        <w:t>得</w:t>
      </w:r>
      <w:r>
        <w:rPr>
          <w:rFonts w:cs="Times New Roman"/>
        </w:rPr>
        <w:t>0.</w:t>
      </w:r>
      <w:r>
        <w:rPr>
          <w:rFonts w:hint="eastAsia" w:cs="Times New Roman"/>
        </w:rPr>
        <w:t>2</w:t>
      </w:r>
      <w:r>
        <w:rPr>
          <w:rFonts w:cs="Times New Roman"/>
        </w:rPr>
        <w:t>5分；</w:t>
      </w:r>
    </w:p>
    <w:p>
      <w:pPr>
        <w:pStyle w:val="12"/>
        <w:ind w:firstLine="560"/>
        <w:rPr>
          <w:rFonts w:cs="Times New Roman"/>
        </w:rPr>
      </w:pPr>
      <w:r>
        <w:rPr>
          <w:rFonts w:hint="eastAsia" w:ascii="宋体" w:hAnsi="宋体" w:eastAsia="宋体" w:cs="宋体"/>
        </w:rPr>
        <w:t>⑤</w:t>
      </w:r>
      <w:r>
        <w:rPr>
          <w:rFonts w:hint="eastAsia" w:ascii="仿宋" w:hAnsi="仿宋" w:cs="仿宋"/>
        </w:rPr>
        <w:t>漯河经济技术开发区行政服务中心</w:t>
      </w:r>
      <w:r>
        <w:rPr>
          <w:rFonts w:cs="Times New Roman"/>
        </w:rPr>
        <w:t>未出现截留、挤占、挪用、虚列支出的情况,得0.5分。</w:t>
      </w:r>
    </w:p>
    <w:p>
      <w:pPr>
        <w:pStyle w:val="12"/>
        <w:ind w:firstLine="560"/>
        <w:rPr>
          <w:rFonts w:eastAsia="楷体_GB2312" w:cs="Times New Roman"/>
        </w:rPr>
      </w:pPr>
      <w:r>
        <w:rPr>
          <w:rFonts w:cs="Times New Roman"/>
        </w:rPr>
        <w:t>（6）财务监控有效性（权重2.5，得分</w:t>
      </w:r>
      <w:r>
        <w:rPr>
          <w:rFonts w:hint="eastAsia" w:cs="Times New Roman"/>
        </w:rPr>
        <w:t>1.5</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是否形成监督、检查、复核的监控机制，1分；</w:t>
      </w:r>
    </w:p>
    <w:p>
      <w:pPr>
        <w:pStyle w:val="12"/>
        <w:ind w:firstLine="560"/>
        <w:rPr>
          <w:rFonts w:cs="Times New Roman"/>
        </w:rPr>
      </w:pPr>
      <w:r>
        <w:rPr>
          <w:rFonts w:hint="eastAsia" w:ascii="宋体" w:hAnsi="宋体" w:eastAsia="宋体" w:cs="宋体"/>
        </w:rPr>
        <w:t>②</w:t>
      </w:r>
      <w:r>
        <w:rPr>
          <w:rFonts w:cs="Times New Roman"/>
        </w:rPr>
        <w:t>是否采取了相应的财务检查等必要的监控措施或手段，1分；</w:t>
      </w:r>
    </w:p>
    <w:p>
      <w:pPr>
        <w:pStyle w:val="12"/>
        <w:ind w:firstLine="560"/>
        <w:rPr>
          <w:rFonts w:cs="Times New Roman"/>
        </w:rPr>
      </w:pPr>
      <w:r>
        <w:rPr>
          <w:rFonts w:hint="eastAsia" w:ascii="宋体" w:hAnsi="宋体" w:eastAsia="宋体" w:cs="宋体"/>
        </w:rPr>
        <w:t>③</w:t>
      </w:r>
      <w:r>
        <w:rPr>
          <w:rFonts w:cs="Times New Roman"/>
        </w:rPr>
        <w:t>不相容职责是否分离，0.5分。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hint="eastAsia" w:ascii="仿宋" w:hAnsi="仿宋" w:cs="仿宋"/>
        </w:rPr>
        <w:t>漯河经济技术开发区行政服务中心</w:t>
      </w:r>
      <w:r>
        <w:rPr>
          <w:rFonts w:cs="Times New Roman"/>
        </w:rPr>
        <w:t>按照</w:t>
      </w:r>
      <w:r>
        <w:rPr>
          <w:rFonts w:hint="eastAsia" w:cs="Times New Roman"/>
        </w:rPr>
        <w:t>《财务管理制度》</w:t>
      </w:r>
      <w:r>
        <w:rPr>
          <w:rFonts w:cs="Times New Roman"/>
        </w:rPr>
        <w:t>，形成监督、检查、复核的监控机制，但</w:t>
      </w:r>
      <w:r>
        <w:rPr>
          <w:rFonts w:hint="eastAsia" w:cs="Times New Roman"/>
        </w:rPr>
        <w:t>未提供预算调剂或支出调整</w:t>
      </w:r>
      <w:r>
        <w:rPr>
          <w:rFonts w:cs="Times New Roman"/>
        </w:rPr>
        <w:t>相关</w:t>
      </w:r>
      <w:r>
        <w:rPr>
          <w:rFonts w:hint="eastAsia" w:cs="Times New Roman"/>
        </w:rPr>
        <w:t>资料，</w:t>
      </w:r>
      <w:r>
        <w:rPr>
          <w:rFonts w:cs="Times New Roman"/>
        </w:rPr>
        <w:t>监控机制有漏洞</w:t>
      </w:r>
      <w:r>
        <w:rPr>
          <w:rFonts w:hint="eastAsia" w:cs="Times New Roman"/>
        </w:rPr>
        <w:t>，得0.5</w:t>
      </w:r>
      <w:r>
        <w:rPr>
          <w:rFonts w:cs="Times New Roman"/>
        </w:rPr>
        <w:t>分；</w:t>
      </w:r>
    </w:p>
    <w:p>
      <w:pPr>
        <w:pStyle w:val="12"/>
        <w:ind w:firstLine="560"/>
        <w:rPr>
          <w:rFonts w:cs="Times New Roman"/>
        </w:rPr>
      </w:pPr>
      <w:r>
        <w:rPr>
          <w:rFonts w:hint="eastAsia" w:ascii="宋体" w:hAnsi="宋体" w:eastAsia="宋体" w:cs="宋体"/>
        </w:rPr>
        <w:t>②</w:t>
      </w:r>
      <w:r>
        <w:rPr>
          <w:rFonts w:cs="Times New Roman"/>
        </w:rPr>
        <w:t>经过现场调研和专人访谈，经办人员均按照相关流程进行费用支出申请，费用支出单据完备、详尽，领导在审批时详细查看附件资料</w:t>
      </w:r>
      <w:r>
        <w:rPr>
          <w:rFonts w:hint="eastAsia" w:cs="Times New Roman"/>
        </w:rPr>
        <w:t>；</w:t>
      </w:r>
      <w:r>
        <w:rPr>
          <w:rFonts w:cs="Times New Roman"/>
        </w:rPr>
        <w:t>在费用支出上，</w:t>
      </w:r>
      <w:r>
        <w:rPr>
          <w:rFonts w:hint="eastAsia" w:cs="Times New Roman"/>
        </w:rPr>
        <w:t>漯河经济技术开发区行政服务中心</w:t>
      </w:r>
      <w:r>
        <w:rPr>
          <w:rFonts w:cs="Times New Roman"/>
        </w:rPr>
        <w:t>采取了相应的财务检查等必要的监控措施或手段，但</w:t>
      </w:r>
      <w:r>
        <w:rPr>
          <w:rFonts w:hint="eastAsia" w:cs="Times New Roman"/>
        </w:rPr>
        <w:t>未提供预算调剂或支出调整</w:t>
      </w:r>
      <w:r>
        <w:rPr>
          <w:rFonts w:cs="Times New Roman"/>
        </w:rPr>
        <w:t>相关</w:t>
      </w:r>
      <w:r>
        <w:rPr>
          <w:rFonts w:hint="eastAsia" w:cs="Times New Roman"/>
        </w:rPr>
        <w:t>资料，得0.5分；</w:t>
      </w:r>
    </w:p>
    <w:p>
      <w:pPr>
        <w:pStyle w:val="12"/>
        <w:ind w:firstLine="560"/>
        <w:rPr>
          <w:rFonts w:eastAsia="楷体_GB2312" w:cs="Times New Roman"/>
        </w:rPr>
      </w:pPr>
      <w:r>
        <w:rPr>
          <w:rFonts w:hint="eastAsia" w:ascii="宋体" w:hAnsi="宋体" w:eastAsia="宋体" w:cs="宋体"/>
        </w:rPr>
        <w:t>③</w:t>
      </w:r>
      <w:r>
        <w:rPr>
          <w:rFonts w:cs="Times New Roman"/>
        </w:rPr>
        <w:t>采取不相容职责分离，0.5分。</w:t>
      </w:r>
    </w:p>
    <w:p>
      <w:pPr>
        <w:pStyle w:val="4"/>
        <w:ind w:firstLine="602"/>
        <w:rPr>
          <w:rFonts w:cs="Times New Roman"/>
        </w:rPr>
      </w:pPr>
      <w:bookmarkStart w:id="60" w:name="_Toc67315596"/>
      <w:bookmarkStart w:id="61" w:name="_Toc22959"/>
      <w:r>
        <w:rPr>
          <w:rFonts w:cs="Times New Roman"/>
        </w:rPr>
        <w:t>（三）项目产出情况（权重30，得分</w:t>
      </w:r>
      <w:r>
        <w:rPr>
          <w:rFonts w:hint="eastAsia" w:cs="Times New Roman"/>
        </w:rPr>
        <w:t>30</w:t>
      </w:r>
      <w:r>
        <w:rPr>
          <w:rFonts w:cs="Times New Roman"/>
        </w:rPr>
        <w:t>）</w:t>
      </w:r>
      <w:bookmarkEnd w:id="60"/>
      <w:bookmarkEnd w:id="61"/>
    </w:p>
    <w:p>
      <w:pPr>
        <w:pStyle w:val="5"/>
        <w:ind w:firstLine="562"/>
        <w:rPr>
          <w:rFonts w:cs="Times New Roman"/>
        </w:rPr>
      </w:pPr>
      <w:bookmarkStart w:id="62" w:name="_Toc67315597"/>
      <w:bookmarkStart w:id="63" w:name="_Toc5513"/>
      <w:r>
        <w:rPr>
          <w:rFonts w:cs="Times New Roman"/>
        </w:rPr>
        <w:t>1.产出数量（权重7.5，得分7.5）</w:t>
      </w:r>
      <w:bookmarkEnd w:id="62"/>
      <w:bookmarkEnd w:id="63"/>
    </w:p>
    <w:p>
      <w:pPr>
        <w:pStyle w:val="12"/>
        <w:ind w:firstLine="560"/>
        <w:rPr>
          <w:rFonts w:cs="Times New Roman"/>
        </w:rPr>
      </w:pPr>
      <w:bookmarkStart w:id="64" w:name="_Toc67315598"/>
      <w:r>
        <w:rPr>
          <w:rFonts w:cs="Times New Roman"/>
        </w:rPr>
        <w:t>（1）实际完成率（权重7.5，得分7.5）</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hint="eastAsia" w:cs="Times New Roman"/>
        </w:rPr>
        <w:t>招商信息完成率；</w:t>
      </w:r>
    </w:p>
    <w:p>
      <w:pPr>
        <w:pStyle w:val="12"/>
        <w:ind w:firstLine="560"/>
        <w:rPr>
          <w:rFonts w:cs="Times New Roman"/>
        </w:rPr>
      </w:pPr>
      <w:r>
        <w:rPr>
          <w:rFonts w:hint="eastAsia" w:cs="Times New Roman"/>
        </w:rPr>
        <w:t>②与市政务服务和大数据管理局对接工作完成率；</w:t>
      </w:r>
    </w:p>
    <w:p>
      <w:pPr>
        <w:pStyle w:val="12"/>
        <w:ind w:firstLine="560"/>
        <w:rPr>
          <w:rFonts w:cs="Times New Roman"/>
        </w:rPr>
      </w:pPr>
      <w:r>
        <w:rPr>
          <w:rFonts w:hint="eastAsia" w:cs="Times New Roman"/>
        </w:rPr>
        <w:t>③窗口投诉和网上投诉的处置工作完成率；</w:t>
      </w:r>
    </w:p>
    <w:p>
      <w:pPr>
        <w:pStyle w:val="12"/>
        <w:ind w:firstLine="560"/>
        <w:rPr>
          <w:rFonts w:cs="Times New Roman"/>
        </w:rPr>
      </w:pPr>
      <w:r>
        <w:rPr>
          <w:rFonts w:hint="eastAsia" w:cs="Times New Roman"/>
        </w:rPr>
        <w:t>④市重点项目联审联批工作，入驻开发区企业的证件办理全程协助服务完成率；</w:t>
      </w:r>
    </w:p>
    <w:p>
      <w:pPr>
        <w:pStyle w:val="12"/>
        <w:ind w:firstLine="560"/>
        <w:rPr>
          <w:rFonts w:cs="Times New Roman"/>
        </w:rPr>
      </w:pPr>
      <w:r>
        <w:rPr>
          <w:rFonts w:hint="eastAsia" w:cs="Times New Roman"/>
        </w:rPr>
        <w:t>⑤国家级、省级开发区评价等相关工作完成率；</w:t>
      </w:r>
    </w:p>
    <w:p>
      <w:pPr>
        <w:pStyle w:val="12"/>
        <w:ind w:firstLine="560"/>
        <w:rPr>
          <w:rFonts w:cs="Times New Roman"/>
        </w:rPr>
      </w:pPr>
      <w:r>
        <w:rPr>
          <w:rFonts w:hint="eastAsia" w:cs="Times New Roman"/>
        </w:rPr>
        <w:t>⑥上级、党工委、管委会等交办的其他重点工作完成率；</w:t>
      </w:r>
    </w:p>
    <w:p>
      <w:pPr>
        <w:pStyle w:val="12"/>
        <w:ind w:firstLine="560"/>
        <w:rPr>
          <w:rFonts w:cs="Times New Roman"/>
        </w:rPr>
      </w:pPr>
      <w:r>
        <w:rPr>
          <w:rFonts w:cs="Times New Roman"/>
        </w:rPr>
        <w:t>实际完成率=（实际产出数/计划产出数）×100%。</w:t>
      </w:r>
    </w:p>
    <w:p>
      <w:pPr>
        <w:pStyle w:val="12"/>
        <w:ind w:firstLine="560"/>
        <w:rPr>
          <w:rFonts w:cs="Times New Roman"/>
        </w:rPr>
      </w:pPr>
      <w:r>
        <w:rPr>
          <w:rFonts w:hint="eastAsia" w:ascii="宋体" w:hAnsi="宋体" w:eastAsia="宋体" w:cs="宋体"/>
        </w:rPr>
        <w:t>①</w:t>
      </w:r>
      <w:r>
        <w:rPr>
          <w:rFonts w:cs="Times New Roman"/>
        </w:rPr>
        <w:t>实际产出数：一定时期（本年度或项目期）内项目实际产出的产品或提供的服务数量。</w:t>
      </w:r>
    </w:p>
    <w:p>
      <w:pPr>
        <w:pStyle w:val="12"/>
        <w:ind w:firstLine="560"/>
        <w:rPr>
          <w:rFonts w:cs="Times New Roman"/>
        </w:rPr>
      </w:pPr>
      <w:r>
        <w:rPr>
          <w:rFonts w:hint="eastAsia" w:ascii="宋体" w:hAnsi="宋体" w:eastAsia="宋体" w:cs="宋体"/>
        </w:rPr>
        <w:t>②</w:t>
      </w:r>
      <w:r>
        <w:rPr>
          <w:rFonts w:cs="Times New Roman"/>
        </w:rPr>
        <w:t>计划产出数：项目绩效目标确定的在一定时期(年度或项目期)内计划产出的产品或提供的服务数量</w:t>
      </w:r>
    </w:p>
    <w:p>
      <w:pPr>
        <w:pStyle w:val="12"/>
        <w:ind w:firstLine="560"/>
        <w:rPr>
          <w:rFonts w:cs="Times New Roman"/>
        </w:rPr>
      </w:pPr>
      <w:r>
        <w:rPr>
          <w:rFonts w:cs="Times New Roman"/>
        </w:rPr>
        <w:t>实际得分=实际完成率×相关系数。</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hint="eastAsia" w:cs="Times New Roman"/>
        </w:rPr>
        <w:t>招商信息完成率=2条/2条</w:t>
      </w:r>
      <w:r>
        <w:rPr>
          <w:rFonts w:cs="Times New Roman"/>
        </w:rPr>
        <w:t>×100%</w:t>
      </w:r>
      <w:r>
        <w:rPr>
          <w:rFonts w:hint="eastAsia" w:cs="Times New Roman"/>
        </w:rPr>
        <w:t>=100%；</w:t>
      </w:r>
    </w:p>
    <w:p>
      <w:pPr>
        <w:pStyle w:val="12"/>
        <w:ind w:firstLine="560"/>
        <w:rPr>
          <w:rFonts w:cs="Times New Roman"/>
        </w:rPr>
      </w:pPr>
      <w:r>
        <w:rPr>
          <w:rFonts w:hint="eastAsia" w:cs="Times New Roman"/>
        </w:rPr>
        <w:t>②与市政务服务和大数据管理局对接工作完成率=2项/2项</w:t>
      </w:r>
      <w:r>
        <w:rPr>
          <w:rFonts w:cs="Times New Roman"/>
        </w:rPr>
        <w:t>×100%</w:t>
      </w:r>
      <w:r>
        <w:rPr>
          <w:rFonts w:hint="eastAsia" w:cs="Times New Roman"/>
        </w:rPr>
        <w:t>=100%；</w:t>
      </w:r>
    </w:p>
    <w:p>
      <w:pPr>
        <w:pStyle w:val="12"/>
        <w:ind w:firstLine="560"/>
        <w:rPr>
          <w:rFonts w:cs="Times New Roman"/>
        </w:rPr>
      </w:pPr>
      <w:r>
        <w:rPr>
          <w:rFonts w:hint="eastAsia" w:cs="Times New Roman"/>
        </w:rPr>
        <w:t>③窗口投诉和网上投诉的处置工作完成率=10条/10条=100%；</w:t>
      </w:r>
    </w:p>
    <w:p>
      <w:pPr>
        <w:pStyle w:val="12"/>
        <w:ind w:firstLine="560"/>
        <w:rPr>
          <w:rFonts w:cs="Times New Roman"/>
        </w:rPr>
      </w:pPr>
      <w:r>
        <w:rPr>
          <w:rFonts w:hint="eastAsia" w:cs="Times New Roman"/>
        </w:rPr>
        <w:t>④市重点项目联审联批工作，入驻开发区企业的证件办理全程协助服务完成率=61个/61个=100%；</w:t>
      </w:r>
    </w:p>
    <w:p>
      <w:pPr>
        <w:pStyle w:val="12"/>
        <w:ind w:firstLine="560"/>
        <w:rPr>
          <w:rFonts w:cs="Times New Roman"/>
        </w:rPr>
      </w:pPr>
      <w:r>
        <w:rPr>
          <w:rFonts w:hint="eastAsia" w:cs="Times New Roman"/>
        </w:rPr>
        <w:t>⑤国家级、省级开发区评价等相关工作完成率=50项/50项=100%；</w:t>
      </w:r>
    </w:p>
    <w:p>
      <w:pPr>
        <w:pStyle w:val="12"/>
        <w:ind w:firstLine="560"/>
        <w:rPr>
          <w:rFonts w:cs="Times New Roman"/>
        </w:rPr>
      </w:pPr>
      <w:r>
        <w:rPr>
          <w:rFonts w:hint="eastAsia" w:cs="Times New Roman"/>
        </w:rPr>
        <w:t>⑥上级、党工委、管委会等交办的其他重点工作完成率=3项/3项=100%；</w:t>
      </w:r>
    </w:p>
    <w:p>
      <w:pPr>
        <w:pStyle w:val="12"/>
        <w:ind w:left="640" w:leftChars="200" w:firstLine="0" w:firstLineChars="0"/>
        <w:rPr>
          <w:rFonts w:cs="Times New Roman"/>
        </w:rPr>
      </w:pPr>
      <w:r>
        <w:rPr>
          <w:rFonts w:hint="eastAsia" w:cs="Times New Roman"/>
        </w:rPr>
        <w:t>综上所述，</w:t>
      </w:r>
      <w:r>
        <w:rPr>
          <w:rFonts w:cs="Times New Roman"/>
        </w:rPr>
        <w:t>实际得分</w:t>
      </w:r>
      <w:r>
        <w:rPr>
          <w:rFonts w:hint="eastAsia" w:cs="Times New Roman"/>
        </w:rPr>
        <w:t>=100%</w:t>
      </w:r>
      <w:r>
        <w:rPr>
          <w:rFonts w:cs="Times New Roman"/>
        </w:rPr>
        <w:t>×</w:t>
      </w:r>
      <w:r>
        <w:rPr>
          <w:rFonts w:hint="eastAsia" w:cs="Times New Roman"/>
        </w:rPr>
        <w:t>7.5=7.5，得7.5分。</w:t>
      </w:r>
    </w:p>
    <w:p>
      <w:pPr>
        <w:pStyle w:val="5"/>
        <w:ind w:firstLine="562"/>
        <w:rPr>
          <w:rFonts w:cs="Times New Roman"/>
        </w:rPr>
      </w:pPr>
      <w:bookmarkStart w:id="65" w:name="_Toc7352"/>
      <w:r>
        <w:rPr>
          <w:rFonts w:cs="Times New Roman"/>
        </w:rPr>
        <w:t>2.产出时效（权重7.5，得分7.5）</w:t>
      </w:r>
      <w:bookmarkEnd w:id="64"/>
      <w:bookmarkEnd w:id="65"/>
    </w:p>
    <w:p>
      <w:pPr>
        <w:pStyle w:val="12"/>
        <w:ind w:firstLine="560"/>
        <w:rPr>
          <w:rFonts w:eastAsia="楷体_GB2312" w:cs="Times New Roman"/>
        </w:rPr>
      </w:pPr>
      <w:r>
        <w:rPr>
          <w:rFonts w:cs="Times New Roman"/>
        </w:rPr>
        <w:t>（1）完成及时率（权重7.5，得分7.5）</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hint="eastAsia" w:cs="Times New Roman"/>
        </w:rPr>
        <w:t>招商信息完成及时率；</w:t>
      </w:r>
    </w:p>
    <w:p>
      <w:pPr>
        <w:pStyle w:val="12"/>
        <w:ind w:firstLine="560"/>
        <w:rPr>
          <w:rFonts w:cs="Times New Roman"/>
        </w:rPr>
      </w:pPr>
      <w:r>
        <w:rPr>
          <w:rFonts w:hint="eastAsia" w:cs="Times New Roman"/>
        </w:rPr>
        <w:t>②与市政务服务和大数据管理局对接工作完成及时率；</w:t>
      </w:r>
    </w:p>
    <w:p>
      <w:pPr>
        <w:pStyle w:val="12"/>
        <w:ind w:firstLine="560"/>
        <w:rPr>
          <w:rFonts w:cs="Times New Roman"/>
        </w:rPr>
      </w:pPr>
      <w:r>
        <w:rPr>
          <w:rFonts w:hint="eastAsia" w:cs="Times New Roman"/>
        </w:rPr>
        <w:t>③窗口投诉和网上投诉的处置工作完成及时率；</w:t>
      </w:r>
    </w:p>
    <w:p>
      <w:pPr>
        <w:pStyle w:val="12"/>
        <w:ind w:firstLine="560"/>
        <w:rPr>
          <w:rFonts w:cs="Times New Roman"/>
        </w:rPr>
      </w:pPr>
      <w:r>
        <w:rPr>
          <w:rFonts w:hint="eastAsia" w:cs="Times New Roman"/>
        </w:rPr>
        <w:t>④市重点项目联审联批工作，入驻开发区企业的证件办理全程协助服务完成及时率；</w:t>
      </w:r>
    </w:p>
    <w:p>
      <w:pPr>
        <w:pStyle w:val="12"/>
        <w:ind w:firstLine="560"/>
        <w:rPr>
          <w:rFonts w:cs="Times New Roman"/>
        </w:rPr>
      </w:pPr>
      <w:r>
        <w:rPr>
          <w:rFonts w:hint="eastAsia" w:cs="Times New Roman"/>
        </w:rPr>
        <w:t>⑤国家级、省级开发区评价等相关工作完成及时率；</w:t>
      </w:r>
    </w:p>
    <w:p>
      <w:pPr>
        <w:pStyle w:val="12"/>
        <w:ind w:firstLine="560"/>
        <w:rPr>
          <w:rFonts w:cs="Times New Roman"/>
        </w:rPr>
      </w:pPr>
      <w:r>
        <w:rPr>
          <w:rFonts w:hint="eastAsia" w:cs="Times New Roman"/>
        </w:rPr>
        <w:t>⑥上级、党工委、管委会等交办的其他重点工作完成及时率；</w:t>
      </w:r>
    </w:p>
    <w:p>
      <w:pPr>
        <w:pStyle w:val="12"/>
        <w:ind w:firstLine="560"/>
        <w:rPr>
          <w:rFonts w:cs="Times New Roman"/>
        </w:rPr>
      </w:pPr>
      <w:r>
        <w:rPr>
          <w:rFonts w:cs="Times New Roman"/>
        </w:rPr>
        <w:t xml:space="preserve">完成及时率=[（计划完成时间-实际完成时间）/计划完成时间]×100%。 </w:t>
      </w:r>
    </w:p>
    <w:p>
      <w:pPr>
        <w:pStyle w:val="12"/>
        <w:ind w:firstLine="560"/>
        <w:rPr>
          <w:rFonts w:cs="Times New Roman"/>
        </w:rPr>
      </w:pPr>
      <w:r>
        <w:rPr>
          <w:rFonts w:hint="eastAsia" w:ascii="宋体" w:hAnsi="宋体" w:eastAsia="宋体" w:cs="宋体"/>
        </w:rPr>
        <w:t>①</w:t>
      </w:r>
      <w:r>
        <w:rPr>
          <w:rFonts w:cs="Times New Roman"/>
        </w:rPr>
        <w:t>实际完成时间：项目实施单位完成该项目实际所耗用的时间。</w:t>
      </w:r>
    </w:p>
    <w:p>
      <w:pPr>
        <w:pStyle w:val="12"/>
        <w:ind w:firstLine="560"/>
        <w:rPr>
          <w:rFonts w:cs="Times New Roman"/>
        </w:rPr>
      </w:pPr>
      <w:r>
        <w:rPr>
          <w:rFonts w:hint="eastAsia" w:ascii="宋体" w:hAnsi="宋体" w:eastAsia="宋体" w:cs="宋体"/>
        </w:rPr>
        <w:t>②</w:t>
      </w:r>
      <w:r>
        <w:rPr>
          <w:rFonts w:cs="Times New Roman"/>
        </w:rPr>
        <w:t>计划完成时间：按照项目实施计划或相关规定完成该项目所需的时间。</w:t>
      </w:r>
    </w:p>
    <w:p>
      <w:pPr>
        <w:pStyle w:val="12"/>
        <w:ind w:firstLine="560"/>
        <w:rPr>
          <w:rFonts w:cs="Times New Roman"/>
        </w:rPr>
      </w:pPr>
      <w:r>
        <w:rPr>
          <w:rFonts w:cs="Times New Roman"/>
        </w:rPr>
        <w:t>完成及时率（最低）≥0，得7.5分；每出现一个完成及时率&lt;0，减2分。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ascii="仿宋" w:hAnsi="仿宋" w:cs="仿宋"/>
        </w:rPr>
        <w:t>2021</w:t>
      </w:r>
      <w:r>
        <w:rPr>
          <w:rFonts w:hint="eastAsia" w:ascii="仿宋" w:hAnsi="仿宋" w:cs="仿宋"/>
        </w:rPr>
        <w:t>年提供了2条</w:t>
      </w:r>
      <w:r>
        <w:rPr>
          <w:rFonts w:hint="eastAsia" w:cs="Times New Roman"/>
        </w:rPr>
        <w:t>招商信息，完成及时率=（12-12）个月/12个月</w:t>
      </w:r>
      <w:r>
        <w:rPr>
          <w:rFonts w:cs="Times New Roman"/>
        </w:rPr>
        <w:t>×100%</w:t>
      </w:r>
      <w:r>
        <w:rPr>
          <w:rFonts w:hint="eastAsia" w:cs="Times New Roman"/>
        </w:rPr>
        <w:t>=0；</w:t>
      </w:r>
    </w:p>
    <w:p>
      <w:pPr>
        <w:pStyle w:val="12"/>
        <w:ind w:firstLine="560"/>
        <w:rPr>
          <w:rFonts w:cs="Times New Roman"/>
        </w:rPr>
      </w:pPr>
      <w:r>
        <w:rPr>
          <w:rFonts w:hint="eastAsia" w:cs="Times New Roman"/>
        </w:rPr>
        <w:t>②与市政务服务和大数据管理局对接工作完成及时率（12-12）个月/12个月</w:t>
      </w:r>
      <w:r>
        <w:rPr>
          <w:rFonts w:cs="Times New Roman"/>
        </w:rPr>
        <w:t>×100%</w:t>
      </w:r>
      <w:r>
        <w:rPr>
          <w:rFonts w:hint="eastAsia" w:cs="Times New Roman"/>
        </w:rPr>
        <w:t>=0；</w:t>
      </w:r>
    </w:p>
    <w:p>
      <w:pPr>
        <w:pStyle w:val="12"/>
        <w:ind w:firstLine="560"/>
        <w:rPr>
          <w:rFonts w:cs="Times New Roman"/>
        </w:rPr>
      </w:pPr>
      <w:r>
        <w:rPr>
          <w:rFonts w:hint="eastAsia" w:cs="Times New Roman"/>
        </w:rPr>
        <w:t>③窗口投诉和网上投诉的处置工作完成及时率=（12-12）个月/12个月</w:t>
      </w:r>
      <w:r>
        <w:rPr>
          <w:rFonts w:cs="Times New Roman"/>
        </w:rPr>
        <w:t>×100%</w:t>
      </w:r>
      <w:r>
        <w:rPr>
          <w:rFonts w:hint="eastAsia" w:cs="Times New Roman"/>
        </w:rPr>
        <w:t>=0；</w:t>
      </w:r>
    </w:p>
    <w:p>
      <w:pPr>
        <w:pStyle w:val="12"/>
        <w:ind w:firstLine="560"/>
        <w:rPr>
          <w:rFonts w:cs="Times New Roman"/>
        </w:rPr>
      </w:pPr>
      <w:r>
        <w:rPr>
          <w:rFonts w:hint="eastAsia" w:cs="Times New Roman"/>
        </w:rPr>
        <w:t>④市重点项目联审联批工作，入驻开发区企业的证件办理全程协助服务完成及时率=（12-12）个月/12个月</w:t>
      </w:r>
      <w:r>
        <w:rPr>
          <w:rFonts w:cs="Times New Roman"/>
        </w:rPr>
        <w:t>×100%</w:t>
      </w:r>
      <w:r>
        <w:rPr>
          <w:rFonts w:hint="eastAsia" w:cs="Times New Roman"/>
        </w:rPr>
        <w:t>=0；</w:t>
      </w:r>
    </w:p>
    <w:p>
      <w:pPr>
        <w:pStyle w:val="12"/>
        <w:ind w:firstLine="560"/>
        <w:rPr>
          <w:rFonts w:cs="Times New Roman"/>
        </w:rPr>
      </w:pPr>
      <w:r>
        <w:rPr>
          <w:rFonts w:hint="eastAsia" w:cs="Times New Roman"/>
        </w:rPr>
        <w:t>⑤国家级、省级开发区评价等相关工作完成及时率=（12-12）个月/12个月</w:t>
      </w:r>
      <w:r>
        <w:rPr>
          <w:rFonts w:cs="Times New Roman"/>
        </w:rPr>
        <w:t>×100%</w:t>
      </w:r>
      <w:r>
        <w:rPr>
          <w:rFonts w:hint="eastAsia" w:cs="Times New Roman"/>
        </w:rPr>
        <w:t>=0；</w:t>
      </w:r>
    </w:p>
    <w:p>
      <w:pPr>
        <w:pStyle w:val="12"/>
        <w:ind w:firstLine="560"/>
        <w:rPr>
          <w:rFonts w:cs="Times New Roman"/>
        </w:rPr>
      </w:pPr>
      <w:r>
        <w:rPr>
          <w:rFonts w:hint="eastAsia" w:cs="Times New Roman"/>
        </w:rPr>
        <w:t>⑥上级、党工委、管委会等交办的其他重点工作完成及时率=（12-12）个月/12个月</w:t>
      </w:r>
      <w:r>
        <w:rPr>
          <w:rFonts w:cs="Times New Roman"/>
        </w:rPr>
        <w:t>×100%</w:t>
      </w:r>
      <w:r>
        <w:rPr>
          <w:rFonts w:hint="eastAsia" w:cs="Times New Roman"/>
        </w:rPr>
        <w:t>=0；</w:t>
      </w:r>
    </w:p>
    <w:p>
      <w:pPr>
        <w:pStyle w:val="12"/>
        <w:ind w:firstLine="560"/>
        <w:rPr>
          <w:rFonts w:cs="Times New Roman"/>
        </w:rPr>
      </w:pPr>
      <w:r>
        <w:rPr>
          <w:rFonts w:hint="eastAsia" w:cs="Times New Roman"/>
        </w:rPr>
        <w:t>综上所述，完成及时率得分7.5</w:t>
      </w:r>
      <w:r>
        <w:rPr>
          <w:rFonts w:cs="Times New Roman"/>
        </w:rPr>
        <w:t>。</w:t>
      </w:r>
    </w:p>
    <w:p>
      <w:pPr>
        <w:pStyle w:val="5"/>
        <w:ind w:firstLine="562"/>
        <w:rPr>
          <w:rFonts w:cs="Times New Roman"/>
        </w:rPr>
      </w:pPr>
      <w:bookmarkStart w:id="66" w:name="_Toc67315599"/>
      <w:bookmarkStart w:id="67" w:name="_Toc26856"/>
      <w:r>
        <w:rPr>
          <w:rFonts w:cs="Times New Roman"/>
        </w:rPr>
        <w:t>3.产出质量（权重7.5，得分7.5）</w:t>
      </w:r>
      <w:bookmarkEnd w:id="66"/>
      <w:bookmarkEnd w:id="67"/>
    </w:p>
    <w:p>
      <w:pPr>
        <w:pStyle w:val="12"/>
        <w:ind w:firstLine="560"/>
        <w:rPr>
          <w:rFonts w:eastAsia="楷体_GB2312" w:cs="Times New Roman"/>
        </w:rPr>
      </w:pPr>
      <w:r>
        <w:rPr>
          <w:rFonts w:cs="Times New Roman"/>
        </w:rPr>
        <w:t>（1）质量达标率（权重7.5，得分7.5）</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hint="eastAsia" w:cs="Times New Roman"/>
        </w:rPr>
        <w:t>招商信息</w:t>
      </w:r>
      <w:r>
        <w:rPr>
          <w:rFonts w:cs="Times New Roman"/>
        </w:rPr>
        <w:t>质量达标率</w:t>
      </w:r>
      <w:r>
        <w:rPr>
          <w:rFonts w:hint="eastAsia" w:cs="Times New Roman"/>
        </w:rPr>
        <w:t>；</w:t>
      </w:r>
    </w:p>
    <w:p>
      <w:pPr>
        <w:pStyle w:val="12"/>
        <w:ind w:firstLine="560"/>
        <w:rPr>
          <w:rFonts w:cs="Times New Roman"/>
        </w:rPr>
      </w:pPr>
      <w:r>
        <w:rPr>
          <w:rFonts w:hint="eastAsia" w:cs="Times New Roman"/>
        </w:rPr>
        <w:t>②与市政务服务和大数据管理局对接工作</w:t>
      </w:r>
      <w:r>
        <w:rPr>
          <w:rFonts w:cs="Times New Roman"/>
        </w:rPr>
        <w:t>质量达标率</w:t>
      </w:r>
      <w:r>
        <w:rPr>
          <w:rFonts w:hint="eastAsia" w:cs="Times New Roman"/>
        </w:rPr>
        <w:t>；</w:t>
      </w:r>
    </w:p>
    <w:p>
      <w:pPr>
        <w:pStyle w:val="12"/>
        <w:ind w:firstLine="560"/>
        <w:rPr>
          <w:rFonts w:cs="Times New Roman"/>
        </w:rPr>
      </w:pPr>
      <w:r>
        <w:rPr>
          <w:rFonts w:hint="eastAsia" w:cs="Times New Roman"/>
        </w:rPr>
        <w:t>③窗口投诉和网上投诉的处置工作</w:t>
      </w:r>
      <w:r>
        <w:rPr>
          <w:rFonts w:cs="Times New Roman"/>
        </w:rPr>
        <w:t>质量达标率</w:t>
      </w:r>
      <w:r>
        <w:rPr>
          <w:rFonts w:hint="eastAsia" w:cs="Times New Roman"/>
        </w:rPr>
        <w:t>；</w:t>
      </w:r>
    </w:p>
    <w:p>
      <w:pPr>
        <w:pStyle w:val="12"/>
        <w:ind w:firstLine="560"/>
        <w:rPr>
          <w:rFonts w:cs="Times New Roman"/>
        </w:rPr>
      </w:pPr>
      <w:r>
        <w:rPr>
          <w:rFonts w:hint="eastAsia" w:cs="Times New Roman"/>
        </w:rPr>
        <w:t>④市重点项目联审联批工作，入驻开发区企业的证件办理全程协助服务</w:t>
      </w:r>
      <w:r>
        <w:rPr>
          <w:rFonts w:cs="Times New Roman"/>
        </w:rPr>
        <w:t>质量达标率</w:t>
      </w:r>
      <w:r>
        <w:rPr>
          <w:rFonts w:hint="eastAsia" w:cs="Times New Roman"/>
        </w:rPr>
        <w:t>；</w:t>
      </w:r>
    </w:p>
    <w:p>
      <w:pPr>
        <w:pStyle w:val="12"/>
        <w:ind w:firstLine="560"/>
        <w:rPr>
          <w:rFonts w:cs="Times New Roman"/>
        </w:rPr>
      </w:pPr>
      <w:r>
        <w:rPr>
          <w:rFonts w:hint="eastAsia" w:cs="Times New Roman"/>
        </w:rPr>
        <w:t>⑤国家级、省级开发区评价等相关工作</w:t>
      </w:r>
      <w:r>
        <w:rPr>
          <w:rFonts w:cs="Times New Roman"/>
        </w:rPr>
        <w:t>质量达标率</w:t>
      </w:r>
      <w:r>
        <w:rPr>
          <w:rFonts w:hint="eastAsia" w:cs="Times New Roman"/>
        </w:rPr>
        <w:t>；</w:t>
      </w:r>
    </w:p>
    <w:p>
      <w:pPr>
        <w:pStyle w:val="12"/>
        <w:ind w:firstLine="560"/>
        <w:rPr>
          <w:rFonts w:cs="Times New Roman"/>
        </w:rPr>
      </w:pPr>
      <w:r>
        <w:rPr>
          <w:rFonts w:hint="eastAsia" w:cs="Times New Roman"/>
        </w:rPr>
        <w:t>⑥上级、党工委、管委会等交办的其他重点工作</w:t>
      </w:r>
      <w:r>
        <w:rPr>
          <w:rFonts w:cs="Times New Roman"/>
        </w:rPr>
        <w:t>质量达标率</w:t>
      </w:r>
      <w:r>
        <w:rPr>
          <w:rFonts w:hint="eastAsia" w:cs="Times New Roman"/>
        </w:rPr>
        <w:t>；</w:t>
      </w:r>
    </w:p>
    <w:p>
      <w:pPr>
        <w:pStyle w:val="12"/>
        <w:ind w:firstLine="560"/>
        <w:rPr>
          <w:rFonts w:cs="Times New Roman"/>
        </w:rPr>
      </w:pPr>
      <w:r>
        <w:rPr>
          <w:rFonts w:cs="Times New Roman"/>
        </w:rPr>
        <w:t>质量达标率=（质量达标产出数/实际产出数）×100%。</w:t>
      </w:r>
    </w:p>
    <w:p>
      <w:pPr>
        <w:pStyle w:val="12"/>
        <w:ind w:firstLine="560"/>
        <w:rPr>
          <w:rFonts w:cs="Times New Roman"/>
        </w:rPr>
      </w:pPr>
      <w:r>
        <w:rPr>
          <w:rFonts w:hint="eastAsia" w:ascii="宋体" w:hAnsi="宋体" w:eastAsia="宋体" w:cs="宋体"/>
        </w:rPr>
        <w:t>①</w:t>
      </w:r>
      <w:r>
        <w:rPr>
          <w:rFonts w:cs="Times New Roman"/>
        </w:rPr>
        <w:t>质量达标产出数：一定时期（本年度或项目期）内实际达到既定质量标准的产品或服务数量。</w:t>
      </w:r>
    </w:p>
    <w:p>
      <w:pPr>
        <w:pStyle w:val="12"/>
        <w:ind w:firstLine="560"/>
        <w:rPr>
          <w:rFonts w:cs="Times New Roman"/>
        </w:rPr>
      </w:pPr>
      <w:r>
        <w:rPr>
          <w:rFonts w:hint="eastAsia" w:ascii="宋体" w:hAnsi="宋体" w:eastAsia="宋体" w:cs="宋体"/>
        </w:rPr>
        <w:t>②</w:t>
      </w:r>
      <w:r>
        <w:rPr>
          <w:rFonts w:cs="Times New Roman"/>
        </w:rPr>
        <w:t>既定质量标准是指项目实施单位设立绩效目标时依据计划标准、行业标准、历史标准或其他标准而设定的绩效指标值。</w:t>
      </w:r>
    </w:p>
    <w:p>
      <w:pPr>
        <w:pStyle w:val="12"/>
        <w:ind w:firstLine="560"/>
        <w:rPr>
          <w:rFonts w:cs="Times New Roman"/>
        </w:rPr>
      </w:pPr>
      <w:r>
        <w:rPr>
          <w:rFonts w:cs="Times New Roman"/>
        </w:rPr>
        <w:t>实际得分=质量达标率×相关系数。</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hint="eastAsia" w:cs="Times New Roman"/>
        </w:rPr>
        <w:t>招商信息</w:t>
      </w:r>
      <w:r>
        <w:rPr>
          <w:rFonts w:cs="Times New Roman"/>
        </w:rPr>
        <w:t>质量达标率</w:t>
      </w:r>
      <w:r>
        <w:rPr>
          <w:rFonts w:hint="eastAsia" w:cs="Times New Roman"/>
        </w:rPr>
        <w:t>=2条/2条</w:t>
      </w:r>
      <w:r>
        <w:rPr>
          <w:rFonts w:cs="Times New Roman"/>
        </w:rPr>
        <w:t>×100%</w:t>
      </w:r>
      <w:r>
        <w:rPr>
          <w:rFonts w:hint="eastAsia" w:cs="Times New Roman"/>
        </w:rPr>
        <w:t>=100%；</w:t>
      </w:r>
    </w:p>
    <w:p>
      <w:pPr>
        <w:pStyle w:val="12"/>
        <w:ind w:firstLine="560"/>
        <w:rPr>
          <w:rFonts w:cs="Times New Roman"/>
        </w:rPr>
      </w:pPr>
      <w:r>
        <w:rPr>
          <w:rFonts w:hint="eastAsia" w:cs="Times New Roman"/>
        </w:rPr>
        <w:t>②与市政务服务和大数据管理局对接工作</w:t>
      </w:r>
      <w:r>
        <w:rPr>
          <w:rFonts w:cs="Times New Roman"/>
        </w:rPr>
        <w:t>质量达标率</w:t>
      </w:r>
      <w:r>
        <w:rPr>
          <w:rFonts w:hint="eastAsia" w:cs="Times New Roman"/>
        </w:rPr>
        <w:t>=2项/2项</w:t>
      </w:r>
      <w:r>
        <w:rPr>
          <w:rFonts w:cs="Times New Roman"/>
        </w:rPr>
        <w:t>×100%</w:t>
      </w:r>
      <w:r>
        <w:rPr>
          <w:rFonts w:hint="eastAsia" w:cs="Times New Roman"/>
        </w:rPr>
        <w:t>=100%；</w:t>
      </w:r>
    </w:p>
    <w:p>
      <w:pPr>
        <w:pStyle w:val="12"/>
        <w:ind w:firstLine="560"/>
        <w:rPr>
          <w:rFonts w:cs="Times New Roman"/>
        </w:rPr>
      </w:pPr>
      <w:r>
        <w:rPr>
          <w:rFonts w:hint="eastAsia" w:cs="Times New Roman"/>
        </w:rPr>
        <w:t>③窗口投诉和网上投诉的处置工作</w:t>
      </w:r>
      <w:r>
        <w:rPr>
          <w:rFonts w:cs="Times New Roman"/>
        </w:rPr>
        <w:t>质量达标率</w:t>
      </w:r>
      <w:r>
        <w:rPr>
          <w:rFonts w:hint="eastAsia" w:cs="Times New Roman"/>
        </w:rPr>
        <w:t>=10条/10条=100%；</w:t>
      </w:r>
    </w:p>
    <w:p>
      <w:pPr>
        <w:pStyle w:val="12"/>
        <w:ind w:firstLine="560"/>
        <w:rPr>
          <w:rFonts w:cs="Times New Roman"/>
        </w:rPr>
      </w:pPr>
      <w:r>
        <w:rPr>
          <w:rFonts w:hint="eastAsia" w:cs="Times New Roman"/>
        </w:rPr>
        <w:t>④市重点项目联审联批工作，入驻开发区企业的证件办理全程协助服务</w:t>
      </w:r>
      <w:r>
        <w:rPr>
          <w:rFonts w:cs="Times New Roman"/>
        </w:rPr>
        <w:t>质量达标率</w:t>
      </w:r>
      <w:r>
        <w:rPr>
          <w:rFonts w:hint="eastAsia" w:cs="Times New Roman"/>
        </w:rPr>
        <w:t>=61个/61个=100%；</w:t>
      </w:r>
    </w:p>
    <w:p>
      <w:pPr>
        <w:pStyle w:val="12"/>
        <w:ind w:firstLine="560"/>
        <w:rPr>
          <w:rFonts w:cs="Times New Roman"/>
        </w:rPr>
      </w:pPr>
      <w:r>
        <w:rPr>
          <w:rFonts w:hint="eastAsia" w:cs="Times New Roman"/>
        </w:rPr>
        <w:t>⑤国家级、省级开发区评价等相关工作</w:t>
      </w:r>
      <w:r>
        <w:rPr>
          <w:rFonts w:cs="Times New Roman"/>
        </w:rPr>
        <w:t>质量达标率</w:t>
      </w:r>
      <w:r>
        <w:rPr>
          <w:rFonts w:hint="eastAsia" w:cs="Times New Roman"/>
        </w:rPr>
        <w:t>=50项/50项=100%；</w:t>
      </w:r>
    </w:p>
    <w:p>
      <w:pPr>
        <w:pStyle w:val="12"/>
        <w:ind w:left="640" w:leftChars="200" w:firstLine="0" w:firstLineChars="0"/>
        <w:rPr>
          <w:rFonts w:cs="Times New Roman"/>
        </w:rPr>
      </w:pPr>
      <w:r>
        <w:rPr>
          <w:rFonts w:hint="eastAsia" w:cs="Times New Roman"/>
        </w:rPr>
        <w:t>⑥上级、党工委、管委会等交办的其他重点工作</w:t>
      </w:r>
      <w:r>
        <w:rPr>
          <w:rFonts w:cs="Times New Roman"/>
        </w:rPr>
        <w:t>质量达标率</w:t>
      </w:r>
      <w:r>
        <w:rPr>
          <w:rFonts w:hint="eastAsia" w:cs="Times New Roman"/>
        </w:rPr>
        <w:t>=3项/3项=100%；</w:t>
      </w:r>
    </w:p>
    <w:p>
      <w:pPr>
        <w:pStyle w:val="12"/>
        <w:ind w:firstLine="560"/>
        <w:rPr>
          <w:rFonts w:cs="Times New Roman"/>
        </w:rPr>
      </w:pPr>
      <w:r>
        <w:rPr>
          <w:rFonts w:hint="eastAsia" w:cs="Times New Roman"/>
        </w:rPr>
        <w:t>综上所述，</w:t>
      </w:r>
      <w:r>
        <w:rPr>
          <w:rFonts w:cs="Times New Roman"/>
        </w:rPr>
        <w:t>实际得分</w:t>
      </w:r>
      <w:r>
        <w:rPr>
          <w:rFonts w:hint="eastAsia" w:cs="Times New Roman"/>
        </w:rPr>
        <w:t>=100%</w:t>
      </w:r>
      <w:r>
        <w:rPr>
          <w:rFonts w:cs="Times New Roman"/>
        </w:rPr>
        <w:t>×</w:t>
      </w:r>
      <w:r>
        <w:rPr>
          <w:rFonts w:hint="eastAsia" w:cs="Times New Roman"/>
        </w:rPr>
        <w:t>7.5=7.5，得7.5分。</w:t>
      </w:r>
    </w:p>
    <w:p>
      <w:pPr>
        <w:pStyle w:val="5"/>
        <w:ind w:firstLine="562"/>
        <w:rPr>
          <w:rFonts w:cs="Times New Roman"/>
        </w:rPr>
      </w:pPr>
      <w:bookmarkStart w:id="68" w:name="_Toc67315600"/>
      <w:bookmarkStart w:id="69" w:name="_Toc26961"/>
      <w:r>
        <w:rPr>
          <w:rFonts w:cs="Times New Roman"/>
        </w:rPr>
        <w:t>4.产出成本（权重7.5，得分7.5）</w:t>
      </w:r>
      <w:bookmarkEnd w:id="68"/>
      <w:bookmarkEnd w:id="69"/>
    </w:p>
    <w:p>
      <w:pPr>
        <w:pStyle w:val="12"/>
        <w:ind w:firstLine="560"/>
        <w:rPr>
          <w:rFonts w:eastAsia="楷体_GB2312" w:cs="Times New Roman"/>
        </w:rPr>
      </w:pPr>
      <w:r>
        <w:rPr>
          <w:rFonts w:cs="Times New Roman"/>
        </w:rPr>
        <w:t>（1）成本节约率（权重7.5，得分</w:t>
      </w:r>
      <w:r>
        <w:rPr>
          <w:rFonts w:hint="eastAsia" w:cs="Times New Roman"/>
        </w:rPr>
        <w:t>3.75</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cs="Times New Roman"/>
        </w:rPr>
        <w:t>①维修维护费成本节约率，1.25分；</w:t>
      </w:r>
    </w:p>
    <w:p>
      <w:pPr>
        <w:pStyle w:val="12"/>
        <w:ind w:firstLine="560"/>
        <w:rPr>
          <w:rFonts w:cs="Times New Roman"/>
        </w:rPr>
      </w:pPr>
      <w:r>
        <w:rPr>
          <w:rFonts w:hint="eastAsia" w:cs="Times New Roman"/>
        </w:rPr>
        <w:t>②办公费资金成本节约率，1.25分；</w:t>
      </w:r>
    </w:p>
    <w:p>
      <w:pPr>
        <w:pStyle w:val="12"/>
        <w:ind w:firstLine="560"/>
        <w:rPr>
          <w:rFonts w:cs="Times New Roman"/>
        </w:rPr>
      </w:pPr>
      <w:r>
        <w:rPr>
          <w:rFonts w:hint="eastAsia" w:cs="Times New Roman"/>
        </w:rPr>
        <w:t>③劳务费资金成本节约率，1.25分</w:t>
      </w:r>
    </w:p>
    <w:p>
      <w:pPr>
        <w:pStyle w:val="12"/>
        <w:ind w:firstLine="560"/>
        <w:rPr>
          <w:rFonts w:cs="Times New Roman"/>
        </w:rPr>
      </w:pPr>
      <w:r>
        <w:rPr>
          <w:rFonts w:hint="eastAsia" w:cs="Times New Roman"/>
        </w:rPr>
        <w:t>④邮电费成本节约率，1.25分；</w:t>
      </w:r>
    </w:p>
    <w:p>
      <w:pPr>
        <w:pStyle w:val="12"/>
        <w:ind w:firstLine="560"/>
        <w:rPr>
          <w:rFonts w:cs="Times New Roman"/>
        </w:rPr>
      </w:pPr>
      <w:r>
        <w:rPr>
          <w:rFonts w:hint="eastAsia" w:cs="Times New Roman"/>
        </w:rPr>
        <w:t>⑤其他商品和服务支出资金成本节约率，1.25分；</w:t>
      </w:r>
    </w:p>
    <w:p>
      <w:pPr>
        <w:pStyle w:val="12"/>
        <w:ind w:firstLine="560"/>
        <w:rPr>
          <w:rFonts w:cs="Times New Roman"/>
        </w:rPr>
      </w:pPr>
      <w:r>
        <w:rPr>
          <w:rFonts w:hint="eastAsia" w:cs="Times New Roman"/>
        </w:rPr>
        <w:t>⑥其他福利工资支出资金成本节约率，1.25分。</w:t>
      </w:r>
    </w:p>
    <w:p>
      <w:pPr>
        <w:pStyle w:val="12"/>
        <w:ind w:firstLine="560"/>
        <w:rPr>
          <w:rFonts w:cs="Times New Roman"/>
        </w:rPr>
      </w:pPr>
      <w:r>
        <w:rPr>
          <w:rFonts w:cs="Times New Roman"/>
        </w:rPr>
        <w:t>成本节约率=[（计划成本-实际成本）/计划成本]×100%。</w:t>
      </w:r>
    </w:p>
    <w:p>
      <w:pPr>
        <w:pStyle w:val="12"/>
        <w:ind w:firstLine="560"/>
        <w:rPr>
          <w:rFonts w:cs="Times New Roman"/>
        </w:rPr>
      </w:pPr>
      <w:r>
        <w:rPr>
          <w:rFonts w:hint="eastAsia" w:ascii="宋体" w:hAnsi="宋体" w:eastAsia="宋体" w:cs="宋体"/>
        </w:rPr>
        <w:t>①</w:t>
      </w:r>
      <w:r>
        <w:rPr>
          <w:rFonts w:cs="Times New Roman"/>
        </w:rPr>
        <w:t>实际成本：项目实施单位如期、保质、保量完成既定工作目标实际所耗费的支出。</w:t>
      </w:r>
    </w:p>
    <w:p>
      <w:pPr>
        <w:pStyle w:val="12"/>
        <w:ind w:firstLine="560"/>
        <w:rPr>
          <w:rFonts w:cs="Times New Roman"/>
        </w:rPr>
      </w:pPr>
      <w:r>
        <w:rPr>
          <w:rFonts w:hint="eastAsia" w:ascii="宋体" w:hAnsi="宋体" w:eastAsia="宋体" w:cs="宋体"/>
        </w:rPr>
        <w:t>②</w:t>
      </w:r>
      <w:r>
        <w:rPr>
          <w:rFonts w:cs="Times New Roman"/>
        </w:rPr>
        <w:t>计划成本：项目实施单位为完成工作目标计划安排的支出，一般以项目预算为参考。</w:t>
      </w:r>
    </w:p>
    <w:p>
      <w:pPr>
        <w:pStyle w:val="12"/>
        <w:ind w:firstLine="560"/>
        <w:rPr>
          <w:rFonts w:cs="Times New Roman"/>
        </w:rPr>
      </w:pPr>
      <w:r>
        <w:rPr>
          <w:rFonts w:cs="Times New Roman"/>
        </w:rPr>
        <w:t>成本节约率≥0，得7.5分；成本节约率&lt;0，不得分。</w:t>
      </w:r>
    </w:p>
    <w:p>
      <w:pPr>
        <w:pStyle w:val="12"/>
        <w:ind w:firstLine="562"/>
        <w:rPr>
          <w:rFonts w:cs="Times New Roman"/>
          <w:b/>
        </w:rPr>
      </w:pPr>
      <w:r>
        <w:rPr>
          <w:rFonts w:cs="Times New Roman"/>
          <w:b/>
        </w:rPr>
        <w:t>得分：</w:t>
      </w:r>
    </w:p>
    <w:p>
      <w:pPr>
        <w:pStyle w:val="12"/>
        <w:ind w:firstLine="560"/>
        <w:rPr>
          <w:rFonts w:cs="Times New Roman"/>
        </w:rPr>
      </w:pPr>
      <w:r>
        <w:rPr>
          <w:rFonts w:hint="eastAsia" w:cs="Times New Roman"/>
        </w:rPr>
        <w:t>①维修维护费成本节约率=59.6</w:t>
      </w:r>
      <w:r>
        <w:rPr>
          <w:rFonts w:cs="Times New Roman"/>
        </w:rPr>
        <w:t>%</w:t>
      </w:r>
      <w:r>
        <w:rPr>
          <w:rFonts w:hint="eastAsia" w:cs="Times New Roman"/>
        </w:rPr>
        <w:t>，</w:t>
      </w:r>
      <w:r>
        <w:rPr>
          <w:rFonts w:cs="Times New Roman"/>
        </w:rPr>
        <w:t>得</w:t>
      </w:r>
      <w:r>
        <w:rPr>
          <w:rFonts w:hint="eastAsia" w:cs="Times New Roman"/>
        </w:rPr>
        <w:t>1.25分；</w:t>
      </w:r>
    </w:p>
    <w:p>
      <w:pPr>
        <w:pStyle w:val="12"/>
        <w:ind w:firstLine="560"/>
        <w:rPr>
          <w:rFonts w:cs="Times New Roman"/>
        </w:rPr>
      </w:pPr>
      <w:r>
        <w:rPr>
          <w:rFonts w:hint="eastAsia" w:cs="Times New Roman"/>
        </w:rPr>
        <w:t>②办公费资金成本节约率=-27.66</w:t>
      </w:r>
      <w:r>
        <w:rPr>
          <w:rFonts w:cs="Times New Roman"/>
        </w:rPr>
        <w:t>%</w:t>
      </w:r>
      <w:r>
        <w:rPr>
          <w:rFonts w:hint="eastAsia" w:cs="Times New Roman"/>
        </w:rPr>
        <w:t>，</w:t>
      </w:r>
      <w:r>
        <w:rPr>
          <w:rFonts w:cs="Times New Roman"/>
        </w:rPr>
        <w:t>得</w:t>
      </w:r>
      <w:r>
        <w:rPr>
          <w:rFonts w:hint="eastAsia" w:cs="Times New Roman"/>
        </w:rPr>
        <w:t>0分；</w:t>
      </w:r>
    </w:p>
    <w:p>
      <w:pPr>
        <w:pStyle w:val="12"/>
        <w:ind w:firstLine="560"/>
        <w:rPr>
          <w:rFonts w:cs="Times New Roman"/>
        </w:rPr>
      </w:pPr>
      <w:r>
        <w:rPr>
          <w:rFonts w:hint="eastAsia" w:cs="Times New Roman"/>
        </w:rPr>
        <w:t>③劳务费资金成本节约率=91%，</w:t>
      </w:r>
      <w:r>
        <w:rPr>
          <w:rFonts w:cs="Times New Roman"/>
        </w:rPr>
        <w:t>得</w:t>
      </w:r>
      <w:r>
        <w:rPr>
          <w:rFonts w:hint="eastAsia" w:cs="Times New Roman"/>
        </w:rPr>
        <w:t>1.25分；</w:t>
      </w:r>
    </w:p>
    <w:p>
      <w:pPr>
        <w:pStyle w:val="12"/>
        <w:ind w:firstLine="560"/>
        <w:rPr>
          <w:rFonts w:cs="Times New Roman"/>
        </w:rPr>
      </w:pPr>
      <w:r>
        <w:rPr>
          <w:rFonts w:hint="eastAsia" w:cs="Times New Roman"/>
        </w:rPr>
        <w:t>④邮电费成本节约率=-</w:t>
      </w:r>
      <w:r>
        <w:rPr>
          <w:rFonts w:cs="Times New Roman"/>
        </w:rPr>
        <w:t>97.92%</w:t>
      </w:r>
      <w:r>
        <w:rPr>
          <w:rFonts w:hint="eastAsia" w:cs="Times New Roman"/>
        </w:rPr>
        <w:t>，</w:t>
      </w:r>
      <w:r>
        <w:rPr>
          <w:rFonts w:cs="Times New Roman"/>
        </w:rPr>
        <w:t>得</w:t>
      </w:r>
      <w:r>
        <w:rPr>
          <w:rFonts w:hint="eastAsia" w:cs="Times New Roman"/>
        </w:rPr>
        <w:t>0分；</w:t>
      </w:r>
    </w:p>
    <w:p>
      <w:pPr>
        <w:pStyle w:val="12"/>
        <w:ind w:firstLine="560"/>
        <w:rPr>
          <w:rFonts w:cs="Times New Roman"/>
        </w:rPr>
      </w:pPr>
      <w:r>
        <w:rPr>
          <w:rFonts w:hint="eastAsia" w:cs="Times New Roman"/>
        </w:rPr>
        <w:t>⑤其他商品和服务支出资金成本节约率=-74.36</w:t>
      </w:r>
      <w:r>
        <w:rPr>
          <w:rFonts w:cs="Times New Roman"/>
        </w:rPr>
        <w:t>%</w:t>
      </w:r>
      <w:r>
        <w:rPr>
          <w:rFonts w:hint="eastAsia" w:cs="Times New Roman"/>
        </w:rPr>
        <w:t>，得0分；</w:t>
      </w:r>
    </w:p>
    <w:p>
      <w:pPr>
        <w:pStyle w:val="12"/>
        <w:ind w:firstLine="560"/>
        <w:rPr>
          <w:rFonts w:cs="Times New Roman"/>
        </w:rPr>
      </w:pPr>
      <w:r>
        <w:rPr>
          <w:rFonts w:hint="eastAsia" w:cs="Times New Roman"/>
        </w:rPr>
        <w:t>⑥其他福利工资支出资金成本节约率=40</w:t>
      </w:r>
      <w:r>
        <w:rPr>
          <w:rFonts w:cs="Times New Roman"/>
        </w:rPr>
        <w:t>%</w:t>
      </w:r>
      <w:r>
        <w:rPr>
          <w:rFonts w:hint="eastAsia" w:cs="Times New Roman"/>
        </w:rPr>
        <w:t>，得1.25分。</w:t>
      </w:r>
    </w:p>
    <w:p>
      <w:pPr>
        <w:pStyle w:val="4"/>
        <w:ind w:firstLine="602"/>
        <w:rPr>
          <w:rFonts w:cs="Times New Roman"/>
        </w:rPr>
      </w:pPr>
      <w:bookmarkStart w:id="70" w:name="_Toc67315601"/>
      <w:bookmarkStart w:id="71" w:name="_Toc23194"/>
      <w:r>
        <w:rPr>
          <w:rFonts w:cs="Times New Roman"/>
        </w:rPr>
        <w:t>（四）项目效益情况（权重30，得分</w:t>
      </w:r>
      <w:r>
        <w:rPr>
          <w:rFonts w:hint="eastAsia" w:cs="Times New Roman"/>
        </w:rPr>
        <w:t>30</w:t>
      </w:r>
      <w:r>
        <w:rPr>
          <w:rFonts w:cs="Times New Roman"/>
        </w:rPr>
        <w:t>）</w:t>
      </w:r>
      <w:bookmarkEnd w:id="70"/>
      <w:bookmarkEnd w:id="71"/>
    </w:p>
    <w:p>
      <w:pPr>
        <w:pStyle w:val="5"/>
        <w:ind w:firstLine="562"/>
        <w:rPr>
          <w:rFonts w:cs="Times New Roman"/>
        </w:rPr>
      </w:pPr>
      <w:bookmarkStart w:id="72" w:name="_Toc67315603"/>
      <w:bookmarkStart w:id="73" w:name="_Toc2788"/>
      <w:r>
        <w:rPr>
          <w:rFonts w:hint="eastAsia" w:cs="Times New Roman"/>
        </w:rPr>
        <w:t>1</w:t>
      </w:r>
      <w:r>
        <w:rPr>
          <w:rFonts w:cs="Times New Roman"/>
        </w:rPr>
        <w:t>.社会效益（权重</w:t>
      </w:r>
      <w:r>
        <w:rPr>
          <w:rFonts w:hint="eastAsia" w:cs="Times New Roman"/>
        </w:rPr>
        <w:t>8</w:t>
      </w:r>
      <w:r>
        <w:rPr>
          <w:rFonts w:cs="Times New Roman"/>
        </w:rPr>
        <w:t>，得分</w:t>
      </w:r>
      <w:r>
        <w:rPr>
          <w:rFonts w:hint="eastAsia" w:cs="Times New Roman"/>
        </w:rPr>
        <w:t>8</w:t>
      </w:r>
      <w:r>
        <w:rPr>
          <w:rFonts w:cs="Times New Roman"/>
        </w:rPr>
        <w:t>）</w:t>
      </w:r>
      <w:bookmarkEnd w:id="72"/>
      <w:bookmarkEnd w:id="73"/>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hint="eastAsia" w:cs="Times New Roman"/>
        </w:rPr>
        <w:t>工作的开展是否强化服务意识，提升服务质量，3分</w:t>
      </w:r>
      <w:r>
        <w:rPr>
          <w:rFonts w:cs="Times New Roman"/>
        </w:rPr>
        <w:t>；</w:t>
      </w:r>
    </w:p>
    <w:p>
      <w:pPr>
        <w:pStyle w:val="12"/>
        <w:ind w:firstLine="560"/>
        <w:rPr>
          <w:rFonts w:cs="Times New Roman"/>
        </w:rPr>
      </w:pPr>
      <w:r>
        <w:rPr>
          <w:rFonts w:hint="eastAsia" w:ascii="宋体" w:hAnsi="宋体" w:eastAsia="宋体" w:cs="宋体"/>
        </w:rPr>
        <w:t>②</w:t>
      </w:r>
      <w:r>
        <w:rPr>
          <w:rFonts w:hint="eastAsia" w:cs="Times New Roman"/>
        </w:rPr>
        <w:t>是否有利于缩短办结时间，提升群众满意率</w:t>
      </w:r>
      <w:r>
        <w:rPr>
          <w:rFonts w:cs="Times New Roman"/>
        </w:rPr>
        <w:t>，</w:t>
      </w:r>
      <w:r>
        <w:rPr>
          <w:rFonts w:hint="eastAsia" w:cs="Times New Roman"/>
        </w:rPr>
        <w:t>3</w:t>
      </w:r>
      <w:r>
        <w:rPr>
          <w:rFonts w:cs="Times New Roman"/>
        </w:rPr>
        <w:t>分；</w:t>
      </w:r>
    </w:p>
    <w:p>
      <w:pPr>
        <w:pStyle w:val="12"/>
        <w:ind w:firstLine="560"/>
        <w:rPr>
          <w:rFonts w:cs="Times New Roman"/>
        </w:rPr>
      </w:pPr>
      <w:r>
        <w:rPr>
          <w:rFonts w:hint="eastAsia" w:ascii="宋体" w:hAnsi="宋体" w:eastAsia="宋体" w:cs="宋体"/>
        </w:rPr>
        <w:t>③</w:t>
      </w:r>
      <w:r>
        <w:rPr>
          <w:rFonts w:hint="eastAsia" w:cs="Times New Roman"/>
        </w:rPr>
        <w:t>是否提升中心整体服务效能，为全区创优工作提供保障</w:t>
      </w:r>
      <w:r>
        <w:rPr>
          <w:rFonts w:cs="Times New Roman"/>
        </w:rPr>
        <w:t>，</w:t>
      </w:r>
      <w:r>
        <w:rPr>
          <w:rFonts w:hint="eastAsia" w:cs="Times New Roman"/>
        </w:rPr>
        <w:t>2</w:t>
      </w:r>
      <w:r>
        <w:rPr>
          <w:rFonts w:cs="Times New Roman"/>
        </w:rPr>
        <w:t>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hint="eastAsia" w:ascii="仿宋" w:hAnsi="仿宋" w:cs="仿宋"/>
        </w:rPr>
        <w:t>进一步提升实体政务大厅服务质量，着力打造办事环境好、效率高、服务优的政务服务平台，区行政服务中心扎实开展帮办代办服务，引导志愿服务相结合，主动提供优质服务</w:t>
      </w:r>
      <w:r>
        <w:rPr>
          <w:rFonts w:hint="eastAsia" w:cs="Times New Roman"/>
        </w:rPr>
        <w:t>，</w:t>
      </w:r>
      <w:r>
        <w:rPr>
          <w:rFonts w:cs="Times New Roman"/>
        </w:rPr>
        <w:t>得</w:t>
      </w:r>
      <w:r>
        <w:rPr>
          <w:rFonts w:hint="eastAsia" w:cs="Times New Roman"/>
        </w:rPr>
        <w:t>3</w:t>
      </w:r>
      <w:r>
        <w:rPr>
          <w:rFonts w:cs="Times New Roman"/>
        </w:rPr>
        <w:t>分；</w:t>
      </w:r>
    </w:p>
    <w:p>
      <w:pPr>
        <w:ind w:left="0" w:leftChars="0" w:right="0" w:rightChars="0" w:firstLine="561"/>
        <w:jc w:val="left"/>
        <w:rPr>
          <w:rFonts w:ascii="Times New Roman" w:hAnsi="Times New Roman" w:eastAsia="仿宋" w:cs="Times New Roman"/>
          <w:sz w:val="28"/>
          <w:szCs w:val="21"/>
        </w:rPr>
      </w:pPr>
      <w:r>
        <w:rPr>
          <w:rFonts w:hint="eastAsia" w:ascii="宋体" w:hAnsi="宋体" w:eastAsia="宋体" w:cs="宋体"/>
          <w:sz w:val="28"/>
          <w:szCs w:val="21"/>
        </w:rPr>
        <w:t>②</w:t>
      </w:r>
      <w:r>
        <w:rPr>
          <w:rFonts w:hint="eastAsia" w:ascii="仿宋" w:hAnsi="仿宋" w:eastAsia="仿宋" w:cs="仿宋"/>
          <w:sz w:val="28"/>
          <w:szCs w:val="21"/>
        </w:rPr>
        <w:t>通过场景式审批，最大限度精简办理程序、最大限度减少办事环节、最大限度优化服务流程，让企业和群众办事体验“更贴心”、办事速度“再提速”，</w:t>
      </w:r>
      <w:r>
        <w:rPr>
          <w:rFonts w:hint="eastAsia" w:ascii="Times New Roman" w:hAnsi="Times New Roman" w:eastAsia="仿宋" w:cs="Times New Roman"/>
          <w:sz w:val="28"/>
          <w:szCs w:val="21"/>
        </w:rPr>
        <w:t>缩短办结时间，提升群众满意率，</w:t>
      </w:r>
      <w:r>
        <w:rPr>
          <w:rFonts w:ascii="Times New Roman" w:hAnsi="Times New Roman" w:eastAsia="仿宋" w:cs="Times New Roman"/>
          <w:sz w:val="28"/>
          <w:szCs w:val="21"/>
        </w:rPr>
        <w:t>得</w:t>
      </w:r>
      <w:r>
        <w:rPr>
          <w:rFonts w:hint="eastAsia" w:ascii="Times New Roman" w:hAnsi="Times New Roman" w:eastAsia="仿宋" w:cs="Times New Roman"/>
          <w:sz w:val="28"/>
          <w:szCs w:val="21"/>
        </w:rPr>
        <w:t>3</w:t>
      </w:r>
      <w:r>
        <w:rPr>
          <w:rFonts w:ascii="Times New Roman" w:hAnsi="Times New Roman" w:eastAsia="仿宋" w:cs="Times New Roman"/>
          <w:sz w:val="28"/>
          <w:szCs w:val="21"/>
        </w:rPr>
        <w:t>分；</w:t>
      </w:r>
    </w:p>
    <w:p>
      <w:pPr>
        <w:pStyle w:val="12"/>
        <w:ind w:firstLine="560"/>
        <w:rPr>
          <w:rFonts w:cs="Times New Roman"/>
          <w:highlight w:val="yellow"/>
        </w:rPr>
      </w:pPr>
      <w:r>
        <w:rPr>
          <w:rFonts w:hint="eastAsia" w:ascii="宋体" w:hAnsi="宋体" w:eastAsia="宋体" w:cs="宋体"/>
        </w:rPr>
        <w:t>③</w:t>
      </w:r>
      <w:r>
        <w:rPr>
          <w:rFonts w:hint="eastAsia" w:ascii="仿宋" w:hAnsi="仿宋" w:cs="仿宋"/>
        </w:rPr>
        <w:t>通过主动热情服务，传播文明理念，倡导互助精神，劝导不文明行为，以全心全意为人民服务为宗旨，大力弘扬“奉献、友爱、互助、进步”的志愿者精神，</w:t>
      </w:r>
      <w:r>
        <w:rPr>
          <w:rFonts w:hint="eastAsia" w:cs="Times New Roman"/>
        </w:rPr>
        <w:t>提升中心整体服务效能，为全区创优工作提供保障</w:t>
      </w:r>
      <w:r>
        <w:rPr>
          <w:rFonts w:hint="eastAsia" w:ascii="仿宋" w:hAnsi="仿宋" w:cs="仿宋"/>
        </w:rPr>
        <w:t>，得2分</w:t>
      </w:r>
      <w:r>
        <w:rPr>
          <w:rFonts w:cs="Times New Roman"/>
        </w:rPr>
        <w:t>。</w:t>
      </w:r>
    </w:p>
    <w:p>
      <w:pPr>
        <w:pStyle w:val="5"/>
        <w:ind w:firstLine="562"/>
        <w:rPr>
          <w:rFonts w:cs="Times New Roman"/>
        </w:rPr>
      </w:pPr>
      <w:bookmarkStart w:id="74" w:name="_Toc67315605"/>
      <w:bookmarkStart w:id="75" w:name="_Toc6787"/>
      <w:r>
        <w:rPr>
          <w:rFonts w:hint="eastAsia" w:cs="Times New Roman"/>
        </w:rPr>
        <w:t>2.可持续影响（权重8，得分8）</w:t>
      </w:r>
      <w:bookmarkEnd w:id="74"/>
      <w:bookmarkEnd w:id="75"/>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hint="eastAsia" w:cs="Times New Roman"/>
        </w:rPr>
        <w:t>是否有助于持续优化服务机制，全面提升服务质量</w:t>
      </w:r>
      <w:r>
        <w:rPr>
          <w:rFonts w:cs="Times New Roman"/>
        </w:rPr>
        <w:t>，</w:t>
      </w:r>
      <w:r>
        <w:rPr>
          <w:rFonts w:hint="eastAsia" w:cs="Times New Roman"/>
        </w:rPr>
        <w:t>3</w:t>
      </w:r>
      <w:r>
        <w:rPr>
          <w:rFonts w:cs="Times New Roman"/>
        </w:rPr>
        <w:t>分；</w:t>
      </w:r>
    </w:p>
    <w:p>
      <w:pPr>
        <w:pStyle w:val="12"/>
        <w:ind w:firstLine="560"/>
        <w:rPr>
          <w:rFonts w:cs="Times New Roman"/>
        </w:rPr>
      </w:pPr>
      <w:r>
        <w:rPr>
          <w:rFonts w:hint="eastAsia" w:ascii="宋体" w:hAnsi="宋体" w:eastAsia="宋体" w:cs="宋体"/>
        </w:rPr>
        <w:t>②</w:t>
      </w:r>
      <w:r>
        <w:rPr>
          <w:rFonts w:hint="eastAsia" w:cs="Times New Roman"/>
        </w:rPr>
        <w:t>是否有助于持续提升窗口受理规范化程度，缩短办理时间</w:t>
      </w:r>
      <w:r>
        <w:rPr>
          <w:rFonts w:cs="Times New Roman"/>
        </w:rPr>
        <w:t>，</w:t>
      </w:r>
      <w:r>
        <w:rPr>
          <w:rFonts w:hint="eastAsia" w:cs="Times New Roman"/>
        </w:rPr>
        <w:t>3</w:t>
      </w:r>
      <w:r>
        <w:rPr>
          <w:rFonts w:cs="Times New Roman"/>
        </w:rPr>
        <w:t>分；</w:t>
      </w:r>
    </w:p>
    <w:p>
      <w:pPr>
        <w:pStyle w:val="12"/>
        <w:ind w:firstLine="560"/>
        <w:rPr>
          <w:rFonts w:cs="Times New Roman"/>
        </w:rPr>
      </w:pPr>
      <w:r>
        <w:rPr>
          <w:rFonts w:hint="eastAsia" w:ascii="宋体" w:hAnsi="宋体" w:eastAsia="宋体" w:cs="宋体"/>
        </w:rPr>
        <w:t>③</w:t>
      </w:r>
      <w:r>
        <w:rPr>
          <w:rFonts w:hint="eastAsia" w:cs="Times New Roman"/>
        </w:rPr>
        <w:t>是否有助于持续健全合作机制，促进事项办理标准化</w:t>
      </w:r>
      <w:r>
        <w:rPr>
          <w:rFonts w:cs="Times New Roman"/>
        </w:rPr>
        <w:t>，</w:t>
      </w:r>
      <w:r>
        <w:rPr>
          <w:rFonts w:hint="eastAsia" w:cs="Times New Roman"/>
        </w:rPr>
        <w:t>2</w:t>
      </w:r>
      <w:r>
        <w:rPr>
          <w:rFonts w:cs="Times New Roman"/>
        </w:rPr>
        <w:t>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hint="eastAsia" w:ascii="仿宋" w:hAnsi="仿宋" w:cs="仿宋"/>
        </w:rPr>
        <w:t>通过场景式审批，最大限度精简办理程序、最大限度减少办事环节、最大限度优化服务流程，让企业和群众办事体验“更贴心”、办事速度“再提速”</w:t>
      </w:r>
      <w:r>
        <w:rPr>
          <w:rFonts w:cs="Times New Roman"/>
        </w:rPr>
        <w:t>，</w:t>
      </w:r>
      <w:r>
        <w:rPr>
          <w:rFonts w:hint="eastAsia" w:cs="Times New Roman"/>
        </w:rPr>
        <w:t>有助于持续优化服务机制，全面提升服务质量，</w:t>
      </w:r>
      <w:r>
        <w:rPr>
          <w:rFonts w:cs="Times New Roman"/>
        </w:rPr>
        <w:t>得</w:t>
      </w:r>
      <w:r>
        <w:rPr>
          <w:rFonts w:hint="eastAsia" w:cs="Times New Roman"/>
        </w:rPr>
        <w:t>3</w:t>
      </w:r>
      <w:r>
        <w:rPr>
          <w:rFonts w:cs="Times New Roman"/>
        </w:rPr>
        <w:t>分；</w:t>
      </w:r>
    </w:p>
    <w:p>
      <w:pPr>
        <w:pStyle w:val="12"/>
        <w:ind w:firstLine="560"/>
        <w:rPr>
          <w:rFonts w:cs="Times New Roman"/>
        </w:rPr>
      </w:pPr>
      <w:r>
        <w:rPr>
          <w:rFonts w:hint="eastAsia" w:ascii="宋体" w:hAnsi="宋体" w:eastAsia="宋体" w:cs="宋体"/>
        </w:rPr>
        <w:t>②</w:t>
      </w:r>
      <w:r>
        <w:rPr>
          <w:rFonts w:hint="eastAsia" w:ascii="仿宋_GB2312"/>
        </w:rPr>
        <w:t>围绕“一号申请、一窗受理、一网通办</w:t>
      </w:r>
      <w:r>
        <w:rPr>
          <w:rFonts w:ascii="仿宋_GB2312"/>
        </w:rPr>
        <w:t>”</w:t>
      </w:r>
      <w:r>
        <w:rPr>
          <w:rFonts w:hint="eastAsia" w:ascii="仿宋_GB2312"/>
        </w:rPr>
        <w:t>和“三集中、三到位”要求，对市编办审定的行政权力事项，按照“应进必进，应上必上”的原则全部进驻中心，全程在线办理，部门对窗口充分授权，对进驻事项逐一建立办事指南和审查工作细则，实现线上线下高度融合</w:t>
      </w:r>
      <w:r>
        <w:rPr>
          <w:rFonts w:cs="Times New Roman"/>
        </w:rPr>
        <w:t>，得</w:t>
      </w:r>
      <w:r>
        <w:rPr>
          <w:rFonts w:hint="eastAsia" w:cs="Times New Roman"/>
        </w:rPr>
        <w:t>3</w:t>
      </w:r>
      <w:r>
        <w:rPr>
          <w:rFonts w:cs="Times New Roman"/>
        </w:rPr>
        <w:t>分；</w:t>
      </w:r>
    </w:p>
    <w:p>
      <w:pPr>
        <w:pStyle w:val="12"/>
        <w:ind w:firstLine="560"/>
        <w:rPr>
          <w:rFonts w:eastAsia="楷体_GB2312" w:cs="Times New Roman"/>
        </w:rPr>
      </w:pPr>
      <w:r>
        <w:rPr>
          <w:rFonts w:hint="eastAsia" w:ascii="宋体" w:hAnsi="宋体" w:eastAsia="宋体" w:cs="宋体"/>
        </w:rPr>
        <w:t>③</w:t>
      </w:r>
      <w:r>
        <w:rPr>
          <w:rFonts w:hint="eastAsia" w:ascii="仿宋_GB2312"/>
        </w:rPr>
        <w:t>强化服务意识，改进工作作风，提高行政效能，全面提升中心的服务质量和水平，树立良好的服务型政府形象，打造一流的政务服务环境，制定《漯河经济技术开发区行政服务中心标准化政务服务管理办法》，</w:t>
      </w:r>
      <w:r>
        <w:rPr>
          <w:rFonts w:hint="eastAsia" w:cs="Times New Roman"/>
        </w:rPr>
        <w:t>有助于持续健全合作机制，促进事项办理标准化，</w:t>
      </w:r>
      <w:r>
        <w:rPr>
          <w:rFonts w:cs="Times New Roman"/>
        </w:rPr>
        <w:t>得</w:t>
      </w:r>
      <w:r>
        <w:rPr>
          <w:rFonts w:hint="eastAsia" w:cs="Times New Roman"/>
        </w:rPr>
        <w:t>2</w:t>
      </w:r>
      <w:r>
        <w:rPr>
          <w:rFonts w:cs="Times New Roman"/>
        </w:rPr>
        <w:t>分。</w:t>
      </w:r>
    </w:p>
    <w:p>
      <w:pPr>
        <w:pStyle w:val="5"/>
        <w:ind w:firstLine="562"/>
        <w:rPr>
          <w:rFonts w:cs="Times New Roman"/>
        </w:rPr>
      </w:pPr>
      <w:bookmarkStart w:id="76" w:name="_Toc67315606"/>
      <w:bookmarkStart w:id="77" w:name="_Toc17249"/>
      <w:r>
        <w:rPr>
          <w:rFonts w:hint="eastAsia" w:cs="Times New Roman"/>
        </w:rPr>
        <w:t>3.社会公众满意度（权重14，得分14）</w:t>
      </w:r>
      <w:bookmarkEnd w:id="76"/>
      <w:bookmarkEnd w:id="77"/>
    </w:p>
    <w:p>
      <w:pPr>
        <w:pStyle w:val="12"/>
        <w:ind w:firstLine="562"/>
        <w:rPr>
          <w:rFonts w:cs="Times New Roman"/>
          <w:b/>
        </w:rPr>
      </w:pPr>
      <w:r>
        <w:rPr>
          <w:rFonts w:cs="Times New Roman"/>
          <w:b/>
        </w:rPr>
        <w:t>评分标准：</w:t>
      </w:r>
    </w:p>
    <w:p>
      <w:pPr>
        <w:adjustRightInd w:val="0"/>
        <w:spacing w:line="600" w:lineRule="exact"/>
        <w:ind w:right="320" w:firstLine="280" w:firstLineChars="100"/>
        <w:rPr>
          <w:rFonts w:ascii="仿宋" w:hAnsi="仿宋" w:eastAsia="仿宋" w:cs="仿宋"/>
          <w:sz w:val="28"/>
          <w:szCs w:val="28"/>
        </w:rPr>
      </w:pPr>
      <w:r>
        <w:rPr>
          <w:rFonts w:hint="eastAsia" w:ascii="仿宋" w:hAnsi="仿宋" w:eastAsia="仿宋" w:cs="仿宋"/>
          <w:sz w:val="28"/>
          <w:szCs w:val="28"/>
        </w:rPr>
        <w:t>①上级主管部门的满意度≥95%，7分；</w:t>
      </w:r>
    </w:p>
    <w:p>
      <w:pPr>
        <w:adjustRightInd w:val="0"/>
        <w:spacing w:line="600" w:lineRule="exact"/>
        <w:ind w:right="320" w:firstLine="280" w:firstLineChars="100"/>
        <w:rPr>
          <w:rFonts w:ascii="仿宋" w:hAnsi="仿宋" w:eastAsia="仿宋" w:cs="仿宋"/>
          <w:sz w:val="28"/>
          <w:szCs w:val="28"/>
        </w:rPr>
      </w:pPr>
      <w:r>
        <w:rPr>
          <w:rFonts w:hint="eastAsia" w:ascii="仿宋" w:hAnsi="仿宋" w:eastAsia="仿宋" w:cs="仿宋"/>
          <w:sz w:val="28"/>
          <w:szCs w:val="28"/>
        </w:rPr>
        <w:t>②群众的满意度≥95%，7分。</w:t>
      </w:r>
    </w:p>
    <w:p>
      <w:pPr>
        <w:pStyle w:val="12"/>
        <w:ind w:firstLine="562"/>
        <w:rPr>
          <w:rFonts w:cs="Times New Roman"/>
          <w:b/>
        </w:rPr>
      </w:pPr>
      <w:r>
        <w:rPr>
          <w:rFonts w:cs="Times New Roman"/>
          <w:b/>
        </w:rPr>
        <w:t>得分：</w:t>
      </w:r>
    </w:p>
    <w:p>
      <w:pPr>
        <w:pStyle w:val="12"/>
        <w:ind w:firstLine="560"/>
        <w:rPr>
          <w:rFonts w:cs="Times New Roman"/>
        </w:rPr>
      </w:pPr>
      <w:r>
        <w:rPr>
          <w:rFonts w:cs="Times New Roman"/>
        </w:rPr>
        <w:t>通过问卷调查分析，</w:t>
      </w:r>
    </w:p>
    <w:p>
      <w:pPr>
        <w:pStyle w:val="12"/>
        <w:ind w:firstLine="560"/>
        <w:rPr>
          <w:rFonts w:cs="Times New Roman"/>
        </w:rPr>
      </w:pPr>
      <w:r>
        <w:rPr>
          <w:rFonts w:hint="eastAsia" w:ascii="宋体" w:hAnsi="宋体" w:eastAsia="宋体" w:cs="宋体"/>
        </w:rPr>
        <w:t>①</w:t>
      </w:r>
      <w:r>
        <w:rPr>
          <w:rFonts w:hint="eastAsia" w:cs="Times New Roman"/>
        </w:rPr>
        <w:t>上级主管部门</w:t>
      </w:r>
      <w:r>
        <w:rPr>
          <w:rFonts w:cs="Times New Roman"/>
        </w:rPr>
        <w:t>的满意度为</w:t>
      </w:r>
      <w:r>
        <w:rPr>
          <w:rFonts w:hint="eastAsia" w:cs="Times New Roman"/>
        </w:rPr>
        <w:t>100%</w:t>
      </w:r>
      <w:r>
        <w:rPr>
          <w:rFonts w:cs="Times New Roman"/>
        </w:rPr>
        <w:t>，得</w:t>
      </w:r>
      <w:r>
        <w:rPr>
          <w:rFonts w:hint="eastAsia" w:cs="Times New Roman"/>
        </w:rPr>
        <w:t>7</w:t>
      </w:r>
      <w:r>
        <w:rPr>
          <w:rFonts w:cs="Times New Roman"/>
        </w:rPr>
        <w:t>分</w:t>
      </w:r>
      <w:r>
        <w:rPr>
          <w:rFonts w:hint="eastAsia" w:cs="Times New Roman"/>
        </w:rPr>
        <w:t>；</w:t>
      </w:r>
    </w:p>
    <w:p>
      <w:pPr>
        <w:pStyle w:val="12"/>
        <w:ind w:firstLine="560"/>
        <w:rPr>
          <w:rFonts w:cs="Times New Roman"/>
        </w:rPr>
      </w:pPr>
      <w:r>
        <w:rPr>
          <w:rFonts w:hint="eastAsia" w:ascii="仿宋" w:hAnsi="仿宋" w:cs="仿宋"/>
          <w:szCs w:val="28"/>
        </w:rPr>
        <w:t>②群众的满意度100%，得7分</w:t>
      </w:r>
      <w:r>
        <w:rPr>
          <w:rFonts w:cs="Times New Roman"/>
        </w:rPr>
        <w:t>。</w:t>
      </w:r>
    </w:p>
    <w:p>
      <w:pPr>
        <w:pStyle w:val="3"/>
        <w:rPr>
          <w:rFonts w:cs="Times New Roman"/>
        </w:rPr>
      </w:pPr>
      <w:bookmarkStart w:id="78" w:name="_Toc67315607"/>
      <w:bookmarkStart w:id="79" w:name="_Toc22022"/>
      <w:r>
        <w:rPr>
          <w:rFonts w:cs="Times New Roman"/>
        </w:rPr>
        <w:t>五、主要经验及做法、存在的问题及原因分析</w:t>
      </w:r>
      <w:bookmarkEnd w:id="78"/>
      <w:bookmarkEnd w:id="79"/>
    </w:p>
    <w:p>
      <w:pPr>
        <w:pStyle w:val="4"/>
        <w:ind w:firstLine="602"/>
        <w:rPr>
          <w:rFonts w:cs="Times New Roman"/>
        </w:rPr>
      </w:pPr>
      <w:bookmarkStart w:id="80" w:name="_Toc67315608"/>
      <w:bookmarkStart w:id="81" w:name="_Toc30981"/>
      <w:r>
        <w:rPr>
          <w:rFonts w:cs="Times New Roman"/>
        </w:rPr>
        <w:t>（一）主要经验及做法</w:t>
      </w:r>
      <w:bookmarkEnd w:id="80"/>
      <w:bookmarkEnd w:id="81"/>
    </w:p>
    <w:p>
      <w:pPr>
        <w:adjustRightInd w:val="0"/>
        <w:spacing w:line="600" w:lineRule="exact"/>
        <w:ind w:left="0" w:leftChars="0" w:right="320" w:firstLine="565" w:firstLineChars="202"/>
        <w:rPr>
          <w:rFonts w:ascii="仿宋" w:hAnsi="仿宋" w:eastAsia="仿宋" w:cs="仿宋"/>
          <w:sz w:val="28"/>
          <w:szCs w:val="28"/>
        </w:rPr>
      </w:pPr>
      <w:bookmarkStart w:id="82" w:name="_Toc67315611"/>
      <w:r>
        <w:rPr>
          <w:rFonts w:hint="eastAsia" w:ascii="仿宋" w:hAnsi="仿宋" w:eastAsia="仿宋" w:cs="仿宋"/>
          <w:sz w:val="28"/>
          <w:szCs w:val="28"/>
        </w:rPr>
        <w:t>开设创新服务和场景式办事专区。</w:t>
      </w:r>
      <w:r>
        <w:rPr>
          <w:rFonts w:hint="eastAsia" w:ascii="仿宋" w:hAnsi="仿宋" w:eastAsia="仿宋" w:cs="仿宋"/>
          <w:b/>
          <w:sz w:val="28"/>
          <w:szCs w:val="28"/>
        </w:rPr>
        <w:t>一是</w:t>
      </w:r>
      <w:r>
        <w:rPr>
          <w:rFonts w:hint="eastAsia" w:ascii="仿宋" w:hAnsi="仿宋" w:eastAsia="仿宋" w:cs="仿宋"/>
          <w:sz w:val="28"/>
          <w:szCs w:val="28"/>
        </w:rPr>
        <w:t>实现三个“最大限度”服务。针对企业和群众“高频”办理事项和反映的“多头跑、来回跑”等问题进行采集、分类，按照办事对象、办事流程等划分不同业务场景，中心以“减、并”为原则，全面梳理事项办理流程、时限、要点，开展业务流程再造和优化设计，减少重复环节、重复材料，形成政务服务“套餐”，推出“开办企业”场景式审批服务，涉及市场监管、公安分局、税务分局等单位。通过场景式审批，最大限度精简办理程序、最大限度减少办事环节、最大限度优化服务流程，让企业和群众办事体验“更贴心”、办事速度“再提速”。</w:t>
      </w:r>
      <w:r>
        <w:rPr>
          <w:rFonts w:hint="eastAsia" w:ascii="仿宋" w:hAnsi="仿宋" w:eastAsia="仿宋" w:cs="仿宋"/>
          <w:b/>
          <w:sz w:val="28"/>
          <w:szCs w:val="28"/>
        </w:rPr>
        <w:t>二是</w:t>
      </w:r>
      <w:r>
        <w:rPr>
          <w:rFonts w:hint="eastAsia" w:ascii="仿宋" w:hAnsi="仿宋" w:eastAsia="仿宋" w:cs="仿宋"/>
          <w:sz w:val="28"/>
          <w:szCs w:val="28"/>
        </w:rPr>
        <w:t>率先取得了全流程办理资格和网上推送端口账号。通过与市大数据局和行政服务中心积极对接，该区于三个功能区中率先取得了全流程办理资格和网上推送端口账号。</w:t>
      </w:r>
    </w:p>
    <w:p>
      <w:pPr>
        <w:pStyle w:val="4"/>
        <w:ind w:firstLine="602"/>
        <w:rPr>
          <w:rFonts w:cs="Times New Roman"/>
        </w:rPr>
      </w:pPr>
      <w:bookmarkStart w:id="83" w:name="_Toc14130"/>
      <w:r>
        <w:rPr>
          <w:rFonts w:cs="Times New Roman"/>
        </w:rPr>
        <w:t>（二）存在的问题及原因分析</w:t>
      </w:r>
      <w:bookmarkEnd w:id="82"/>
      <w:bookmarkEnd w:id="83"/>
    </w:p>
    <w:p>
      <w:pPr>
        <w:pStyle w:val="12"/>
        <w:ind w:firstLine="560"/>
        <w:rPr>
          <w:rFonts w:cs="Times New Roman"/>
        </w:rPr>
      </w:pPr>
      <w:r>
        <w:rPr>
          <w:rFonts w:cs="Times New Roman"/>
        </w:rPr>
        <w:t>从评价结果看，资金使用效果较明显，充分发挥出专项资金的使用效益。但在</w:t>
      </w:r>
      <w:r>
        <w:rPr>
          <w:rFonts w:hint="eastAsia" w:cs="Times New Roman"/>
        </w:rPr>
        <w:t>经费</w:t>
      </w:r>
      <w:r>
        <w:rPr>
          <w:rFonts w:cs="Times New Roman"/>
        </w:rPr>
        <w:t>支出</w:t>
      </w:r>
      <w:r>
        <w:rPr>
          <w:rFonts w:hint="eastAsia" w:cs="Times New Roman"/>
        </w:rPr>
        <w:t>、</w:t>
      </w:r>
      <w:r>
        <w:rPr>
          <w:rFonts w:cs="Times New Roman"/>
        </w:rPr>
        <w:t>成本管控</w:t>
      </w:r>
      <w:r>
        <w:rPr>
          <w:rFonts w:hint="eastAsia" w:cs="Times New Roman"/>
        </w:rPr>
        <w:t>、</w:t>
      </w:r>
      <w:r>
        <w:rPr>
          <w:rFonts w:cs="Times New Roman"/>
        </w:rPr>
        <w:t>制度建设等方面还存在一些问题。主要有以下几个方面：</w:t>
      </w:r>
    </w:p>
    <w:p>
      <w:pPr>
        <w:pStyle w:val="5"/>
        <w:ind w:firstLine="562"/>
        <w:rPr>
          <w:rFonts w:cs="Times New Roman"/>
        </w:rPr>
      </w:pPr>
      <w:bookmarkStart w:id="84" w:name="_Toc8032"/>
      <w:r>
        <w:rPr>
          <w:rFonts w:hint="eastAsia" w:cs="Times New Roman"/>
        </w:rPr>
        <w:t>1.经费支出管理有待提高</w:t>
      </w:r>
      <w:bookmarkEnd w:id="84"/>
    </w:p>
    <w:p>
      <w:pPr>
        <w:pStyle w:val="12"/>
        <w:ind w:firstLine="478" w:firstLineChars="171"/>
        <w:rPr>
          <w:rFonts w:cs="Times New Roman"/>
        </w:rPr>
      </w:pPr>
      <w:r>
        <w:rPr>
          <w:rFonts w:hint="eastAsia" w:cs="Times New Roman"/>
        </w:rPr>
        <w:t>漯河经济技术开发区行政服务中心</w:t>
      </w:r>
      <w:r>
        <w:rPr>
          <w:rFonts w:cs="Times New Roman"/>
        </w:rPr>
        <w:t>提供的</w:t>
      </w:r>
      <w:r>
        <w:rPr>
          <w:rFonts w:hint="eastAsia" w:cs="Times New Roman"/>
        </w:rPr>
        <w:t>项目支出</w:t>
      </w:r>
      <w:r>
        <w:rPr>
          <w:rFonts w:cs="Times New Roman"/>
        </w:rPr>
        <w:t>自评报告和相关资料显示</w:t>
      </w:r>
      <w:r>
        <w:rPr>
          <w:rFonts w:hint="eastAsia" w:cs="Times New Roman"/>
        </w:rPr>
        <w:t>，预算</w:t>
      </w:r>
      <w:r>
        <w:rPr>
          <w:rFonts w:cs="Times New Roman"/>
        </w:rPr>
        <w:t>支出和实际执行支出存在差额</w:t>
      </w:r>
      <w:r>
        <w:rPr>
          <w:rFonts w:hint="eastAsia" w:cs="Times New Roman"/>
        </w:rPr>
        <w:t>，且缺少支出调整的相关资料，在</w:t>
      </w:r>
      <w:r>
        <w:rPr>
          <w:rFonts w:cs="Times New Roman"/>
        </w:rPr>
        <w:t>执行中未对差额产生的原因进行分析总结</w:t>
      </w:r>
      <w:r>
        <w:rPr>
          <w:rFonts w:hint="eastAsia" w:cs="Times New Roman"/>
        </w:rPr>
        <w:t>，</w:t>
      </w:r>
      <w:r>
        <w:rPr>
          <w:rFonts w:cs="Times New Roman"/>
        </w:rPr>
        <w:t>不利于提高资金使用效率。</w:t>
      </w:r>
    </w:p>
    <w:p>
      <w:pPr>
        <w:pStyle w:val="5"/>
        <w:ind w:firstLine="562"/>
        <w:rPr>
          <w:rFonts w:cs="Times New Roman"/>
        </w:rPr>
      </w:pPr>
      <w:bookmarkStart w:id="85" w:name="_Toc30241"/>
      <w:r>
        <w:rPr>
          <w:rFonts w:hint="eastAsia" w:cs="Times New Roman"/>
        </w:rPr>
        <w:t>2.成本管控不到位</w:t>
      </w:r>
      <w:bookmarkEnd w:id="85"/>
    </w:p>
    <w:p>
      <w:pPr>
        <w:pStyle w:val="12"/>
        <w:ind w:firstLine="560"/>
        <w:rPr>
          <w:rFonts w:cs="Times New Roman"/>
        </w:rPr>
      </w:pPr>
      <w:r>
        <w:rPr>
          <w:rFonts w:cs="Times New Roman"/>
        </w:rPr>
        <w:t>在该</w:t>
      </w:r>
      <w:r>
        <w:rPr>
          <w:rFonts w:hint="eastAsia" w:cs="Times New Roman"/>
        </w:rPr>
        <w:t>单位</w:t>
      </w:r>
      <w:r>
        <w:rPr>
          <w:rFonts w:cs="Times New Roman"/>
        </w:rPr>
        <w:t>提供的相关资料里</w:t>
      </w:r>
      <w:r>
        <w:rPr>
          <w:rFonts w:hint="eastAsia" w:cs="Times New Roman"/>
        </w:rPr>
        <w:t>，缺少</w:t>
      </w:r>
      <w:r>
        <w:rPr>
          <w:rFonts w:cs="Times New Roman"/>
        </w:rPr>
        <w:t>对成</w:t>
      </w:r>
      <w:r>
        <w:rPr>
          <w:rFonts w:hint="eastAsia" w:cs="Times New Roman"/>
          <w:lang w:eastAsia="zh-CN"/>
        </w:rPr>
        <w:t>本</w:t>
      </w:r>
      <w:r>
        <w:rPr>
          <w:rFonts w:cs="Times New Roman"/>
        </w:rPr>
        <w:t>管控的制度规定</w:t>
      </w:r>
      <w:r>
        <w:rPr>
          <w:rFonts w:hint="eastAsia" w:cs="Times New Roman"/>
        </w:rPr>
        <w:t>及管控措施，在</w:t>
      </w:r>
      <w:r>
        <w:rPr>
          <w:rFonts w:hint="eastAsia" w:cs="Times New Roman"/>
          <w:lang w:eastAsia="zh-CN"/>
        </w:rPr>
        <w:t>分项</w:t>
      </w:r>
      <w:r>
        <w:rPr>
          <w:rFonts w:hint="eastAsia" w:cs="Times New Roman"/>
        </w:rPr>
        <w:t>实际</w:t>
      </w:r>
      <w:r>
        <w:rPr>
          <w:rFonts w:hint="eastAsia" w:cs="Times New Roman"/>
          <w:lang w:eastAsia="zh-CN"/>
        </w:rPr>
        <w:t>支出</w:t>
      </w:r>
      <w:r>
        <w:rPr>
          <w:rFonts w:hint="eastAsia" w:cs="Times New Roman"/>
        </w:rPr>
        <w:t>与预算支出出入较大时，亦未对原因进行分析，未及时进行预算调剂，</w:t>
      </w:r>
      <w:r>
        <w:rPr>
          <w:rFonts w:cs="Times New Roman"/>
        </w:rPr>
        <w:t>无法及时优化资金</w:t>
      </w:r>
      <w:r>
        <w:rPr>
          <w:rFonts w:hint="eastAsia" w:cs="Times New Roman"/>
        </w:rPr>
        <w:t>使用，</w:t>
      </w:r>
      <w:r>
        <w:rPr>
          <w:rFonts w:cs="Times New Roman"/>
        </w:rPr>
        <w:t>成本管控不到位。</w:t>
      </w:r>
    </w:p>
    <w:p>
      <w:pPr>
        <w:pStyle w:val="5"/>
        <w:ind w:firstLine="562"/>
        <w:rPr>
          <w:rFonts w:cs="Times New Roman"/>
        </w:rPr>
      </w:pPr>
      <w:bookmarkStart w:id="86" w:name="_Toc7600"/>
      <w:r>
        <w:rPr>
          <w:rFonts w:hint="eastAsia" w:cs="Times New Roman"/>
        </w:rPr>
        <w:t>3.制度建设需进一步完善</w:t>
      </w:r>
      <w:bookmarkEnd w:id="86"/>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textAlignment w:val="auto"/>
      </w:pPr>
      <w:r>
        <w:rPr>
          <w:rFonts w:hint="eastAsia"/>
        </w:rPr>
        <w:t>通过</w:t>
      </w:r>
      <w:r>
        <w:t>此次绩效评价</w:t>
      </w:r>
      <w:r>
        <w:rPr>
          <w:rFonts w:hint="eastAsia"/>
        </w:rPr>
        <w:t>，</w:t>
      </w:r>
      <w:r>
        <w:t>评价小组发现该部门虽按照国家或政府出台的相关制度开展工作</w:t>
      </w:r>
      <w:r>
        <w:rPr>
          <w:rFonts w:hint="eastAsia"/>
        </w:rPr>
        <w:t>，但</w:t>
      </w:r>
      <w:r>
        <w:t>缺少根据业务情况制定的内部</w:t>
      </w:r>
      <w:r>
        <w:rPr>
          <w:rFonts w:hint="eastAsia"/>
        </w:rPr>
        <w:t>业务</w:t>
      </w:r>
      <w:r>
        <w:t>管理</w:t>
      </w:r>
      <w:r>
        <w:rPr>
          <w:rFonts w:hint="eastAsia"/>
        </w:rPr>
        <w:t>制度，存在具体工作缺少内部执行依据和细节把控的问题</w:t>
      </w:r>
      <w:r>
        <w:t>。</w:t>
      </w:r>
      <w:bookmarkStart w:id="87" w:name="_Toc67315612"/>
    </w:p>
    <w:p>
      <w:pPr>
        <w:pStyle w:val="3"/>
        <w:rPr>
          <w:rFonts w:cs="Times New Roman"/>
        </w:rPr>
      </w:pPr>
      <w:bookmarkStart w:id="88" w:name="_Toc22147"/>
      <w:r>
        <w:rPr>
          <w:rFonts w:cs="Times New Roman"/>
        </w:rPr>
        <w:t>六、有关建议</w:t>
      </w:r>
      <w:bookmarkEnd w:id="87"/>
      <w:bookmarkEnd w:id="88"/>
    </w:p>
    <w:p>
      <w:pPr>
        <w:pStyle w:val="12"/>
        <w:ind w:firstLine="560"/>
        <w:rPr>
          <w:rFonts w:cs="Times New Roman"/>
        </w:rPr>
      </w:pPr>
      <w:r>
        <w:rPr>
          <w:rFonts w:cs="Times New Roman"/>
        </w:rPr>
        <w:t>在今后的工作的工作开展中，</w:t>
      </w:r>
      <w:r>
        <w:rPr>
          <w:rFonts w:hint="eastAsia" w:cs="Times New Roman"/>
        </w:rPr>
        <w:t>漯河经济技术开发区行政服务中心</w:t>
      </w:r>
      <w:r>
        <w:rPr>
          <w:rFonts w:cs="Times New Roman"/>
        </w:rPr>
        <w:t>应严格按照预算绩效管理规定，进一步强化资金监管、提升项目管理、疏堵管理漏洞，切实将预算绩效管理各项改革任务落到实处，全面提升财政资金使用绩效。建议从以下几点提升：</w:t>
      </w:r>
    </w:p>
    <w:p>
      <w:pPr>
        <w:pStyle w:val="5"/>
        <w:ind w:firstLine="562"/>
        <w:rPr>
          <w:rFonts w:cs="Times New Roman"/>
        </w:rPr>
      </w:pPr>
      <w:bookmarkStart w:id="89" w:name="_Toc67315613"/>
      <w:bookmarkStart w:id="90" w:name="_Toc17593"/>
      <w:r>
        <w:rPr>
          <w:rFonts w:hint="eastAsia" w:cs="Times New Roman"/>
        </w:rPr>
        <w:t>1.</w:t>
      </w:r>
      <w:bookmarkEnd w:id="89"/>
      <w:r>
        <w:rPr>
          <w:rFonts w:hint="eastAsia" w:cs="Times New Roman"/>
        </w:rPr>
        <w:t>提升资金分配效率</w:t>
      </w:r>
      <w:bookmarkEnd w:id="90"/>
    </w:p>
    <w:p>
      <w:pPr>
        <w:pStyle w:val="12"/>
        <w:ind w:firstLine="560"/>
        <w:rPr>
          <w:rFonts w:cs="Times New Roman"/>
        </w:rPr>
      </w:pPr>
      <w:r>
        <w:rPr>
          <w:rFonts w:cs="Times New Roman"/>
        </w:rPr>
        <w:t>每年定期分析当年预算执行情况，及时提出资金分配和使用优化措施，并及时落实优化措施。年末编制预算时充分考虑部门运行的可持续性和未来一年的工作重点，从节约成本和资金使用效益效率最大化目的出发，编制下年度资金预算。</w:t>
      </w:r>
    </w:p>
    <w:p>
      <w:pPr>
        <w:pStyle w:val="5"/>
        <w:ind w:firstLine="562"/>
        <w:rPr>
          <w:rFonts w:cs="Times New Roman"/>
        </w:rPr>
      </w:pPr>
      <w:bookmarkStart w:id="91" w:name="_Toc67315615"/>
      <w:bookmarkStart w:id="92" w:name="_Toc31352"/>
      <w:r>
        <w:rPr>
          <w:rFonts w:hint="eastAsia" w:cs="Times New Roman"/>
        </w:rPr>
        <w:t>2.</w:t>
      </w:r>
      <w:bookmarkEnd w:id="91"/>
      <w:r>
        <w:rPr>
          <w:rFonts w:hint="eastAsia" w:cs="Times New Roman"/>
        </w:rPr>
        <w:t>加强成本管控</w:t>
      </w:r>
      <w:bookmarkEnd w:id="92"/>
    </w:p>
    <w:p>
      <w:pPr>
        <w:pStyle w:val="12"/>
        <w:ind w:firstLine="560"/>
        <w:rPr>
          <w:rFonts w:cs="Times New Roman"/>
        </w:rPr>
      </w:pPr>
      <w:r>
        <w:rPr>
          <w:rFonts w:cs="Times New Roman"/>
        </w:rPr>
        <w:t>根据部门全年工作和重点工作计划及实施情况，建立项目管理机制，对项目实施过程中的关键节点进行分析和把控，引入科学先进的管理理念，优化管理方案，加强成本管控</w:t>
      </w:r>
      <w:r>
        <w:rPr>
          <w:rFonts w:hint="eastAsia" w:cs="Times New Roman"/>
        </w:rPr>
        <w:t>，</w:t>
      </w:r>
      <w:r>
        <w:rPr>
          <w:rFonts w:cs="Times New Roman"/>
        </w:rPr>
        <w:t>做到综合利用资源，高质量、高效益</w:t>
      </w:r>
      <w:r>
        <w:rPr>
          <w:rFonts w:hint="eastAsia" w:cs="Times New Roman"/>
        </w:rPr>
        <w:t>、</w:t>
      </w:r>
      <w:r>
        <w:rPr>
          <w:rFonts w:cs="Times New Roman"/>
        </w:rPr>
        <w:t>低成本的完成</w:t>
      </w:r>
      <w:r>
        <w:rPr>
          <w:rFonts w:hint="eastAsia" w:cs="Times New Roman"/>
        </w:rPr>
        <w:t>工作</w:t>
      </w:r>
      <w:r>
        <w:rPr>
          <w:rFonts w:cs="Times New Roman"/>
        </w:rPr>
        <w:t>。</w:t>
      </w:r>
    </w:p>
    <w:p>
      <w:pPr>
        <w:pStyle w:val="5"/>
        <w:ind w:firstLine="562"/>
        <w:rPr>
          <w:rFonts w:cs="Times New Roman"/>
        </w:rPr>
      </w:pPr>
      <w:bookmarkStart w:id="93" w:name="_Toc14538"/>
      <w:r>
        <w:rPr>
          <w:rFonts w:hint="eastAsia" w:cs="Times New Roman"/>
        </w:rPr>
        <w:t>3. 全面建立内控体系</w:t>
      </w:r>
      <w:bookmarkEnd w:id="93"/>
    </w:p>
    <w:p>
      <w:pPr>
        <w:pStyle w:val="12"/>
        <w:ind w:firstLine="560"/>
        <w:rPr>
          <w:rFonts w:cs="Times New Roman"/>
        </w:rPr>
      </w:pPr>
      <w:r>
        <w:rPr>
          <w:rFonts w:hint="eastAsia" w:cs="Times New Roman"/>
        </w:rPr>
        <w:t>根据部门业务开展情况，建立以制度为基础，内控为抓手的内控体系，制定财务管理、资金管理、业务管理、预算管理等具体管理制度，促进制度建设的全面系统性；梳理工作开展的关键点及风险点，制定控制措施，强化执行依据，提升管理效率。</w:t>
      </w:r>
      <w:bookmarkStart w:id="94" w:name="_Toc67315616"/>
    </w:p>
    <w:p>
      <w:pPr>
        <w:pStyle w:val="3"/>
      </w:pPr>
      <w:bookmarkStart w:id="95" w:name="_Toc32022"/>
      <w:r>
        <w:t>七、其他需要说明的问题</w:t>
      </w:r>
      <w:bookmarkEnd w:id="94"/>
      <w:bookmarkEnd w:id="95"/>
    </w:p>
    <w:p>
      <w:pPr>
        <w:pStyle w:val="12"/>
        <w:ind w:firstLine="560"/>
        <w:rPr>
          <w:rFonts w:cs="Times New Roman"/>
        </w:rPr>
        <w:sectPr>
          <w:pgSz w:w="11906" w:h="16838"/>
          <w:pgMar w:top="1440" w:right="1800" w:bottom="1440" w:left="1800" w:header="851" w:footer="992" w:gutter="0"/>
          <w:cols w:space="425" w:num="1"/>
          <w:titlePg/>
          <w:docGrid w:type="lines" w:linePitch="435" w:charSpace="0"/>
        </w:sectPr>
      </w:pPr>
      <w:r>
        <w:rPr>
          <w:rFonts w:cs="Times New Roman"/>
        </w:rPr>
        <w:t>本绩效评估报告的绩效评估指标体系采纳《河南省省级预算绩效评价管理办法》中“省级财政预算项目绩效评价指标体系”的主要框架和重要指标，并根据项目的个性化情况，对部分指标进行了合理的修改和补充。</w:t>
      </w:r>
    </w:p>
    <w:p>
      <w:pPr>
        <w:pStyle w:val="3"/>
        <w:rPr>
          <w:rFonts w:cs="Times New Roman"/>
        </w:rPr>
      </w:pPr>
      <w:bookmarkStart w:id="96" w:name="_Toc67315617"/>
      <w:bookmarkStart w:id="97" w:name="_Toc6294"/>
      <w:r>
        <w:rPr>
          <w:rFonts w:cs="Times New Roman"/>
        </w:rPr>
        <w:t>八、附件</w:t>
      </w:r>
      <w:bookmarkEnd w:id="96"/>
      <w:bookmarkEnd w:id="97"/>
    </w:p>
    <w:p>
      <w:pPr>
        <w:pStyle w:val="12"/>
        <w:ind w:firstLine="560"/>
        <w:rPr>
          <w:rFonts w:cs="Times New Roman"/>
        </w:rPr>
      </w:pPr>
      <w:r>
        <w:rPr>
          <w:rFonts w:cs="Times New Roman"/>
        </w:rPr>
        <w:t>附件1：</w:t>
      </w:r>
      <w:r>
        <w:rPr>
          <w:rFonts w:hint="eastAsia" w:cs="Times New Roman"/>
        </w:rPr>
        <w:t>漯河经济技术开发区行政服务中心</w:t>
      </w:r>
      <w:r>
        <w:rPr>
          <w:rFonts w:cs="Times New Roman"/>
        </w:rPr>
        <w:t>预算项目绩效目标申报表</w:t>
      </w:r>
    </w:p>
    <w:p>
      <w:pPr>
        <w:pStyle w:val="12"/>
        <w:ind w:firstLine="560"/>
        <w:rPr>
          <w:rFonts w:cs="Times New Roman"/>
        </w:rPr>
      </w:pPr>
      <w:r>
        <w:rPr>
          <w:rFonts w:cs="Times New Roman"/>
        </w:rPr>
        <w:t>附件2：</w:t>
      </w:r>
      <w:r>
        <w:rPr>
          <w:rFonts w:hint="eastAsia" w:cs="Times New Roman"/>
        </w:rPr>
        <w:t>漯河经济技术开发区行政服务中心</w:t>
      </w:r>
      <w:r>
        <w:rPr>
          <w:rFonts w:cs="Times New Roman"/>
        </w:rPr>
        <w:t>“</w:t>
      </w:r>
      <w:r>
        <w:rPr>
          <w:rFonts w:hint="eastAsia" w:cs="Times New Roman"/>
        </w:rPr>
        <w:t>行政服务中心工作经费</w:t>
      </w:r>
      <w:r>
        <w:rPr>
          <w:rFonts w:cs="Times New Roman"/>
        </w:rPr>
        <w:t>”项目支出绩效评价指标体系</w:t>
      </w:r>
    </w:p>
    <w:p>
      <w:pPr>
        <w:pStyle w:val="12"/>
        <w:ind w:firstLine="560"/>
        <w:rPr>
          <w:rFonts w:cs="Times New Roman"/>
        </w:rPr>
      </w:pPr>
      <w:r>
        <w:rPr>
          <w:rFonts w:cs="Times New Roman"/>
        </w:rPr>
        <w:t>附件3：</w:t>
      </w:r>
      <w:r>
        <w:rPr>
          <w:rFonts w:hint="eastAsia" w:cs="Times New Roman"/>
        </w:rPr>
        <w:t>漯河经济技术开发区行政服务中心</w:t>
      </w:r>
      <w:r>
        <w:rPr>
          <w:rFonts w:cs="Times New Roman"/>
        </w:rPr>
        <w:t>“</w:t>
      </w:r>
      <w:r>
        <w:rPr>
          <w:rFonts w:hint="eastAsia" w:cs="Times New Roman"/>
        </w:rPr>
        <w:t>行政服务中心工作经费</w:t>
      </w:r>
      <w:r>
        <w:rPr>
          <w:rFonts w:cs="Times New Roman"/>
        </w:rPr>
        <w:t>”项目支出绩效评价指标得分情况分布图</w:t>
      </w:r>
    </w:p>
    <w:p>
      <w:pPr>
        <w:pStyle w:val="12"/>
        <w:ind w:firstLine="560"/>
        <w:rPr>
          <w:rFonts w:cs="Times New Roman"/>
        </w:rPr>
      </w:pPr>
      <w:r>
        <w:rPr>
          <w:rFonts w:cs="Times New Roman"/>
        </w:rPr>
        <w:t>附件4：绩效评价小组人员签字表</w:t>
      </w:r>
    </w:p>
    <w:p>
      <w:pPr>
        <w:pStyle w:val="12"/>
        <w:ind w:firstLine="560"/>
        <w:rPr>
          <w:rFonts w:cs="Times New Roman"/>
        </w:rPr>
      </w:pPr>
      <w:r>
        <w:rPr>
          <w:rFonts w:cs="Times New Roman"/>
        </w:rPr>
        <w:t>附件5：问卷调查内容</w:t>
      </w:r>
    </w:p>
    <w:p>
      <w:pPr>
        <w:widowControl/>
        <w:spacing w:line="240" w:lineRule="auto"/>
        <w:ind w:left="0" w:leftChars="0" w:right="0" w:rightChars="0"/>
        <w:jc w:val="left"/>
        <w:rPr>
          <w:rFonts w:cs="Times New Roman"/>
        </w:rPr>
      </w:pPr>
    </w:p>
    <w:sectPr>
      <w:pgSz w:w="11906" w:h="16838"/>
      <w:pgMar w:top="1440" w:right="1800" w:bottom="1440" w:left="1800" w:header="851" w:footer="992" w:gutter="0"/>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320" w:right="320"/>
      </w:pPr>
      <w:r>
        <w:separator/>
      </w:r>
    </w:p>
  </w:endnote>
  <w:endnote w:type="continuationSeparator" w:id="1">
    <w:p>
      <w:pPr>
        <w:spacing w:line="240" w:lineRule="auto"/>
        <w:ind w:left="320" w:right="3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宋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Segoe UI Symbol">
    <w:panose1 w:val="020B0502040204020203"/>
    <w:charset w:val="00"/>
    <w:family w:val="swiss"/>
    <w:pitch w:val="default"/>
    <w:sig w:usb0="8000006F" w:usb1="1200FBEF" w:usb2="0064C000" w:usb3="00000002" w:csb0="00000001" w:csb1="40000000"/>
  </w:font>
  <w:font w:name="方正粗黑宋简体">
    <w:altName w:val="宋体"/>
    <w:panose1 w:val="00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auto" w:sz="24" w:space="1"/>
      </w:pBdr>
      <w:spacing w:line="240" w:lineRule="auto"/>
      <w:ind w:left="0" w:leftChars="0" w:right="0" w:rightChars="0"/>
      <w:rPr>
        <w:rFonts w:ascii="Times New Roman" w:hAnsi="Times New Roman" w:eastAsia="仿宋" w:cs="Times New Roman"/>
        <w:b/>
        <w:bCs/>
        <w:sz w:val="21"/>
        <w:szCs w:val="21"/>
      </w:rPr>
    </w:pPr>
    <w:r>
      <w:rPr>
        <w:rFonts w:hint="eastAsia" w:ascii="仿宋" w:hAnsi="仿宋" w:eastAsia="仿宋" w:cs="Times New Roman"/>
        <w:b/>
        <w:bCs/>
        <w:kern w:val="0"/>
        <w:sz w:val="21"/>
        <w:szCs w:val="21"/>
      </w:rPr>
      <w:t>河南新卓房地产评估有限公司</w:t>
    </w:r>
    <w:r>
      <w:rPr>
        <w:rFonts w:ascii="仿宋" w:hAnsi="仿宋" w:eastAsia="仿宋"/>
        <w:b/>
        <w:bCs/>
        <w:sz w:val="21"/>
        <w:szCs w:val="21"/>
      </w:rPr>
      <w:ptab w:relativeTo="margin" w:alignment="center" w:leader="none"/>
    </w:r>
    <w:r>
      <w:rPr>
        <w:rFonts w:ascii="仿宋" w:hAnsi="仿宋" w:eastAsia="仿宋"/>
        <w:b/>
        <w:bCs/>
        <w:sz w:val="21"/>
        <w:szCs w:val="21"/>
      </w:rPr>
      <w:ptab w:relativeTo="margin" w:alignment="right" w:leader="none"/>
    </w:r>
    <w:r>
      <w:rPr>
        <w:rFonts w:ascii="Times New Roman" w:hAnsi="Times New Roman" w:eastAsia="仿宋" w:cs="Times New Roman"/>
        <w:b/>
        <w:bCs/>
        <w:sz w:val="21"/>
        <w:szCs w:val="21"/>
      </w:rPr>
      <w:fldChar w:fldCharType="begin"/>
    </w:r>
    <w:r>
      <w:rPr>
        <w:rFonts w:ascii="Times New Roman" w:hAnsi="Times New Roman" w:eastAsia="仿宋" w:cs="Times New Roman"/>
        <w:b/>
        <w:bCs/>
        <w:sz w:val="21"/>
        <w:szCs w:val="21"/>
      </w:rPr>
      <w:instrText xml:space="preserve">PAGE   \* MERGEFORMAT</w:instrText>
    </w:r>
    <w:r>
      <w:rPr>
        <w:rFonts w:ascii="Times New Roman" w:hAnsi="Times New Roman" w:eastAsia="仿宋" w:cs="Times New Roman"/>
        <w:b/>
        <w:bCs/>
        <w:sz w:val="21"/>
        <w:szCs w:val="21"/>
      </w:rPr>
      <w:fldChar w:fldCharType="separate"/>
    </w:r>
    <w:r>
      <w:rPr>
        <w:rFonts w:ascii="Times New Roman" w:hAnsi="Times New Roman" w:eastAsia="仿宋" w:cs="Times New Roman"/>
        <w:b/>
        <w:bCs/>
        <w:sz w:val="21"/>
        <w:szCs w:val="21"/>
        <w:lang w:val="zh-CN"/>
      </w:rPr>
      <w:t>III</w:t>
    </w:r>
    <w:r>
      <w:rPr>
        <w:rFonts w:ascii="Times New Roman" w:hAnsi="Times New Roman" w:eastAsia="仿宋" w:cs="Times New Roman"/>
        <w:b/>
        <w:bCs/>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0" w:right="3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auto" w:sz="24" w:space="1"/>
      </w:pBdr>
      <w:spacing w:line="240" w:lineRule="auto"/>
      <w:ind w:left="0" w:leftChars="0" w:right="0" w:rightChars="0"/>
    </w:pPr>
    <w:r>
      <w:rPr>
        <w:rFonts w:hint="eastAsia" w:ascii="仿宋" w:hAnsi="仿宋" w:eastAsia="仿宋" w:cs="Times New Roman"/>
        <w:b/>
        <w:bCs/>
        <w:kern w:val="0"/>
        <w:sz w:val="21"/>
        <w:szCs w:val="21"/>
      </w:rPr>
      <w:t>河南新卓房地产评估有限公司</w:t>
    </w:r>
    <w:r>
      <w:rPr>
        <w:rFonts w:ascii="仿宋" w:hAnsi="仿宋" w:eastAsia="仿宋"/>
        <w:b/>
        <w:bCs/>
        <w:sz w:val="21"/>
        <w:szCs w:val="21"/>
      </w:rPr>
      <w:ptab w:relativeTo="margin" w:alignment="center" w:leader="none"/>
    </w:r>
    <w:r>
      <w:rPr>
        <w:rFonts w:ascii="仿宋" w:hAnsi="仿宋" w:eastAsia="仿宋"/>
        <w:b/>
        <w:bCs/>
        <w:sz w:val="21"/>
        <w:szCs w:val="21"/>
      </w:rPr>
      <w:ptab w:relativeTo="margin" w:alignment="right" w:leader="none"/>
    </w:r>
    <w:r>
      <w:rPr>
        <w:rFonts w:ascii="Times New Roman" w:hAnsi="Times New Roman" w:eastAsia="仿宋" w:cs="Times New Roman"/>
        <w:b/>
        <w:bCs/>
        <w:sz w:val="21"/>
        <w:szCs w:val="21"/>
      </w:rPr>
      <w:fldChar w:fldCharType="begin"/>
    </w:r>
    <w:r>
      <w:rPr>
        <w:rFonts w:ascii="Times New Roman" w:hAnsi="Times New Roman" w:eastAsia="仿宋" w:cs="Times New Roman"/>
        <w:b/>
        <w:bCs/>
        <w:sz w:val="21"/>
        <w:szCs w:val="21"/>
      </w:rPr>
      <w:instrText xml:space="preserve">PAGE   \* MERGEFORMAT</w:instrText>
    </w:r>
    <w:r>
      <w:rPr>
        <w:rFonts w:ascii="Times New Roman" w:hAnsi="Times New Roman" w:eastAsia="仿宋" w:cs="Times New Roman"/>
        <w:b/>
        <w:bCs/>
        <w:sz w:val="21"/>
        <w:szCs w:val="21"/>
      </w:rPr>
      <w:fldChar w:fldCharType="separate"/>
    </w:r>
    <w:r>
      <w:rPr>
        <w:rFonts w:ascii="Times New Roman" w:hAnsi="Times New Roman" w:eastAsia="仿宋" w:cs="Times New Roman"/>
        <w:b/>
        <w:bCs/>
        <w:sz w:val="21"/>
        <w:szCs w:val="21"/>
      </w:rPr>
      <w:t>I</w:t>
    </w:r>
    <w:r>
      <w:rPr>
        <w:rFonts w:ascii="Times New Roman" w:hAnsi="Times New Roman" w:eastAsia="仿宋" w:cs="Times New Roman"/>
        <w:b/>
        <w:bCs/>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auto" w:sz="24" w:space="1"/>
      </w:pBdr>
      <w:spacing w:line="240" w:lineRule="auto"/>
      <w:ind w:left="0" w:leftChars="0" w:right="0" w:rightChars="0"/>
      <w:rPr>
        <w:rFonts w:ascii="Times New Roman" w:hAnsi="Times New Roman" w:eastAsia="仿宋" w:cs="Times New Roman"/>
        <w:b/>
        <w:bCs/>
        <w:sz w:val="21"/>
        <w:szCs w:val="21"/>
      </w:rPr>
    </w:pPr>
    <w:r>
      <w:rPr>
        <w:rFonts w:hint="eastAsia" w:ascii="仿宋" w:hAnsi="仿宋" w:eastAsia="仿宋" w:cs="Times New Roman"/>
        <w:b/>
        <w:bCs/>
        <w:kern w:val="0"/>
        <w:sz w:val="21"/>
        <w:szCs w:val="21"/>
      </w:rPr>
      <w:t>河南新卓房地产评估有限公司</w:t>
    </w:r>
    <w:r>
      <w:rPr>
        <w:rFonts w:ascii="仿宋" w:hAnsi="仿宋" w:eastAsia="仿宋"/>
        <w:b/>
        <w:bCs/>
        <w:sz w:val="21"/>
        <w:szCs w:val="21"/>
      </w:rPr>
      <w:ptab w:relativeTo="margin" w:alignment="center" w:leader="none"/>
    </w:r>
    <w:r>
      <w:rPr>
        <w:rFonts w:ascii="仿宋" w:hAnsi="仿宋" w:eastAsia="仿宋"/>
        <w:b/>
        <w:bCs/>
        <w:sz w:val="21"/>
        <w:szCs w:val="21"/>
      </w:rPr>
      <w:ptab w:relativeTo="margin" w:alignment="right" w:leader="none"/>
    </w:r>
    <w:r>
      <w:rPr>
        <w:rFonts w:ascii="Times New Roman" w:hAnsi="Times New Roman" w:eastAsia="仿宋" w:cs="Times New Roman"/>
        <w:b/>
        <w:bCs/>
        <w:sz w:val="21"/>
        <w:szCs w:val="21"/>
      </w:rPr>
      <w:fldChar w:fldCharType="begin"/>
    </w:r>
    <w:r>
      <w:rPr>
        <w:rFonts w:ascii="Times New Roman" w:hAnsi="Times New Roman" w:eastAsia="仿宋" w:cs="Times New Roman"/>
        <w:b/>
        <w:bCs/>
        <w:sz w:val="21"/>
        <w:szCs w:val="21"/>
      </w:rPr>
      <w:instrText xml:space="preserve">PAGE   \* MERGEFORMAT</w:instrText>
    </w:r>
    <w:r>
      <w:rPr>
        <w:rFonts w:ascii="Times New Roman" w:hAnsi="Times New Roman" w:eastAsia="仿宋" w:cs="Times New Roman"/>
        <w:b/>
        <w:bCs/>
        <w:sz w:val="21"/>
        <w:szCs w:val="21"/>
      </w:rPr>
      <w:fldChar w:fldCharType="separate"/>
    </w:r>
    <w:r>
      <w:rPr>
        <w:rFonts w:ascii="Times New Roman" w:hAnsi="Times New Roman" w:eastAsia="仿宋" w:cs="Times New Roman"/>
        <w:b/>
        <w:bCs/>
        <w:sz w:val="21"/>
        <w:szCs w:val="21"/>
      </w:rPr>
      <w:t>39</w:t>
    </w:r>
    <w:r>
      <w:rPr>
        <w:rFonts w:ascii="Times New Roman" w:hAnsi="Times New Roman" w:eastAsia="仿宋" w:cs="Times New Roman"/>
        <w:b/>
        <w:bCs/>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auto" w:sz="24" w:space="1"/>
      </w:pBdr>
      <w:spacing w:line="240" w:lineRule="auto"/>
      <w:ind w:left="0" w:leftChars="0" w:right="0" w:rightChars="0"/>
    </w:pPr>
    <w:r>
      <w:rPr>
        <w:rFonts w:hint="eastAsia" w:ascii="仿宋" w:hAnsi="仿宋" w:eastAsia="仿宋" w:cs="Times New Roman"/>
        <w:b/>
        <w:bCs/>
        <w:kern w:val="0"/>
        <w:sz w:val="21"/>
        <w:szCs w:val="21"/>
      </w:rPr>
      <w:t>河南新卓房地产评估有限公司</w:t>
    </w:r>
    <w:r>
      <w:rPr>
        <w:rFonts w:ascii="仿宋" w:hAnsi="仿宋" w:eastAsia="仿宋"/>
        <w:b/>
        <w:bCs/>
        <w:sz w:val="21"/>
        <w:szCs w:val="21"/>
      </w:rPr>
      <w:ptab w:relativeTo="margin" w:alignment="center" w:leader="none"/>
    </w:r>
    <w:r>
      <w:rPr>
        <w:rFonts w:ascii="仿宋" w:hAnsi="仿宋" w:eastAsia="仿宋"/>
        <w:b/>
        <w:bCs/>
        <w:sz w:val="21"/>
        <w:szCs w:val="21"/>
      </w:rPr>
      <w:ptab w:relativeTo="margin" w:alignment="right" w:leader="none"/>
    </w:r>
    <w:r>
      <w:rPr>
        <w:rFonts w:ascii="Times New Roman" w:hAnsi="Times New Roman" w:eastAsia="仿宋" w:cs="Times New Roman"/>
        <w:b/>
        <w:bCs/>
        <w:sz w:val="21"/>
        <w:szCs w:val="21"/>
      </w:rPr>
      <w:fldChar w:fldCharType="begin"/>
    </w:r>
    <w:r>
      <w:rPr>
        <w:rFonts w:ascii="Times New Roman" w:hAnsi="Times New Roman" w:eastAsia="仿宋" w:cs="Times New Roman"/>
        <w:b/>
        <w:bCs/>
        <w:sz w:val="21"/>
        <w:szCs w:val="21"/>
      </w:rPr>
      <w:instrText xml:space="preserve">PAGE   \* MERGEFORMAT</w:instrText>
    </w:r>
    <w:r>
      <w:rPr>
        <w:rFonts w:ascii="Times New Roman" w:hAnsi="Times New Roman" w:eastAsia="仿宋" w:cs="Times New Roman"/>
        <w:b/>
        <w:bCs/>
        <w:sz w:val="21"/>
        <w:szCs w:val="21"/>
      </w:rPr>
      <w:fldChar w:fldCharType="separate"/>
    </w:r>
    <w:r>
      <w:rPr>
        <w:rFonts w:ascii="Times New Roman" w:hAnsi="Times New Roman" w:eastAsia="仿宋" w:cs="Times New Roman"/>
        <w:b/>
        <w:bCs/>
        <w:sz w:val="21"/>
        <w:szCs w:val="21"/>
      </w:rPr>
      <w:t>41</w:t>
    </w:r>
    <w:r>
      <w:rPr>
        <w:rFonts w:ascii="Times New Roman" w:hAnsi="Times New Roman" w:eastAsia="仿宋" w:cs="Times New Roman"/>
        <w:b/>
        <w:bCs/>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320" w:right="320"/>
      </w:pPr>
      <w:r>
        <w:separator/>
      </w:r>
    </w:p>
  </w:footnote>
  <w:footnote w:type="continuationSeparator" w:id="1">
    <w:p>
      <w:pPr>
        <w:spacing w:line="360" w:lineRule="auto"/>
        <w:ind w:left="320" w:right="3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nThickSmallGap" w:color="auto" w:sz="24" w:space="1"/>
      </w:pBdr>
      <w:spacing w:line="240" w:lineRule="auto"/>
      <w:ind w:left="0" w:leftChars="0" w:right="0" w:rightChars="0"/>
      <w:rPr>
        <w:rFonts w:ascii="仿宋" w:hAnsi="仿宋" w:eastAsia="仿宋"/>
        <w:b/>
        <w:bCs/>
      </w:rPr>
    </w:pPr>
    <w:r>
      <w:rPr>
        <w:rFonts w:hint="eastAsia" w:ascii="仿宋" w:hAnsi="仿宋" w:eastAsia="仿宋"/>
        <w:b/>
        <w:bCs/>
        <w:sz w:val="21"/>
        <w:szCs w:val="21"/>
      </w:rPr>
      <w:t>行政服务中心工作经费支出绩效评价报告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right="3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nThickSmallGap" w:color="auto" w:sz="24" w:space="1"/>
      </w:pBdr>
      <w:spacing w:line="240" w:lineRule="auto"/>
      <w:ind w:left="0" w:leftChars="0" w:right="0" w:rightChars="0"/>
      <w:rPr>
        <w:rFonts w:ascii="仿宋" w:hAnsi="仿宋" w:eastAsia="仿宋"/>
        <w:b/>
        <w:bCs/>
      </w:rPr>
    </w:pPr>
    <w:r>
      <w:rPr>
        <w:rFonts w:hint="eastAsia" w:ascii="仿宋" w:hAnsi="仿宋" w:eastAsia="仿宋"/>
        <w:b/>
        <w:bCs/>
        <w:sz w:val="21"/>
        <w:szCs w:val="21"/>
      </w:rPr>
      <w:t>行政服务中心工作经费支出绩效评价报告</w:t>
    </w:r>
  </w:p>
  <w:p>
    <w:pPr>
      <w:pStyle w:val="17"/>
      <w:pBdr>
        <w:bottom w:val="none" w:color="auto" w:sz="0" w:space="1"/>
      </w:pBdr>
      <w:ind w:right="3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nThickSmallGap" w:color="auto" w:sz="24" w:space="1"/>
      </w:pBdr>
      <w:tabs>
        <w:tab w:val="left" w:pos="7245"/>
      </w:tabs>
      <w:spacing w:line="240" w:lineRule="auto"/>
      <w:ind w:left="0" w:leftChars="0" w:right="0" w:rightChars="0"/>
      <w:jc w:val="left"/>
      <w:rPr>
        <w:b/>
        <w:bCs/>
      </w:rPr>
    </w:pPr>
    <w:r>
      <w:rPr>
        <w:b/>
        <w:bCs/>
      </w:rPr>
      <w:tab/>
    </w:r>
    <w:r>
      <w:rPr>
        <w:rFonts w:hint="eastAsia"/>
        <w:b/>
        <w:bCs/>
      </w:rPr>
      <w:t>行政服务中心工作经费支出绩效评价报告</w:t>
    </w:r>
    <w:r>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N2NlN2M3YjJkYjVhMDYxMWI2M2IzYzc0OGVmODMifQ=="/>
  </w:docVars>
  <w:rsids>
    <w:rsidRoot w:val="30D72258"/>
    <w:rsid w:val="0000045D"/>
    <w:rsid w:val="00000CE5"/>
    <w:rsid w:val="000022F7"/>
    <w:rsid w:val="00006847"/>
    <w:rsid w:val="00007E69"/>
    <w:rsid w:val="0001075B"/>
    <w:rsid w:val="000122B5"/>
    <w:rsid w:val="00012423"/>
    <w:rsid w:val="00014F1B"/>
    <w:rsid w:val="00022936"/>
    <w:rsid w:val="00023F56"/>
    <w:rsid w:val="0002717C"/>
    <w:rsid w:val="0002750B"/>
    <w:rsid w:val="00030AED"/>
    <w:rsid w:val="00031AC4"/>
    <w:rsid w:val="00034765"/>
    <w:rsid w:val="000401D4"/>
    <w:rsid w:val="000413E2"/>
    <w:rsid w:val="00043E31"/>
    <w:rsid w:val="000452FA"/>
    <w:rsid w:val="00045C41"/>
    <w:rsid w:val="0005496A"/>
    <w:rsid w:val="00054C9A"/>
    <w:rsid w:val="00065919"/>
    <w:rsid w:val="0007327C"/>
    <w:rsid w:val="000751BC"/>
    <w:rsid w:val="00076042"/>
    <w:rsid w:val="00081084"/>
    <w:rsid w:val="00084360"/>
    <w:rsid w:val="000853C0"/>
    <w:rsid w:val="00090F9C"/>
    <w:rsid w:val="00093C1C"/>
    <w:rsid w:val="00096C35"/>
    <w:rsid w:val="000A0B1E"/>
    <w:rsid w:val="000A3683"/>
    <w:rsid w:val="000A3ECB"/>
    <w:rsid w:val="000A7D4D"/>
    <w:rsid w:val="000B0478"/>
    <w:rsid w:val="000B0D7D"/>
    <w:rsid w:val="000B55DE"/>
    <w:rsid w:val="000B6512"/>
    <w:rsid w:val="000C083D"/>
    <w:rsid w:val="000C5730"/>
    <w:rsid w:val="000C7677"/>
    <w:rsid w:val="000C7CC9"/>
    <w:rsid w:val="000D3358"/>
    <w:rsid w:val="000D7F61"/>
    <w:rsid w:val="000E18A6"/>
    <w:rsid w:val="000E39FD"/>
    <w:rsid w:val="000E47A0"/>
    <w:rsid w:val="000E74FE"/>
    <w:rsid w:val="000F0132"/>
    <w:rsid w:val="000F113D"/>
    <w:rsid w:val="000F3282"/>
    <w:rsid w:val="000F4B18"/>
    <w:rsid w:val="000F7605"/>
    <w:rsid w:val="001000C7"/>
    <w:rsid w:val="001054DC"/>
    <w:rsid w:val="00105D1B"/>
    <w:rsid w:val="00122679"/>
    <w:rsid w:val="00122753"/>
    <w:rsid w:val="00122812"/>
    <w:rsid w:val="00123EB9"/>
    <w:rsid w:val="00126A9A"/>
    <w:rsid w:val="00130A72"/>
    <w:rsid w:val="001328D6"/>
    <w:rsid w:val="00137B2E"/>
    <w:rsid w:val="00140547"/>
    <w:rsid w:val="001425D7"/>
    <w:rsid w:val="00142D05"/>
    <w:rsid w:val="001438C5"/>
    <w:rsid w:val="00144228"/>
    <w:rsid w:val="001454BF"/>
    <w:rsid w:val="00145B0B"/>
    <w:rsid w:val="00145D8A"/>
    <w:rsid w:val="00145F9F"/>
    <w:rsid w:val="00146BD5"/>
    <w:rsid w:val="00147BB7"/>
    <w:rsid w:val="00155381"/>
    <w:rsid w:val="00156E5B"/>
    <w:rsid w:val="00157F44"/>
    <w:rsid w:val="00162EFC"/>
    <w:rsid w:val="0016377A"/>
    <w:rsid w:val="00163ABB"/>
    <w:rsid w:val="00167D4A"/>
    <w:rsid w:val="00171094"/>
    <w:rsid w:val="00172B37"/>
    <w:rsid w:val="001746F2"/>
    <w:rsid w:val="00175856"/>
    <w:rsid w:val="001758FA"/>
    <w:rsid w:val="00176484"/>
    <w:rsid w:val="00180A0E"/>
    <w:rsid w:val="00184477"/>
    <w:rsid w:val="001845C9"/>
    <w:rsid w:val="00187AA9"/>
    <w:rsid w:val="001907B1"/>
    <w:rsid w:val="0019185A"/>
    <w:rsid w:val="00192C11"/>
    <w:rsid w:val="00195176"/>
    <w:rsid w:val="00196DFC"/>
    <w:rsid w:val="001978B8"/>
    <w:rsid w:val="00197A7A"/>
    <w:rsid w:val="001A19D6"/>
    <w:rsid w:val="001A2FB6"/>
    <w:rsid w:val="001A4142"/>
    <w:rsid w:val="001A4305"/>
    <w:rsid w:val="001A6602"/>
    <w:rsid w:val="001B038D"/>
    <w:rsid w:val="001B184B"/>
    <w:rsid w:val="001B20C8"/>
    <w:rsid w:val="001B2481"/>
    <w:rsid w:val="001B39BE"/>
    <w:rsid w:val="001B6561"/>
    <w:rsid w:val="001B66BB"/>
    <w:rsid w:val="001C0E1C"/>
    <w:rsid w:val="001C136B"/>
    <w:rsid w:val="001C149F"/>
    <w:rsid w:val="001C183A"/>
    <w:rsid w:val="001C2420"/>
    <w:rsid w:val="001C2809"/>
    <w:rsid w:val="001C3A26"/>
    <w:rsid w:val="001C3CB0"/>
    <w:rsid w:val="001C4D5C"/>
    <w:rsid w:val="001C59E6"/>
    <w:rsid w:val="001C6C1D"/>
    <w:rsid w:val="001C7559"/>
    <w:rsid w:val="001D35AA"/>
    <w:rsid w:val="001D49E3"/>
    <w:rsid w:val="001D572A"/>
    <w:rsid w:val="001D5A28"/>
    <w:rsid w:val="001D7670"/>
    <w:rsid w:val="001E0D6A"/>
    <w:rsid w:val="001E27D4"/>
    <w:rsid w:val="001E6221"/>
    <w:rsid w:val="001F31CC"/>
    <w:rsid w:val="001F329E"/>
    <w:rsid w:val="001F66B0"/>
    <w:rsid w:val="00202870"/>
    <w:rsid w:val="00203AAC"/>
    <w:rsid w:val="00204270"/>
    <w:rsid w:val="00204E51"/>
    <w:rsid w:val="00213375"/>
    <w:rsid w:val="002138A9"/>
    <w:rsid w:val="00213ACE"/>
    <w:rsid w:val="00216862"/>
    <w:rsid w:val="0022208F"/>
    <w:rsid w:val="00224437"/>
    <w:rsid w:val="00224B40"/>
    <w:rsid w:val="00232BB9"/>
    <w:rsid w:val="00234A24"/>
    <w:rsid w:val="00234FA3"/>
    <w:rsid w:val="002401EB"/>
    <w:rsid w:val="00242274"/>
    <w:rsid w:val="002433DD"/>
    <w:rsid w:val="00245EF5"/>
    <w:rsid w:val="00246BA9"/>
    <w:rsid w:val="0025144B"/>
    <w:rsid w:val="0025174E"/>
    <w:rsid w:val="00251760"/>
    <w:rsid w:val="002523AF"/>
    <w:rsid w:val="00252470"/>
    <w:rsid w:val="00254A4E"/>
    <w:rsid w:val="00256271"/>
    <w:rsid w:val="00261757"/>
    <w:rsid w:val="002619D2"/>
    <w:rsid w:val="00262970"/>
    <w:rsid w:val="00267950"/>
    <w:rsid w:val="00267EBE"/>
    <w:rsid w:val="00276457"/>
    <w:rsid w:val="00276E39"/>
    <w:rsid w:val="00277882"/>
    <w:rsid w:val="0028478D"/>
    <w:rsid w:val="00290DC6"/>
    <w:rsid w:val="002921B7"/>
    <w:rsid w:val="0029695D"/>
    <w:rsid w:val="00296EB5"/>
    <w:rsid w:val="002972FF"/>
    <w:rsid w:val="002976F3"/>
    <w:rsid w:val="002A27CE"/>
    <w:rsid w:val="002A3166"/>
    <w:rsid w:val="002A7934"/>
    <w:rsid w:val="002B2D2A"/>
    <w:rsid w:val="002B4467"/>
    <w:rsid w:val="002B54C6"/>
    <w:rsid w:val="002C0F63"/>
    <w:rsid w:val="002C1D33"/>
    <w:rsid w:val="002C259E"/>
    <w:rsid w:val="002C41CF"/>
    <w:rsid w:val="002D3131"/>
    <w:rsid w:val="002E1AA9"/>
    <w:rsid w:val="002E23B6"/>
    <w:rsid w:val="002F0EB7"/>
    <w:rsid w:val="002F672E"/>
    <w:rsid w:val="002F6936"/>
    <w:rsid w:val="002F6DBE"/>
    <w:rsid w:val="0030081F"/>
    <w:rsid w:val="00300AC7"/>
    <w:rsid w:val="00300B5C"/>
    <w:rsid w:val="0030251D"/>
    <w:rsid w:val="00305831"/>
    <w:rsid w:val="00307C78"/>
    <w:rsid w:val="00312563"/>
    <w:rsid w:val="00313AE4"/>
    <w:rsid w:val="00314DCC"/>
    <w:rsid w:val="003179C3"/>
    <w:rsid w:val="00317A22"/>
    <w:rsid w:val="0032327F"/>
    <w:rsid w:val="003242EF"/>
    <w:rsid w:val="00330F09"/>
    <w:rsid w:val="003349FD"/>
    <w:rsid w:val="00337211"/>
    <w:rsid w:val="003375ED"/>
    <w:rsid w:val="00342387"/>
    <w:rsid w:val="00342FF1"/>
    <w:rsid w:val="00343485"/>
    <w:rsid w:val="00344C1C"/>
    <w:rsid w:val="003479D5"/>
    <w:rsid w:val="00350A57"/>
    <w:rsid w:val="00355883"/>
    <w:rsid w:val="003622F3"/>
    <w:rsid w:val="00362A67"/>
    <w:rsid w:val="00364599"/>
    <w:rsid w:val="00364B50"/>
    <w:rsid w:val="00366DB0"/>
    <w:rsid w:val="0037255C"/>
    <w:rsid w:val="00373A41"/>
    <w:rsid w:val="00374330"/>
    <w:rsid w:val="003760ED"/>
    <w:rsid w:val="003777C9"/>
    <w:rsid w:val="00377F2C"/>
    <w:rsid w:val="00381471"/>
    <w:rsid w:val="003828F5"/>
    <w:rsid w:val="003873CA"/>
    <w:rsid w:val="003877D0"/>
    <w:rsid w:val="003929F7"/>
    <w:rsid w:val="00396024"/>
    <w:rsid w:val="0039768A"/>
    <w:rsid w:val="003A3DD0"/>
    <w:rsid w:val="003A3E9F"/>
    <w:rsid w:val="003A5CF8"/>
    <w:rsid w:val="003B02D6"/>
    <w:rsid w:val="003B1DAB"/>
    <w:rsid w:val="003B3BB2"/>
    <w:rsid w:val="003B448B"/>
    <w:rsid w:val="003B6366"/>
    <w:rsid w:val="003C151E"/>
    <w:rsid w:val="003C1F48"/>
    <w:rsid w:val="003C29E9"/>
    <w:rsid w:val="003C3FD7"/>
    <w:rsid w:val="003C7A2F"/>
    <w:rsid w:val="003C7DB8"/>
    <w:rsid w:val="003D22E8"/>
    <w:rsid w:val="003D5C97"/>
    <w:rsid w:val="003D6D14"/>
    <w:rsid w:val="003E5EA0"/>
    <w:rsid w:val="003F1B9C"/>
    <w:rsid w:val="003F4BD6"/>
    <w:rsid w:val="003F5E51"/>
    <w:rsid w:val="00401049"/>
    <w:rsid w:val="004030A5"/>
    <w:rsid w:val="00403F5A"/>
    <w:rsid w:val="00405A6C"/>
    <w:rsid w:val="00407266"/>
    <w:rsid w:val="0040741F"/>
    <w:rsid w:val="00410779"/>
    <w:rsid w:val="00411977"/>
    <w:rsid w:val="00411BAA"/>
    <w:rsid w:val="004164F7"/>
    <w:rsid w:val="00420357"/>
    <w:rsid w:val="00420B9B"/>
    <w:rsid w:val="00423434"/>
    <w:rsid w:val="00433498"/>
    <w:rsid w:val="0043617C"/>
    <w:rsid w:val="00436841"/>
    <w:rsid w:val="004432BF"/>
    <w:rsid w:val="004432D2"/>
    <w:rsid w:val="004468BC"/>
    <w:rsid w:val="00450D13"/>
    <w:rsid w:val="00453244"/>
    <w:rsid w:val="004562CB"/>
    <w:rsid w:val="004576A4"/>
    <w:rsid w:val="00460FB7"/>
    <w:rsid w:val="00462B7E"/>
    <w:rsid w:val="00465D22"/>
    <w:rsid w:val="00472226"/>
    <w:rsid w:val="00472FE3"/>
    <w:rsid w:val="00474207"/>
    <w:rsid w:val="00476C66"/>
    <w:rsid w:val="004811D5"/>
    <w:rsid w:val="00481318"/>
    <w:rsid w:val="0048257C"/>
    <w:rsid w:val="004842B0"/>
    <w:rsid w:val="00485ACF"/>
    <w:rsid w:val="00486C94"/>
    <w:rsid w:val="004932B9"/>
    <w:rsid w:val="0049651A"/>
    <w:rsid w:val="004A138D"/>
    <w:rsid w:val="004A2AAC"/>
    <w:rsid w:val="004A4040"/>
    <w:rsid w:val="004B3071"/>
    <w:rsid w:val="004B30A2"/>
    <w:rsid w:val="004C020C"/>
    <w:rsid w:val="004C1BDC"/>
    <w:rsid w:val="004C3A72"/>
    <w:rsid w:val="004C5B58"/>
    <w:rsid w:val="004C7D06"/>
    <w:rsid w:val="004D3D16"/>
    <w:rsid w:val="004D4C9A"/>
    <w:rsid w:val="004D5168"/>
    <w:rsid w:val="004E17A5"/>
    <w:rsid w:val="004E3400"/>
    <w:rsid w:val="004E655C"/>
    <w:rsid w:val="004E6B9C"/>
    <w:rsid w:val="004F0D46"/>
    <w:rsid w:val="004F70A4"/>
    <w:rsid w:val="0050673C"/>
    <w:rsid w:val="005070F6"/>
    <w:rsid w:val="005071B4"/>
    <w:rsid w:val="00510D66"/>
    <w:rsid w:val="00511325"/>
    <w:rsid w:val="00512F4F"/>
    <w:rsid w:val="00514ACC"/>
    <w:rsid w:val="00524ECD"/>
    <w:rsid w:val="005256CF"/>
    <w:rsid w:val="0052796D"/>
    <w:rsid w:val="005325D3"/>
    <w:rsid w:val="00536CBA"/>
    <w:rsid w:val="00536DAF"/>
    <w:rsid w:val="0054195B"/>
    <w:rsid w:val="00542521"/>
    <w:rsid w:val="00545807"/>
    <w:rsid w:val="00545ACC"/>
    <w:rsid w:val="005515AB"/>
    <w:rsid w:val="00551615"/>
    <w:rsid w:val="005524BB"/>
    <w:rsid w:val="00552698"/>
    <w:rsid w:val="00552960"/>
    <w:rsid w:val="00554260"/>
    <w:rsid w:val="00554392"/>
    <w:rsid w:val="005578B2"/>
    <w:rsid w:val="005600D5"/>
    <w:rsid w:val="0056023B"/>
    <w:rsid w:val="005602FA"/>
    <w:rsid w:val="00560530"/>
    <w:rsid w:val="00562551"/>
    <w:rsid w:val="00564893"/>
    <w:rsid w:val="00567700"/>
    <w:rsid w:val="00567A22"/>
    <w:rsid w:val="00574359"/>
    <w:rsid w:val="005745CA"/>
    <w:rsid w:val="00585A5D"/>
    <w:rsid w:val="00587DBC"/>
    <w:rsid w:val="00591F6C"/>
    <w:rsid w:val="00597A07"/>
    <w:rsid w:val="00597A73"/>
    <w:rsid w:val="005A019E"/>
    <w:rsid w:val="005A19EC"/>
    <w:rsid w:val="005A7029"/>
    <w:rsid w:val="005B2C4A"/>
    <w:rsid w:val="005B500F"/>
    <w:rsid w:val="005B726E"/>
    <w:rsid w:val="005C2804"/>
    <w:rsid w:val="005C2AD7"/>
    <w:rsid w:val="005C3B84"/>
    <w:rsid w:val="005C4E1C"/>
    <w:rsid w:val="005C6DC5"/>
    <w:rsid w:val="005D063E"/>
    <w:rsid w:val="005D1AAD"/>
    <w:rsid w:val="005D1FE9"/>
    <w:rsid w:val="005D2406"/>
    <w:rsid w:val="005D3506"/>
    <w:rsid w:val="005D72DB"/>
    <w:rsid w:val="005E127F"/>
    <w:rsid w:val="005E2555"/>
    <w:rsid w:val="005E4054"/>
    <w:rsid w:val="005E5274"/>
    <w:rsid w:val="005F0F5D"/>
    <w:rsid w:val="005F17A6"/>
    <w:rsid w:val="005F68F4"/>
    <w:rsid w:val="006019BD"/>
    <w:rsid w:val="00601C3B"/>
    <w:rsid w:val="006020AC"/>
    <w:rsid w:val="006032CF"/>
    <w:rsid w:val="00610873"/>
    <w:rsid w:val="00610EB7"/>
    <w:rsid w:val="006112DE"/>
    <w:rsid w:val="00612DE7"/>
    <w:rsid w:val="006149BA"/>
    <w:rsid w:val="00616A51"/>
    <w:rsid w:val="00616DBC"/>
    <w:rsid w:val="00616E00"/>
    <w:rsid w:val="006209EA"/>
    <w:rsid w:val="00627F85"/>
    <w:rsid w:val="00630B53"/>
    <w:rsid w:val="006317BF"/>
    <w:rsid w:val="006330F1"/>
    <w:rsid w:val="00634EFD"/>
    <w:rsid w:val="0063536D"/>
    <w:rsid w:val="00635443"/>
    <w:rsid w:val="00635A39"/>
    <w:rsid w:val="00635A5D"/>
    <w:rsid w:val="00636868"/>
    <w:rsid w:val="006447AC"/>
    <w:rsid w:val="006458C9"/>
    <w:rsid w:val="00647968"/>
    <w:rsid w:val="00652EBE"/>
    <w:rsid w:val="00656069"/>
    <w:rsid w:val="00657950"/>
    <w:rsid w:val="00660087"/>
    <w:rsid w:val="006616DE"/>
    <w:rsid w:val="0066223E"/>
    <w:rsid w:val="006647D2"/>
    <w:rsid w:val="00665064"/>
    <w:rsid w:val="00671D87"/>
    <w:rsid w:val="00675708"/>
    <w:rsid w:val="00676D96"/>
    <w:rsid w:val="00680D37"/>
    <w:rsid w:val="0068358A"/>
    <w:rsid w:val="00683A12"/>
    <w:rsid w:val="00684C06"/>
    <w:rsid w:val="00686733"/>
    <w:rsid w:val="00686C94"/>
    <w:rsid w:val="00686F5E"/>
    <w:rsid w:val="00687697"/>
    <w:rsid w:val="00690C74"/>
    <w:rsid w:val="00691BCC"/>
    <w:rsid w:val="00692C40"/>
    <w:rsid w:val="006951C0"/>
    <w:rsid w:val="0069596F"/>
    <w:rsid w:val="00696FB6"/>
    <w:rsid w:val="00697424"/>
    <w:rsid w:val="006A6E33"/>
    <w:rsid w:val="006B006B"/>
    <w:rsid w:val="006B0F25"/>
    <w:rsid w:val="006B2561"/>
    <w:rsid w:val="006B2746"/>
    <w:rsid w:val="006B3110"/>
    <w:rsid w:val="006B45AF"/>
    <w:rsid w:val="006C0CEA"/>
    <w:rsid w:val="006C20B5"/>
    <w:rsid w:val="006C2509"/>
    <w:rsid w:val="006C2788"/>
    <w:rsid w:val="006C6D9E"/>
    <w:rsid w:val="006D167D"/>
    <w:rsid w:val="006D35DE"/>
    <w:rsid w:val="006D7BA0"/>
    <w:rsid w:val="006E247A"/>
    <w:rsid w:val="006E26A2"/>
    <w:rsid w:val="006E36CA"/>
    <w:rsid w:val="006E7371"/>
    <w:rsid w:val="006F0C1A"/>
    <w:rsid w:val="006F11C5"/>
    <w:rsid w:val="006F219D"/>
    <w:rsid w:val="006F5226"/>
    <w:rsid w:val="007030C2"/>
    <w:rsid w:val="00705101"/>
    <w:rsid w:val="00706179"/>
    <w:rsid w:val="00707A53"/>
    <w:rsid w:val="007111F7"/>
    <w:rsid w:val="00713396"/>
    <w:rsid w:val="0071531E"/>
    <w:rsid w:val="00716E6D"/>
    <w:rsid w:val="007200E6"/>
    <w:rsid w:val="007204C4"/>
    <w:rsid w:val="00725E66"/>
    <w:rsid w:val="0073267F"/>
    <w:rsid w:val="00732E05"/>
    <w:rsid w:val="00736503"/>
    <w:rsid w:val="0073739F"/>
    <w:rsid w:val="00737A05"/>
    <w:rsid w:val="00737D04"/>
    <w:rsid w:val="0074412E"/>
    <w:rsid w:val="007443EE"/>
    <w:rsid w:val="00747F2E"/>
    <w:rsid w:val="007514E9"/>
    <w:rsid w:val="007516CE"/>
    <w:rsid w:val="00752771"/>
    <w:rsid w:val="007579B5"/>
    <w:rsid w:val="0076327A"/>
    <w:rsid w:val="00766EA6"/>
    <w:rsid w:val="00767F53"/>
    <w:rsid w:val="0077118F"/>
    <w:rsid w:val="007714B2"/>
    <w:rsid w:val="007719A6"/>
    <w:rsid w:val="00777C26"/>
    <w:rsid w:val="0078297F"/>
    <w:rsid w:val="00782C51"/>
    <w:rsid w:val="00782CCC"/>
    <w:rsid w:val="00783BB8"/>
    <w:rsid w:val="007850B2"/>
    <w:rsid w:val="00786134"/>
    <w:rsid w:val="00787AF3"/>
    <w:rsid w:val="00793B3A"/>
    <w:rsid w:val="00796456"/>
    <w:rsid w:val="007972F2"/>
    <w:rsid w:val="007A1772"/>
    <w:rsid w:val="007A4081"/>
    <w:rsid w:val="007B021C"/>
    <w:rsid w:val="007B0FCA"/>
    <w:rsid w:val="007B1E3E"/>
    <w:rsid w:val="007B3934"/>
    <w:rsid w:val="007B59CC"/>
    <w:rsid w:val="007C0778"/>
    <w:rsid w:val="007C0B5B"/>
    <w:rsid w:val="007C285D"/>
    <w:rsid w:val="007C2910"/>
    <w:rsid w:val="007C70E4"/>
    <w:rsid w:val="007C7F42"/>
    <w:rsid w:val="007D0AED"/>
    <w:rsid w:val="007D1201"/>
    <w:rsid w:val="007D583C"/>
    <w:rsid w:val="007E0418"/>
    <w:rsid w:val="007E11D5"/>
    <w:rsid w:val="007E1D91"/>
    <w:rsid w:val="007E6AB9"/>
    <w:rsid w:val="007F0E99"/>
    <w:rsid w:val="007F153D"/>
    <w:rsid w:val="007F3E93"/>
    <w:rsid w:val="007F46D5"/>
    <w:rsid w:val="007F5B3D"/>
    <w:rsid w:val="007F6B07"/>
    <w:rsid w:val="008009B9"/>
    <w:rsid w:val="0080491A"/>
    <w:rsid w:val="00804EC4"/>
    <w:rsid w:val="00810C70"/>
    <w:rsid w:val="00816168"/>
    <w:rsid w:val="00816E23"/>
    <w:rsid w:val="0081723C"/>
    <w:rsid w:val="00820590"/>
    <w:rsid w:val="00821656"/>
    <w:rsid w:val="008236FC"/>
    <w:rsid w:val="008240E7"/>
    <w:rsid w:val="008243F1"/>
    <w:rsid w:val="00824412"/>
    <w:rsid w:val="008253FA"/>
    <w:rsid w:val="00826CDD"/>
    <w:rsid w:val="0082777F"/>
    <w:rsid w:val="008314E6"/>
    <w:rsid w:val="00831518"/>
    <w:rsid w:val="00833AB8"/>
    <w:rsid w:val="00835142"/>
    <w:rsid w:val="00840757"/>
    <w:rsid w:val="00844370"/>
    <w:rsid w:val="008449D1"/>
    <w:rsid w:val="00846176"/>
    <w:rsid w:val="00851150"/>
    <w:rsid w:val="00851D58"/>
    <w:rsid w:val="00854E45"/>
    <w:rsid w:val="00855512"/>
    <w:rsid w:val="00856260"/>
    <w:rsid w:val="0086480B"/>
    <w:rsid w:val="008651E7"/>
    <w:rsid w:val="008652CD"/>
    <w:rsid w:val="00865918"/>
    <w:rsid w:val="00865C8A"/>
    <w:rsid w:val="00866BAB"/>
    <w:rsid w:val="00870516"/>
    <w:rsid w:val="00875A41"/>
    <w:rsid w:val="00875F30"/>
    <w:rsid w:val="00877571"/>
    <w:rsid w:val="008813EA"/>
    <w:rsid w:val="00886796"/>
    <w:rsid w:val="00890C22"/>
    <w:rsid w:val="00892562"/>
    <w:rsid w:val="008950EE"/>
    <w:rsid w:val="008A0E2D"/>
    <w:rsid w:val="008A4884"/>
    <w:rsid w:val="008A7791"/>
    <w:rsid w:val="008B0496"/>
    <w:rsid w:val="008B0FE1"/>
    <w:rsid w:val="008B15B3"/>
    <w:rsid w:val="008B2797"/>
    <w:rsid w:val="008B2F6E"/>
    <w:rsid w:val="008B36E6"/>
    <w:rsid w:val="008B6808"/>
    <w:rsid w:val="008C46A4"/>
    <w:rsid w:val="008C4C92"/>
    <w:rsid w:val="008C5EAC"/>
    <w:rsid w:val="008C6353"/>
    <w:rsid w:val="008C648F"/>
    <w:rsid w:val="008D0826"/>
    <w:rsid w:val="008D2345"/>
    <w:rsid w:val="008D286D"/>
    <w:rsid w:val="008D4B6B"/>
    <w:rsid w:val="008E0240"/>
    <w:rsid w:val="008E1A7F"/>
    <w:rsid w:val="008E1AF2"/>
    <w:rsid w:val="008E49C2"/>
    <w:rsid w:val="008E59FF"/>
    <w:rsid w:val="008E654F"/>
    <w:rsid w:val="008E6984"/>
    <w:rsid w:val="008F3934"/>
    <w:rsid w:val="008F4247"/>
    <w:rsid w:val="008F4572"/>
    <w:rsid w:val="008F48AB"/>
    <w:rsid w:val="008F4BCE"/>
    <w:rsid w:val="008F58D3"/>
    <w:rsid w:val="008F7667"/>
    <w:rsid w:val="008F786C"/>
    <w:rsid w:val="00900FA8"/>
    <w:rsid w:val="0090166D"/>
    <w:rsid w:val="00902805"/>
    <w:rsid w:val="00902AD6"/>
    <w:rsid w:val="00904BB8"/>
    <w:rsid w:val="00906501"/>
    <w:rsid w:val="00910C18"/>
    <w:rsid w:val="00912BB7"/>
    <w:rsid w:val="00916E4B"/>
    <w:rsid w:val="009252D9"/>
    <w:rsid w:val="009253D8"/>
    <w:rsid w:val="009308F7"/>
    <w:rsid w:val="00943B5D"/>
    <w:rsid w:val="00944924"/>
    <w:rsid w:val="00945285"/>
    <w:rsid w:val="00945DAD"/>
    <w:rsid w:val="00947872"/>
    <w:rsid w:val="009511FC"/>
    <w:rsid w:val="00953F20"/>
    <w:rsid w:val="0095715C"/>
    <w:rsid w:val="00957F9A"/>
    <w:rsid w:val="00962943"/>
    <w:rsid w:val="0096606E"/>
    <w:rsid w:val="0097660E"/>
    <w:rsid w:val="00977554"/>
    <w:rsid w:val="00981B0D"/>
    <w:rsid w:val="009837DE"/>
    <w:rsid w:val="00987287"/>
    <w:rsid w:val="00990EC4"/>
    <w:rsid w:val="00990F3B"/>
    <w:rsid w:val="00992ED0"/>
    <w:rsid w:val="00993A7C"/>
    <w:rsid w:val="00994829"/>
    <w:rsid w:val="00994845"/>
    <w:rsid w:val="009A2B4F"/>
    <w:rsid w:val="009A6460"/>
    <w:rsid w:val="009A7F8D"/>
    <w:rsid w:val="009B19D2"/>
    <w:rsid w:val="009B1F3F"/>
    <w:rsid w:val="009B352A"/>
    <w:rsid w:val="009B4AD1"/>
    <w:rsid w:val="009B6934"/>
    <w:rsid w:val="009B70ED"/>
    <w:rsid w:val="009C4C93"/>
    <w:rsid w:val="009C7CAC"/>
    <w:rsid w:val="009D37D3"/>
    <w:rsid w:val="009D42E9"/>
    <w:rsid w:val="009D44BA"/>
    <w:rsid w:val="009D6C16"/>
    <w:rsid w:val="009E075B"/>
    <w:rsid w:val="009E4B48"/>
    <w:rsid w:val="009E7E8F"/>
    <w:rsid w:val="009F0297"/>
    <w:rsid w:val="009F57AD"/>
    <w:rsid w:val="00A012A0"/>
    <w:rsid w:val="00A032C1"/>
    <w:rsid w:val="00A07BB5"/>
    <w:rsid w:val="00A10BF0"/>
    <w:rsid w:val="00A13445"/>
    <w:rsid w:val="00A13D55"/>
    <w:rsid w:val="00A13D61"/>
    <w:rsid w:val="00A13DA1"/>
    <w:rsid w:val="00A140EA"/>
    <w:rsid w:val="00A16D63"/>
    <w:rsid w:val="00A220EF"/>
    <w:rsid w:val="00A227C4"/>
    <w:rsid w:val="00A22E0E"/>
    <w:rsid w:val="00A252FB"/>
    <w:rsid w:val="00A25F88"/>
    <w:rsid w:val="00A274C6"/>
    <w:rsid w:val="00A3026A"/>
    <w:rsid w:val="00A3068E"/>
    <w:rsid w:val="00A32431"/>
    <w:rsid w:val="00A326FB"/>
    <w:rsid w:val="00A32B31"/>
    <w:rsid w:val="00A32E91"/>
    <w:rsid w:val="00A33042"/>
    <w:rsid w:val="00A41C12"/>
    <w:rsid w:val="00A433AA"/>
    <w:rsid w:val="00A439E8"/>
    <w:rsid w:val="00A457A1"/>
    <w:rsid w:val="00A46362"/>
    <w:rsid w:val="00A46D5C"/>
    <w:rsid w:val="00A47E4B"/>
    <w:rsid w:val="00A522E4"/>
    <w:rsid w:val="00A60023"/>
    <w:rsid w:val="00A6208D"/>
    <w:rsid w:val="00A621D3"/>
    <w:rsid w:val="00A64370"/>
    <w:rsid w:val="00A70516"/>
    <w:rsid w:val="00A75027"/>
    <w:rsid w:val="00A77196"/>
    <w:rsid w:val="00A77C89"/>
    <w:rsid w:val="00A800DC"/>
    <w:rsid w:val="00A82380"/>
    <w:rsid w:val="00A8547F"/>
    <w:rsid w:val="00A961FB"/>
    <w:rsid w:val="00A97450"/>
    <w:rsid w:val="00A97C07"/>
    <w:rsid w:val="00AA009C"/>
    <w:rsid w:val="00AA2EB7"/>
    <w:rsid w:val="00AA324A"/>
    <w:rsid w:val="00AA6FEE"/>
    <w:rsid w:val="00AB006F"/>
    <w:rsid w:val="00AB2FC0"/>
    <w:rsid w:val="00AB31C5"/>
    <w:rsid w:val="00AB6C08"/>
    <w:rsid w:val="00AB6E8D"/>
    <w:rsid w:val="00AC044C"/>
    <w:rsid w:val="00AC5B57"/>
    <w:rsid w:val="00AC5C5B"/>
    <w:rsid w:val="00AC660A"/>
    <w:rsid w:val="00AE53C9"/>
    <w:rsid w:val="00AF126A"/>
    <w:rsid w:val="00AF76A7"/>
    <w:rsid w:val="00B00C30"/>
    <w:rsid w:val="00B0559E"/>
    <w:rsid w:val="00B11A04"/>
    <w:rsid w:val="00B25181"/>
    <w:rsid w:val="00B319A5"/>
    <w:rsid w:val="00B340F9"/>
    <w:rsid w:val="00B34870"/>
    <w:rsid w:val="00B37834"/>
    <w:rsid w:val="00B379F5"/>
    <w:rsid w:val="00B4272F"/>
    <w:rsid w:val="00B51186"/>
    <w:rsid w:val="00B5385D"/>
    <w:rsid w:val="00B56416"/>
    <w:rsid w:val="00B57A77"/>
    <w:rsid w:val="00B60F89"/>
    <w:rsid w:val="00B64C1B"/>
    <w:rsid w:val="00B64D6D"/>
    <w:rsid w:val="00B65998"/>
    <w:rsid w:val="00B67EA3"/>
    <w:rsid w:val="00B71AAB"/>
    <w:rsid w:val="00B71B34"/>
    <w:rsid w:val="00B7721F"/>
    <w:rsid w:val="00B84A6A"/>
    <w:rsid w:val="00B84D4B"/>
    <w:rsid w:val="00B92992"/>
    <w:rsid w:val="00B9433F"/>
    <w:rsid w:val="00B94429"/>
    <w:rsid w:val="00B95D22"/>
    <w:rsid w:val="00B961E7"/>
    <w:rsid w:val="00B966F3"/>
    <w:rsid w:val="00BA1F76"/>
    <w:rsid w:val="00BA46C8"/>
    <w:rsid w:val="00BA47EF"/>
    <w:rsid w:val="00BB199D"/>
    <w:rsid w:val="00BB3050"/>
    <w:rsid w:val="00BB4CF3"/>
    <w:rsid w:val="00BC4900"/>
    <w:rsid w:val="00BC63B5"/>
    <w:rsid w:val="00BC63EF"/>
    <w:rsid w:val="00BD2A41"/>
    <w:rsid w:val="00BD7420"/>
    <w:rsid w:val="00BE0ED0"/>
    <w:rsid w:val="00BE39B0"/>
    <w:rsid w:val="00BE4B77"/>
    <w:rsid w:val="00BE5921"/>
    <w:rsid w:val="00BF413A"/>
    <w:rsid w:val="00BF4210"/>
    <w:rsid w:val="00BF52AF"/>
    <w:rsid w:val="00BF730A"/>
    <w:rsid w:val="00C05639"/>
    <w:rsid w:val="00C07B5C"/>
    <w:rsid w:val="00C10B16"/>
    <w:rsid w:val="00C11CEE"/>
    <w:rsid w:val="00C14391"/>
    <w:rsid w:val="00C2354B"/>
    <w:rsid w:val="00C23D62"/>
    <w:rsid w:val="00C24030"/>
    <w:rsid w:val="00C24294"/>
    <w:rsid w:val="00C312F4"/>
    <w:rsid w:val="00C31AD3"/>
    <w:rsid w:val="00C331DB"/>
    <w:rsid w:val="00C3329B"/>
    <w:rsid w:val="00C33ED8"/>
    <w:rsid w:val="00C33F6A"/>
    <w:rsid w:val="00C4027D"/>
    <w:rsid w:val="00C42431"/>
    <w:rsid w:val="00C4346F"/>
    <w:rsid w:val="00C43A04"/>
    <w:rsid w:val="00C43E0E"/>
    <w:rsid w:val="00C45AE9"/>
    <w:rsid w:val="00C4681E"/>
    <w:rsid w:val="00C509EC"/>
    <w:rsid w:val="00C516D5"/>
    <w:rsid w:val="00C55596"/>
    <w:rsid w:val="00C6228F"/>
    <w:rsid w:val="00C629C5"/>
    <w:rsid w:val="00C62FE8"/>
    <w:rsid w:val="00C63525"/>
    <w:rsid w:val="00C63A53"/>
    <w:rsid w:val="00C64ACE"/>
    <w:rsid w:val="00C65643"/>
    <w:rsid w:val="00C671F0"/>
    <w:rsid w:val="00C7097A"/>
    <w:rsid w:val="00C7207B"/>
    <w:rsid w:val="00C726AB"/>
    <w:rsid w:val="00C737E1"/>
    <w:rsid w:val="00C80099"/>
    <w:rsid w:val="00C8206E"/>
    <w:rsid w:val="00C83014"/>
    <w:rsid w:val="00C84458"/>
    <w:rsid w:val="00C86B88"/>
    <w:rsid w:val="00C94EC6"/>
    <w:rsid w:val="00C95713"/>
    <w:rsid w:val="00CA6296"/>
    <w:rsid w:val="00CA756B"/>
    <w:rsid w:val="00CB0BE0"/>
    <w:rsid w:val="00CB1DCB"/>
    <w:rsid w:val="00CB26EF"/>
    <w:rsid w:val="00CB422C"/>
    <w:rsid w:val="00CB5D2B"/>
    <w:rsid w:val="00CB65C3"/>
    <w:rsid w:val="00CB6859"/>
    <w:rsid w:val="00CC65D5"/>
    <w:rsid w:val="00CC6B0E"/>
    <w:rsid w:val="00CD26B2"/>
    <w:rsid w:val="00CD4F4D"/>
    <w:rsid w:val="00CD6738"/>
    <w:rsid w:val="00CD71E7"/>
    <w:rsid w:val="00CE3DE3"/>
    <w:rsid w:val="00CE6895"/>
    <w:rsid w:val="00CE6CB0"/>
    <w:rsid w:val="00CF0588"/>
    <w:rsid w:val="00CF2702"/>
    <w:rsid w:val="00D0382D"/>
    <w:rsid w:val="00D04E9F"/>
    <w:rsid w:val="00D056D5"/>
    <w:rsid w:val="00D05B86"/>
    <w:rsid w:val="00D06E36"/>
    <w:rsid w:val="00D1034F"/>
    <w:rsid w:val="00D14D20"/>
    <w:rsid w:val="00D16F04"/>
    <w:rsid w:val="00D24D52"/>
    <w:rsid w:val="00D252BB"/>
    <w:rsid w:val="00D256E3"/>
    <w:rsid w:val="00D31827"/>
    <w:rsid w:val="00D33C94"/>
    <w:rsid w:val="00D35231"/>
    <w:rsid w:val="00D35CD1"/>
    <w:rsid w:val="00D37C7E"/>
    <w:rsid w:val="00D43C87"/>
    <w:rsid w:val="00D46684"/>
    <w:rsid w:val="00D56E98"/>
    <w:rsid w:val="00D57443"/>
    <w:rsid w:val="00D576B4"/>
    <w:rsid w:val="00D60D81"/>
    <w:rsid w:val="00D62489"/>
    <w:rsid w:val="00D644B3"/>
    <w:rsid w:val="00D66C40"/>
    <w:rsid w:val="00D70D2F"/>
    <w:rsid w:val="00D7211A"/>
    <w:rsid w:val="00D74B02"/>
    <w:rsid w:val="00D76070"/>
    <w:rsid w:val="00D76988"/>
    <w:rsid w:val="00D76A9B"/>
    <w:rsid w:val="00D805F0"/>
    <w:rsid w:val="00D81D5B"/>
    <w:rsid w:val="00D86F6B"/>
    <w:rsid w:val="00D91692"/>
    <w:rsid w:val="00D91C10"/>
    <w:rsid w:val="00D931A0"/>
    <w:rsid w:val="00D948BC"/>
    <w:rsid w:val="00D95181"/>
    <w:rsid w:val="00D961D4"/>
    <w:rsid w:val="00D97249"/>
    <w:rsid w:val="00D97622"/>
    <w:rsid w:val="00DA18BA"/>
    <w:rsid w:val="00DA3FEE"/>
    <w:rsid w:val="00DB3D68"/>
    <w:rsid w:val="00DB65CE"/>
    <w:rsid w:val="00DC021E"/>
    <w:rsid w:val="00DC06EF"/>
    <w:rsid w:val="00DC0DC0"/>
    <w:rsid w:val="00DC249A"/>
    <w:rsid w:val="00DC3881"/>
    <w:rsid w:val="00DC5742"/>
    <w:rsid w:val="00DD0239"/>
    <w:rsid w:val="00DD30E1"/>
    <w:rsid w:val="00DD4ECA"/>
    <w:rsid w:val="00DD5C99"/>
    <w:rsid w:val="00DD6573"/>
    <w:rsid w:val="00DD772A"/>
    <w:rsid w:val="00DD7B91"/>
    <w:rsid w:val="00DE1908"/>
    <w:rsid w:val="00DE1EDB"/>
    <w:rsid w:val="00DE350A"/>
    <w:rsid w:val="00DE38CC"/>
    <w:rsid w:val="00DE61D1"/>
    <w:rsid w:val="00DE7B7D"/>
    <w:rsid w:val="00DE7FA7"/>
    <w:rsid w:val="00DF0C2C"/>
    <w:rsid w:val="00DF1B0E"/>
    <w:rsid w:val="00DF3A97"/>
    <w:rsid w:val="00E00A03"/>
    <w:rsid w:val="00E00B08"/>
    <w:rsid w:val="00E027A0"/>
    <w:rsid w:val="00E039C3"/>
    <w:rsid w:val="00E060AA"/>
    <w:rsid w:val="00E069F2"/>
    <w:rsid w:val="00E2360D"/>
    <w:rsid w:val="00E24A55"/>
    <w:rsid w:val="00E259BB"/>
    <w:rsid w:val="00E3219B"/>
    <w:rsid w:val="00E327F0"/>
    <w:rsid w:val="00E34C05"/>
    <w:rsid w:val="00E34F88"/>
    <w:rsid w:val="00E35906"/>
    <w:rsid w:val="00E36B06"/>
    <w:rsid w:val="00E3734A"/>
    <w:rsid w:val="00E37516"/>
    <w:rsid w:val="00E37A48"/>
    <w:rsid w:val="00E37DC9"/>
    <w:rsid w:val="00E41BC9"/>
    <w:rsid w:val="00E41F11"/>
    <w:rsid w:val="00E41FEB"/>
    <w:rsid w:val="00E42A3A"/>
    <w:rsid w:val="00E4583E"/>
    <w:rsid w:val="00E45B06"/>
    <w:rsid w:val="00E45CAD"/>
    <w:rsid w:val="00E47021"/>
    <w:rsid w:val="00E474F9"/>
    <w:rsid w:val="00E47CF1"/>
    <w:rsid w:val="00E52830"/>
    <w:rsid w:val="00E56172"/>
    <w:rsid w:val="00E60042"/>
    <w:rsid w:val="00E61D8A"/>
    <w:rsid w:val="00E620E5"/>
    <w:rsid w:val="00E657D7"/>
    <w:rsid w:val="00E65EF8"/>
    <w:rsid w:val="00E700E6"/>
    <w:rsid w:val="00E7027C"/>
    <w:rsid w:val="00E70ABB"/>
    <w:rsid w:val="00E7168D"/>
    <w:rsid w:val="00E73D18"/>
    <w:rsid w:val="00E77C9C"/>
    <w:rsid w:val="00E81FE6"/>
    <w:rsid w:val="00E86893"/>
    <w:rsid w:val="00E86ED4"/>
    <w:rsid w:val="00E8787D"/>
    <w:rsid w:val="00E902F4"/>
    <w:rsid w:val="00E91D81"/>
    <w:rsid w:val="00E9602C"/>
    <w:rsid w:val="00EA07B5"/>
    <w:rsid w:val="00EA4BBE"/>
    <w:rsid w:val="00EA7B66"/>
    <w:rsid w:val="00EB7A4D"/>
    <w:rsid w:val="00EB7B16"/>
    <w:rsid w:val="00EC0B69"/>
    <w:rsid w:val="00EC4850"/>
    <w:rsid w:val="00EC7D86"/>
    <w:rsid w:val="00ED0046"/>
    <w:rsid w:val="00ED411D"/>
    <w:rsid w:val="00ED513B"/>
    <w:rsid w:val="00ED5729"/>
    <w:rsid w:val="00EE6216"/>
    <w:rsid w:val="00EE6334"/>
    <w:rsid w:val="00EF1203"/>
    <w:rsid w:val="00EF1CE0"/>
    <w:rsid w:val="00EF23F6"/>
    <w:rsid w:val="00EF2CD1"/>
    <w:rsid w:val="00EF49F6"/>
    <w:rsid w:val="00EF6D3C"/>
    <w:rsid w:val="00F014DF"/>
    <w:rsid w:val="00F016F5"/>
    <w:rsid w:val="00F03B1D"/>
    <w:rsid w:val="00F06417"/>
    <w:rsid w:val="00F0699D"/>
    <w:rsid w:val="00F06AD6"/>
    <w:rsid w:val="00F0778A"/>
    <w:rsid w:val="00F07E64"/>
    <w:rsid w:val="00F100D4"/>
    <w:rsid w:val="00F15E23"/>
    <w:rsid w:val="00F243EF"/>
    <w:rsid w:val="00F334E2"/>
    <w:rsid w:val="00F34B8A"/>
    <w:rsid w:val="00F3601A"/>
    <w:rsid w:val="00F37CDC"/>
    <w:rsid w:val="00F421B7"/>
    <w:rsid w:val="00F45ACD"/>
    <w:rsid w:val="00F50775"/>
    <w:rsid w:val="00F51590"/>
    <w:rsid w:val="00F53567"/>
    <w:rsid w:val="00F53E7B"/>
    <w:rsid w:val="00F53EDF"/>
    <w:rsid w:val="00F6281F"/>
    <w:rsid w:val="00F710C9"/>
    <w:rsid w:val="00F72C55"/>
    <w:rsid w:val="00F72C74"/>
    <w:rsid w:val="00F7304E"/>
    <w:rsid w:val="00F75F50"/>
    <w:rsid w:val="00F770B9"/>
    <w:rsid w:val="00F77A26"/>
    <w:rsid w:val="00F828F3"/>
    <w:rsid w:val="00F9006B"/>
    <w:rsid w:val="00F90E8A"/>
    <w:rsid w:val="00F93210"/>
    <w:rsid w:val="00F93A53"/>
    <w:rsid w:val="00F95720"/>
    <w:rsid w:val="00F96747"/>
    <w:rsid w:val="00F96916"/>
    <w:rsid w:val="00F97765"/>
    <w:rsid w:val="00FA2C18"/>
    <w:rsid w:val="00FA6DE9"/>
    <w:rsid w:val="00FC003A"/>
    <w:rsid w:val="00FC4D69"/>
    <w:rsid w:val="00FC5702"/>
    <w:rsid w:val="00FC6218"/>
    <w:rsid w:val="00FC74DC"/>
    <w:rsid w:val="00FD0D9C"/>
    <w:rsid w:val="00FD3228"/>
    <w:rsid w:val="00FE5D90"/>
    <w:rsid w:val="00FE6CA6"/>
    <w:rsid w:val="00FE749B"/>
    <w:rsid w:val="00FF5B56"/>
    <w:rsid w:val="019B07FD"/>
    <w:rsid w:val="035304AB"/>
    <w:rsid w:val="040846E4"/>
    <w:rsid w:val="04596A50"/>
    <w:rsid w:val="045F53C9"/>
    <w:rsid w:val="068F6DED"/>
    <w:rsid w:val="075610D7"/>
    <w:rsid w:val="09356B62"/>
    <w:rsid w:val="09F2400E"/>
    <w:rsid w:val="0A0D5EF7"/>
    <w:rsid w:val="0A4E2F69"/>
    <w:rsid w:val="0A894E5B"/>
    <w:rsid w:val="0A9450C5"/>
    <w:rsid w:val="0C85545D"/>
    <w:rsid w:val="0CC937FC"/>
    <w:rsid w:val="0F28059A"/>
    <w:rsid w:val="0F535836"/>
    <w:rsid w:val="11357BA7"/>
    <w:rsid w:val="11CE35B2"/>
    <w:rsid w:val="125008E3"/>
    <w:rsid w:val="14AA7834"/>
    <w:rsid w:val="15070994"/>
    <w:rsid w:val="153228AA"/>
    <w:rsid w:val="154574F4"/>
    <w:rsid w:val="165317AC"/>
    <w:rsid w:val="168D3704"/>
    <w:rsid w:val="188F0D9E"/>
    <w:rsid w:val="19033B41"/>
    <w:rsid w:val="19FA3934"/>
    <w:rsid w:val="1AA61A8A"/>
    <w:rsid w:val="1B580A6F"/>
    <w:rsid w:val="1B604ED7"/>
    <w:rsid w:val="20095733"/>
    <w:rsid w:val="218377A4"/>
    <w:rsid w:val="22D714FC"/>
    <w:rsid w:val="231E6887"/>
    <w:rsid w:val="24422B02"/>
    <w:rsid w:val="2444493E"/>
    <w:rsid w:val="25632256"/>
    <w:rsid w:val="260F1C7D"/>
    <w:rsid w:val="26273D13"/>
    <w:rsid w:val="26B52CF3"/>
    <w:rsid w:val="27BB71B0"/>
    <w:rsid w:val="27BF7B35"/>
    <w:rsid w:val="281710D2"/>
    <w:rsid w:val="29A83A40"/>
    <w:rsid w:val="29B41DBB"/>
    <w:rsid w:val="2A2E1256"/>
    <w:rsid w:val="2A7D58ED"/>
    <w:rsid w:val="2AC82E3D"/>
    <w:rsid w:val="2C0944E8"/>
    <w:rsid w:val="2C834B93"/>
    <w:rsid w:val="2F821EDA"/>
    <w:rsid w:val="2FFA3A98"/>
    <w:rsid w:val="30D72258"/>
    <w:rsid w:val="32922615"/>
    <w:rsid w:val="339356A4"/>
    <w:rsid w:val="345D3D41"/>
    <w:rsid w:val="34B74D3E"/>
    <w:rsid w:val="35817B77"/>
    <w:rsid w:val="36032659"/>
    <w:rsid w:val="3635718D"/>
    <w:rsid w:val="371A2D6B"/>
    <w:rsid w:val="371D006C"/>
    <w:rsid w:val="37BF3D9B"/>
    <w:rsid w:val="37EC40CA"/>
    <w:rsid w:val="39D07618"/>
    <w:rsid w:val="3A515734"/>
    <w:rsid w:val="3A635E4A"/>
    <w:rsid w:val="3B64373D"/>
    <w:rsid w:val="3BE6164B"/>
    <w:rsid w:val="3C2D194B"/>
    <w:rsid w:val="3C440969"/>
    <w:rsid w:val="3DE763A7"/>
    <w:rsid w:val="3E203E30"/>
    <w:rsid w:val="3EE85404"/>
    <w:rsid w:val="3F590415"/>
    <w:rsid w:val="403268D1"/>
    <w:rsid w:val="40736A16"/>
    <w:rsid w:val="40923879"/>
    <w:rsid w:val="4093251E"/>
    <w:rsid w:val="40B111DA"/>
    <w:rsid w:val="411805C2"/>
    <w:rsid w:val="41A62798"/>
    <w:rsid w:val="41DC2355"/>
    <w:rsid w:val="42D300E4"/>
    <w:rsid w:val="44A469E0"/>
    <w:rsid w:val="467D19F8"/>
    <w:rsid w:val="476F3A66"/>
    <w:rsid w:val="48682067"/>
    <w:rsid w:val="48820171"/>
    <w:rsid w:val="48B16866"/>
    <w:rsid w:val="48FD1AAC"/>
    <w:rsid w:val="49B06B1E"/>
    <w:rsid w:val="49D03C38"/>
    <w:rsid w:val="4A760CF6"/>
    <w:rsid w:val="4B787153"/>
    <w:rsid w:val="4BD56F78"/>
    <w:rsid w:val="4BEE4DF7"/>
    <w:rsid w:val="4BFF1E0C"/>
    <w:rsid w:val="4C544B16"/>
    <w:rsid w:val="4CDA43AF"/>
    <w:rsid w:val="4D0F0AD9"/>
    <w:rsid w:val="4D244A20"/>
    <w:rsid w:val="4D3D6130"/>
    <w:rsid w:val="4DF124DA"/>
    <w:rsid w:val="4E3A35CA"/>
    <w:rsid w:val="4E83678A"/>
    <w:rsid w:val="4E8F5A68"/>
    <w:rsid w:val="51062165"/>
    <w:rsid w:val="52543E3B"/>
    <w:rsid w:val="53844D5D"/>
    <w:rsid w:val="5386165F"/>
    <w:rsid w:val="53D11346"/>
    <w:rsid w:val="540F4C1C"/>
    <w:rsid w:val="54901C75"/>
    <w:rsid w:val="54A43EF6"/>
    <w:rsid w:val="565C1151"/>
    <w:rsid w:val="58A418C4"/>
    <w:rsid w:val="59C70173"/>
    <w:rsid w:val="59E976D9"/>
    <w:rsid w:val="5A976CB3"/>
    <w:rsid w:val="5B1315BF"/>
    <w:rsid w:val="5BC667F0"/>
    <w:rsid w:val="5D6147DC"/>
    <w:rsid w:val="5E0A20DD"/>
    <w:rsid w:val="5F4F2B85"/>
    <w:rsid w:val="600325B4"/>
    <w:rsid w:val="6054028D"/>
    <w:rsid w:val="62E64E07"/>
    <w:rsid w:val="633F1A5F"/>
    <w:rsid w:val="63983622"/>
    <w:rsid w:val="670B6DA6"/>
    <w:rsid w:val="671509C0"/>
    <w:rsid w:val="68627A5E"/>
    <w:rsid w:val="69043B27"/>
    <w:rsid w:val="690C3963"/>
    <w:rsid w:val="6977750B"/>
    <w:rsid w:val="69CC0BDF"/>
    <w:rsid w:val="6A7412BD"/>
    <w:rsid w:val="6B1B5B95"/>
    <w:rsid w:val="6BE75F3D"/>
    <w:rsid w:val="6C61201E"/>
    <w:rsid w:val="6D505D9E"/>
    <w:rsid w:val="6E0377C5"/>
    <w:rsid w:val="6EA840E4"/>
    <w:rsid w:val="72FC0D1E"/>
    <w:rsid w:val="7350028E"/>
    <w:rsid w:val="750372F3"/>
    <w:rsid w:val="75472BD8"/>
    <w:rsid w:val="75756C67"/>
    <w:rsid w:val="76DE5487"/>
    <w:rsid w:val="772305B0"/>
    <w:rsid w:val="776F7334"/>
    <w:rsid w:val="78112724"/>
    <w:rsid w:val="78DC46C4"/>
    <w:rsid w:val="79B55056"/>
    <w:rsid w:val="7A2916A7"/>
    <w:rsid w:val="7A405EE0"/>
    <w:rsid w:val="7A69427E"/>
    <w:rsid w:val="7AA1149B"/>
    <w:rsid w:val="7B16745D"/>
    <w:rsid w:val="7B7D36C6"/>
    <w:rsid w:val="7E2743D8"/>
    <w:rsid w:val="7F1E69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20" w:leftChars="100" w:right="100" w:rightChars="100"/>
      <w:jc w:val="both"/>
    </w:pPr>
    <w:rPr>
      <w:rFonts w:eastAsia="仿宋_GB2312" w:asciiTheme="minorHAnsi" w:hAnsiTheme="minorHAnsi" w:cstheme="minorBidi"/>
      <w:kern w:val="2"/>
      <w:sz w:val="32"/>
      <w:szCs w:val="24"/>
      <w:lang w:val="en-US" w:eastAsia="zh-CN" w:bidi="ar-SA"/>
    </w:rPr>
  </w:style>
  <w:style w:type="paragraph" w:styleId="3">
    <w:name w:val="heading 1"/>
    <w:basedOn w:val="4"/>
    <w:next w:val="1"/>
    <w:link w:val="39"/>
    <w:qFormat/>
    <w:uiPriority w:val="0"/>
    <w:pPr>
      <w:ind w:firstLine="0" w:firstLineChars="0"/>
      <w:outlineLvl w:val="0"/>
    </w:pPr>
    <w:rPr>
      <w:bCs w:val="0"/>
      <w:kern w:val="44"/>
      <w:sz w:val="32"/>
      <w:szCs w:val="44"/>
    </w:rPr>
  </w:style>
  <w:style w:type="paragraph" w:styleId="4">
    <w:name w:val="heading 2"/>
    <w:basedOn w:val="1"/>
    <w:next w:val="1"/>
    <w:link w:val="41"/>
    <w:unhideWhenUsed/>
    <w:qFormat/>
    <w:uiPriority w:val="0"/>
    <w:pPr>
      <w:keepNext/>
      <w:keepLines/>
      <w:ind w:left="0" w:leftChars="0" w:right="0" w:rightChars="0" w:firstLine="200" w:firstLineChars="200"/>
      <w:outlineLvl w:val="1"/>
    </w:pPr>
    <w:rPr>
      <w:rFonts w:ascii="Times New Roman" w:hAnsi="Times New Roman" w:eastAsia="仿宋" w:cstheme="majorBidi"/>
      <w:b/>
      <w:bCs/>
      <w:sz w:val="30"/>
      <w:szCs w:val="32"/>
    </w:rPr>
  </w:style>
  <w:style w:type="paragraph" w:styleId="5">
    <w:name w:val="heading 3"/>
    <w:basedOn w:val="1"/>
    <w:next w:val="1"/>
    <w:link w:val="42"/>
    <w:unhideWhenUsed/>
    <w:qFormat/>
    <w:uiPriority w:val="0"/>
    <w:pPr>
      <w:keepNext/>
      <w:keepLines/>
      <w:ind w:left="0" w:leftChars="0" w:right="0" w:rightChars="0" w:firstLine="200" w:firstLineChars="200"/>
      <w:outlineLvl w:val="2"/>
    </w:pPr>
    <w:rPr>
      <w:rFonts w:ascii="Times New Roman" w:hAnsi="Times New Roman" w:eastAsia="仿宋"/>
      <w:b/>
      <w:bCs/>
      <w:sz w:val="28"/>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等线" w:hAnsi="等线" w:eastAsia="仿宋"/>
    </w:rPr>
  </w:style>
  <w:style w:type="paragraph" w:styleId="6">
    <w:name w:val="toc 7"/>
    <w:basedOn w:val="1"/>
    <w:next w:val="1"/>
    <w:qFormat/>
    <w:uiPriority w:val="0"/>
    <w:pPr>
      <w:ind w:left="1920"/>
      <w:jc w:val="left"/>
    </w:pPr>
    <w:rPr>
      <w:sz w:val="18"/>
      <w:szCs w:val="18"/>
    </w:rPr>
  </w:style>
  <w:style w:type="paragraph" w:styleId="7">
    <w:name w:val="Normal Indent"/>
    <w:basedOn w:val="1"/>
    <w:unhideWhenUsed/>
    <w:qFormat/>
    <w:uiPriority w:val="99"/>
    <w:pPr>
      <w:spacing w:line="240" w:lineRule="auto"/>
      <w:ind w:left="0" w:leftChars="0" w:right="0" w:rightChars="0" w:firstLine="420" w:firstLineChars="200"/>
    </w:pPr>
    <w:rPr>
      <w:rFonts w:ascii="Calibri" w:hAnsi="Calibri" w:eastAsia="宋体" w:cs="Times New Roman"/>
      <w:sz w:val="21"/>
    </w:rPr>
  </w:style>
  <w:style w:type="paragraph" w:styleId="8">
    <w:name w:val="Document Map"/>
    <w:basedOn w:val="1"/>
    <w:link w:val="45"/>
    <w:semiHidden/>
    <w:unhideWhenUsed/>
    <w:qFormat/>
    <w:uiPriority w:val="0"/>
    <w:rPr>
      <w:rFonts w:ascii="宋体" w:eastAsia="宋体"/>
      <w:sz w:val="18"/>
      <w:szCs w:val="18"/>
    </w:rPr>
  </w:style>
  <w:style w:type="paragraph" w:styleId="9">
    <w:name w:val="annotation text"/>
    <w:basedOn w:val="1"/>
    <w:link w:val="34"/>
    <w:qFormat/>
    <w:uiPriority w:val="0"/>
    <w:pPr>
      <w:jc w:val="left"/>
    </w:pPr>
  </w:style>
  <w:style w:type="paragraph" w:styleId="10">
    <w:name w:val="toc 5"/>
    <w:basedOn w:val="1"/>
    <w:next w:val="1"/>
    <w:qFormat/>
    <w:uiPriority w:val="0"/>
    <w:pPr>
      <w:ind w:left="1280"/>
      <w:jc w:val="left"/>
    </w:pPr>
    <w:rPr>
      <w:sz w:val="18"/>
      <w:szCs w:val="18"/>
    </w:rPr>
  </w:style>
  <w:style w:type="paragraph" w:styleId="11">
    <w:name w:val="toc 3"/>
    <w:basedOn w:val="1"/>
    <w:next w:val="1"/>
    <w:qFormat/>
    <w:uiPriority w:val="39"/>
    <w:pPr>
      <w:ind w:left="640"/>
      <w:jc w:val="left"/>
    </w:pPr>
    <w:rPr>
      <w:i/>
      <w:iCs/>
      <w:sz w:val="20"/>
      <w:szCs w:val="20"/>
    </w:rPr>
  </w:style>
  <w:style w:type="paragraph" w:styleId="12">
    <w:name w:val="Plain Text"/>
    <w:basedOn w:val="1"/>
    <w:link w:val="38"/>
    <w:qFormat/>
    <w:uiPriority w:val="0"/>
    <w:pPr>
      <w:ind w:left="0" w:leftChars="0" w:right="0" w:rightChars="0" w:firstLine="200" w:firstLineChars="200"/>
    </w:pPr>
    <w:rPr>
      <w:rFonts w:ascii="Times New Roman" w:hAnsi="Times New Roman" w:eastAsia="仿宋" w:cs="Courier New"/>
      <w:sz w:val="28"/>
      <w:szCs w:val="21"/>
    </w:rPr>
  </w:style>
  <w:style w:type="paragraph" w:styleId="13">
    <w:name w:val="toc 8"/>
    <w:basedOn w:val="1"/>
    <w:next w:val="1"/>
    <w:qFormat/>
    <w:uiPriority w:val="0"/>
    <w:pPr>
      <w:ind w:left="2240"/>
      <w:jc w:val="left"/>
    </w:pPr>
    <w:rPr>
      <w:sz w:val="18"/>
      <w:szCs w:val="18"/>
    </w:rPr>
  </w:style>
  <w:style w:type="paragraph" w:styleId="14">
    <w:name w:val="Date"/>
    <w:basedOn w:val="1"/>
    <w:next w:val="1"/>
    <w:link w:val="44"/>
    <w:qFormat/>
    <w:uiPriority w:val="0"/>
    <w:pPr>
      <w:ind w:left="100" w:leftChars="2500"/>
    </w:pPr>
  </w:style>
  <w:style w:type="paragraph" w:styleId="15">
    <w:name w:val="Balloon Text"/>
    <w:basedOn w:val="1"/>
    <w:link w:val="36"/>
    <w:qFormat/>
    <w:uiPriority w:val="0"/>
    <w:rPr>
      <w:sz w:val="18"/>
      <w:szCs w:val="18"/>
    </w:rPr>
  </w:style>
  <w:style w:type="paragraph" w:styleId="16">
    <w:name w:val="footer"/>
    <w:basedOn w:val="1"/>
    <w:link w:val="33"/>
    <w:qFormat/>
    <w:uiPriority w:val="99"/>
    <w:pPr>
      <w:tabs>
        <w:tab w:val="center" w:pos="4153"/>
        <w:tab w:val="right" w:pos="8306"/>
      </w:tabs>
      <w:snapToGrid w:val="0"/>
      <w:jc w:val="left"/>
    </w:pPr>
    <w:rPr>
      <w:sz w:val="18"/>
      <w:szCs w:val="18"/>
    </w:rPr>
  </w:style>
  <w:style w:type="paragraph" w:styleId="17">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ind w:left="0"/>
      <w:jc w:val="left"/>
    </w:pPr>
    <w:rPr>
      <w:b/>
      <w:bCs/>
      <w:caps/>
      <w:sz w:val="20"/>
      <w:szCs w:val="20"/>
    </w:rPr>
  </w:style>
  <w:style w:type="paragraph" w:styleId="19">
    <w:name w:val="toc 4"/>
    <w:basedOn w:val="1"/>
    <w:next w:val="1"/>
    <w:qFormat/>
    <w:uiPriority w:val="0"/>
    <w:pPr>
      <w:ind w:left="960"/>
      <w:jc w:val="left"/>
    </w:pPr>
    <w:rPr>
      <w:sz w:val="18"/>
      <w:szCs w:val="18"/>
    </w:rPr>
  </w:style>
  <w:style w:type="paragraph" w:styleId="20">
    <w:name w:val="toc 6"/>
    <w:basedOn w:val="1"/>
    <w:next w:val="1"/>
    <w:qFormat/>
    <w:uiPriority w:val="0"/>
    <w:pPr>
      <w:ind w:left="1600"/>
      <w:jc w:val="left"/>
    </w:pPr>
    <w:rPr>
      <w:sz w:val="18"/>
      <w:szCs w:val="18"/>
    </w:rPr>
  </w:style>
  <w:style w:type="paragraph" w:styleId="21">
    <w:name w:val="toc 2"/>
    <w:basedOn w:val="1"/>
    <w:next w:val="1"/>
    <w:qFormat/>
    <w:uiPriority w:val="39"/>
    <w:pPr>
      <w:jc w:val="left"/>
    </w:pPr>
    <w:rPr>
      <w:smallCaps/>
      <w:sz w:val="20"/>
      <w:szCs w:val="20"/>
    </w:rPr>
  </w:style>
  <w:style w:type="paragraph" w:styleId="22">
    <w:name w:val="toc 9"/>
    <w:basedOn w:val="1"/>
    <w:next w:val="1"/>
    <w:qFormat/>
    <w:uiPriority w:val="0"/>
    <w:pPr>
      <w:ind w:left="2560"/>
      <w:jc w:val="left"/>
    </w:pPr>
    <w:rPr>
      <w:sz w:val="18"/>
      <w:szCs w:val="18"/>
    </w:r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24">
    <w:name w:val="Normal (Web)"/>
    <w:basedOn w:val="1"/>
    <w:semiHidden/>
    <w:unhideWhenUsed/>
    <w:qFormat/>
    <w:uiPriority w:val="0"/>
    <w:pPr>
      <w:spacing w:beforeAutospacing="1" w:afterAutospacing="1"/>
      <w:ind w:left="0" w:right="0"/>
      <w:jc w:val="left"/>
    </w:pPr>
    <w:rPr>
      <w:rFonts w:cs="Times New Roman"/>
      <w:kern w:val="0"/>
      <w:sz w:val="24"/>
    </w:rPr>
  </w:style>
  <w:style w:type="paragraph" w:styleId="25">
    <w:name w:val="Title"/>
    <w:basedOn w:val="1"/>
    <w:qFormat/>
    <w:uiPriority w:val="0"/>
    <w:pPr>
      <w:spacing w:line="700" w:lineRule="exact"/>
      <w:jc w:val="center"/>
      <w:outlineLvl w:val="0"/>
    </w:pPr>
    <w:rPr>
      <w:rFonts w:ascii="Arial" w:hAnsi="Arial" w:eastAsia="方正小标宋简体"/>
      <w:sz w:val="44"/>
    </w:rPr>
  </w:style>
  <w:style w:type="paragraph" w:styleId="26">
    <w:name w:val="annotation subject"/>
    <w:basedOn w:val="9"/>
    <w:next w:val="9"/>
    <w:link w:val="35"/>
    <w:qFormat/>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Hyperlink"/>
    <w:basedOn w:val="29"/>
    <w:unhideWhenUsed/>
    <w:qFormat/>
    <w:uiPriority w:val="99"/>
    <w:rPr>
      <w:color w:val="0563C1" w:themeColor="hyperlink"/>
      <w:u w:val="single"/>
    </w:rPr>
  </w:style>
  <w:style w:type="character" w:styleId="31">
    <w:name w:val="annotation reference"/>
    <w:basedOn w:val="29"/>
    <w:qFormat/>
    <w:uiPriority w:val="0"/>
    <w:rPr>
      <w:sz w:val="21"/>
      <w:szCs w:val="21"/>
    </w:rPr>
  </w:style>
  <w:style w:type="character" w:customStyle="1" w:styleId="32">
    <w:name w:val="页眉 Char"/>
    <w:basedOn w:val="29"/>
    <w:link w:val="17"/>
    <w:qFormat/>
    <w:uiPriority w:val="0"/>
    <w:rPr>
      <w:rFonts w:asciiTheme="minorHAnsi" w:hAnsiTheme="minorHAnsi" w:eastAsiaTheme="minorEastAsia" w:cstheme="minorBidi"/>
      <w:kern w:val="2"/>
      <w:sz w:val="18"/>
      <w:szCs w:val="18"/>
    </w:rPr>
  </w:style>
  <w:style w:type="character" w:customStyle="1" w:styleId="33">
    <w:name w:val="页脚 Char"/>
    <w:basedOn w:val="29"/>
    <w:link w:val="16"/>
    <w:qFormat/>
    <w:uiPriority w:val="99"/>
    <w:rPr>
      <w:rFonts w:asciiTheme="minorHAnsi" w:hAnsiTheme="minorHAnsi" w:eastAsiaTheme="minorEastAsia" w:cstheme="minorBidi"/>
      <w:kern w:val="2"/>
      <w:sz w:val="18"/>
      <w:szCs w:val="18"/>
    </w:rPr>
  </w:style>
  <w:style w:type="character" w:customStyle="1" w:styleId="34">
    <w:name w:val="批注文字 Char"/>
    <w:basedOn w:val="29"/>
    <w:link w:val="9"/>
    <w:qFormat/>
    <w:uiPriority w:val="0"/>
    <w:rPr>
      <w:rFonts w:asciiTheme="minorHAnsi" w:hAnsiTheme="minorHAnsi" w:eastAsiaTheme="minorEastAsia" w:cstheme="minorBidi"/>
      <w:kern w:val="2"/>
      <w:sz w:val="21"/>
      <w:szCs w:val="24"/>
    </w:rPr>
  </w:style>
  <w:style w:type="character" w:customStyle="1" w:styleId="35">
    <w:name w:val="批注主题 Char"/>
    <w:basedOn w:val="34"/>
    <w:link w:val="26"/>
    <w:qFormat/>
    <w:uiPriority w:val="0"/>
    <w:rPr>
      <w:rFonts w:asciiTheme="minorHAnsi" w:hAnsiTheme="minorHAnsi" w:eastAsiaTheme="minorEastAsia" w:cstheme="minorBidi"/>
      <w:b/>
      <w:bCs/>
      <w:kern w:val="2"/>
      <w:sz w:val="21"/>
      <w:szCs w:val="24"/>
    </w:rPr>
  </w:style>
  <w:style w:type="character" w:customStyle="1" w:styleId="36">
    <w:name w:val="批注框文本 Char"/>
    <w:basedOn w:val="29"/>
    <w:link w:val="15"/>
    <w:qFormat/>
    <w:uiPriority w:val="0"/>
    <w:rPr>
      <w:rFonts w:asciiTheme="minorHAnsi" w:hAnsiTheme="minorHAnsi" w:eastAsiaTheme="minorEastAsia" w:cstheme="minorBidi"/>
      <w:kern w:val="2"/>
      <w:sz w:val="18"/>
      <w:szCs w:val="18"/>
    </w:rPr>
  </w:style>
  <w:style w:type="paragraph" w:customStyle="1" w:styleId="37">
    <w:name w:val="样式1"/>
    <w:basedOn w:val="1"/>
    <w:link w:val="40"/>
    <w:qFormat/>
    <w:uiPriority w:val="0"/>
    <w:pPr>
      <w:ind w:left="0" w:leftChars="0" w:right="320" w:firstLine="640" w:firstLineChars="200"/>
    </w:pPr>
    <w:rPr>
      <w:rFonts w:ascii="仿宋_GB2312" w:hAnsi="仿宋_GB2312" w:cs="仿宋_GB2312"/>
      <w:color w:val="000000" w:themeColor="text1"/>
      <w:szCs w:val="32"/>
    </w:rPr>
  </w:style>
  <w:style w:type="character" w:customStyle="1" w:styleId="38">
    <w:name w:val="纯文本 Char"/>
    <w:basedOn w:val="29"/>
    <w:link w:val="12"/>
    <w:qFormat/>
    <w:uiPriority w:val="0"/>
    <w:rPr>
      <w:rFonts w:eastAsia="仿宋" w:cs="Courier New"/>
      <w:kern w:val="2"/>
      <w:sz w:val="28"/>
      <w:szCs w:val="21"/>
    </w:rPr>
  </w:style>
  <w:style w:type="character" w:customStyle="1" w:styleId="39">
    <w:name w:val="标题 1 Char"/>
    <w:basedOn w:val="29"/>
    <w:link w:val="3"/>
    <w:qFormat/>
    <w:uiPriority w:val="0"/>
    <w:rPr>
      <w:rFonts w:eastAsia="仿宋" w:cstheme="majorBidi"/>
      <w:b/>
      <w:kern w:val="44"/>
      <w:sz w:val="32"/>
      <w:szCs w:val="44"/>
    </w:rPr>
  </w:style>
  <w:style w:type="character" w:customStyle="1" w:styleId="40">
    <w:name w:val="样式1 Char"/>
    <w:basedOn w:val="29"/>
    <w:link w:val="37"/>
    <w:qFormat/>
    <w:uiPriority w:val="0"/>
    <w:rPr>
      <w:rFonts w:ascii="仿宋_GB2312" w:hAnsi="仿宋_GB2312" w:eastAsia="仿宋_GB2312" w:cs="仿宋_GB2312"/>
      <w:color w:val="000000" w:themeColor="text1"/>
      <w:kern w:val="2"/>
      <w:sz w:val="32"/>
      <w:szCs w:val="32"/>
    </w:rPr>
  </w:style>
  <w:style w:type="character" w:customStyle="1" w:styleId="41">
    <w:name w:val="标题 2 Char"/>
    <w:basedOn w:val="29"/>
    <w:link w:val="4"/>
    <w:qFormat/>
    <w:uiPriority w:val="0"/>
    <w:rPr>
      <w:rFonts w:eastAsia="仿宋" w:cstheme="majorBidi"/>
      <w:b/>
      <w:bCs/>
      <w:kern w:val="2"/>
      <w:sz w:val="30"/>
      <w:szCs w:val="32"/>
    </w:rPr>
  </w:style>
  <w:style w:type="character" w:customStyle="1" w:styleId="42">
    <w:name w:val="标题 3 Char"/>
    <w:basedOn w:val="29"/>
    <w:link w:val="5"/>
    <w:qFormat/>
    <w:uiPriority w:val="0"/>
    <w:rPr>
      <w:rFonts w:eastAsia="仿宋" w:cstheme="minorBidi"/>
      <w:b/>
      <w:bCs/>
      <w:kern w:val="2"/>
      <w:sz w:val="28"/>
      <w:szCs w:val="32"/>
    </w:rPr>
  </w:style>
  <w:style w:type="paragraph" w:customStyle="1" w:styleId="43">
    <w:name w:val="TOC 标题1"/>
    <w:basedOn w:val="3"/>
    <w:next w:val="1"/>
    <w:unhideWhenUsed/>
    <w:qFormat/>
    <w:uiPriority w:val="39"/>
    <w:pPr>
      <w:widowControl/>
      <w:spacing w:before="240" w:line="259" w:lineRule="auto"/>
      <w:jc w:val="left"/>
      <w:outlineLvl w:val="9"/>
    </w:pPr>
    <w:rPr>
      <w:rFonts w:asciiTheme="majorHAnsi" w:hAnsiTheme="majorHAnsi" w:eastAsiaTheme="majorEastAsia"/>
      <w:b w:val="0"/>
      <w:color w:val="2E75B5" w:themeColor="accent1" w:themeShade="BF"/>
      <w:kern w:val="0"/>
      <w:szCs w:val="32"/>
    </w:rPr>
  </w:style>
  <w:style w:type="character" w:customStyle="1" w:styleId="44">
    <w:name w:val="日期 Char"/>
    <w:basedOn w:val="29"/>
    <w:link w:val="14"/>
    <w:qFormat/>
    <w:uiPriority w:val="0"/>
    <w:rPr>
      <w:rFonts w:eastAsia="仿宋_GB2312" w:asciiTheme="minorHAnsi" w:hAnsiTheme="minorHAnsi" w:cstheme="minorBidi"/>
      <w:kern w:val="2"/>
      <w:sz w:val="32"/>
      <w:szCs w:val="24"/>
    </w:rPr>
  </w:style>
  <w:style w:type="character" w:customStyle="1" w:styleId="45">
    <w:name w:val="文档结构图 Char"/>
    <w:basedOn w:val="29"/>
    <w:link w:val="8"/>
    <w:semiHidden/>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chart" Target="charts/chart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25919;&#24220;&#36141;&#20080;&#26381;&#21153;&#31532;&#19977;&#26041;&#35780;&#20272;\&#32489;&#25928;&#35780;&#20272;\20210316\&#35780;&#20215;&#25253;&#21578;\&#23453;&#20016;&#21439;&#22303;&#22320;&#25910;&#36141;&#20648;&#22791;&#20013;&#24515;&#8220;&#23453;&#20016;&#21439;&#23439;&#21457;&#38081;&#19994;&#20302;&#25928;&#29992;&#22320;&#25910;&#20648;&#39033;&#30446;&#8221;&#39033;&#30446;&#25903;&#20986;&#32489;&#25928;&#35780;&#20215;&#20307;&#319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latin typeface="黑体" panose="02010609060101010101" charset="-122"/>
                <a:ea typeface="黑体" panose="02010609060101010101" charset="-122"/>
              </a:rPr>
              <a:t>图</a:t>
            </a:r>
            <a:r>
              <a:rPr lang="en-US" altLang="zh-CN" sz="1400" b="0">
                <a:latin typeface="黑体" panose="02010609060101010101" charset="-122"/>
                <a:ea typeface="黑体" panose="02010609060101010101" charset="-122"/>
              </a:rPr>
              <a:t>1</a:t>
            </a:r>
            <a:r>
              <a:rPr lang="en-US" altLang="zh-CN" sz="1400" b="0" baseline="0">
                <a:latin typeface="黑体" panose="02010609060101010101" charset="-122"/>
                <a:ea typeface="黑体" panose="02010609060101010101" charset="-122"/>
              </a:rPr>
              <a:t>  </a:t>
            </a:r>
            <a:r>
              <a:rPr lang="zh-CN" altLang="en-US" sz="1400" b="0">
                <a:latin typeface="黑体" panose="02010609060101010101" charset="-122"/>
                <a:ea typeface="黑体" panose="02010609060101010101" charset="-122"/>
              </a:rPr>
              <a:t>评价指标分布情况</a:t>
            </a:r>
            <a:endParaRPr lang="zh-CN" altLang="en-US" sz="1400" b="0">
              <a:latin typeface="黑体" panose="02010609060101010101" charset="-122"/>
              <a:ea typeface="黑体" panose="02010609060101010101" charset="-122"/>
            </a:endParaRPr>
          </a:p>
        </c:rich>
      </c:tx>
      <c:layout/>
      <c:overlay val="0"/>
    </c:title>
    <c:autoTitleDeleted val="0"/>
    <c:plotArea>
      <c:layout/>
      <c:pieChart>
        <c:varyColors val="1"/>
        <c:ser>
          <c:idx val="0"/>
          <c:order val="0"/>
          <c:tx>
            <c:strRef>
              <c:f>Sheet1!$B$3</c:f>
              <c:strCache>
                <c:ptCount val="1"/>
                <c:pt idx="0">
                  <c:v>评价指标分布情况</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Sheet1!$B$4:$B$7</c:f>
              <c:strCache>
                <c:ptCount val="4"/>
                <c:pt idx="0">
                  <c:v>决策</c:v>
                </c:pt>
                <c:pt idx="1">
                  <c:v>过程</c:v>
                </c:pt>
                <c:pt idx="2">
                  <c:v>产 出</c:v>
                </c:pt>
                <c:pt idx="3">
                  <c:v>效 果</c:v>
                </c:pt>
              </c:strCache>
            </c:strRef>
          </c:cat>
          <c:val>
            <c:numRef>
              <c:f>Sheet1!$C$4:$C$7</c:f>
              <c:numCache>
                <c:formatCode>General</c:formatCode>
                <c:ptCount val="4"/>
                <c:pt idx="0">
                  <c:v>15</c:v>
                </c:pt>
                <c:pt idx="1">
                  <c:v>25</c:v>
                </c:pt>
                <c:pt idx="2">
                  <c:v>30</c:v>
                </c:pt>
                <c:pt idx="3">
                  <c:v>30</c:v>
                </c:pt>
              </c:numCache>
            </c:numRef>
          </c:val>
        </c:ser>
        <c:ser>
          <c:idx val="1"/>
          <c:order val="1"/>
          <c:tx>
            <c:strRef>
              <c:f>Sheet1!$B$3</c:f>
              <c:strCache>
                <c:ptCount val="1"/>
                <c:pt idx="0">
                  <c:v>评价指标分布情况</c:v>
                </c:pt>
              </c:strCache>
            </c:strRef>
          </c:tx>
          <c:explosion val="0"/>
          <c:dPt>
            <c:idx val="0"/>
            <c:bubble3D val="0"/>
          </c:dPt>
          <c:dPt>
            <c:idx val="1"/>
            <c:bubble3D val="0"/>
          </c:dPt>
          <c:dPt>
            <c:idx val="2"/>
            <c:bubble3D val="0"/>
          </c:dPt>
          <c:dPt>
            <c:idx val="3"/>
            <c:bubble3D val="0"/>
          </c:dPt>
          <c:dLbls>
            <c:delete val="1"/>
          </c:dLbls>
          <c:cat>
            <c:strRef>
              <c:f>Sheet1!$B$4:$B$7</c:f>
              <c:strCache>
                <c:ptCount val="4"/>
                <c:pt idx="0">
                  <c:v>决策</c:v>
                </c:pt>
                <c:pt idx="1">
                  <c:v>过程</c:v>
                </c:pt>
                <c:pt idx="2">
                  <c:v>产 出</c:v>
                </c:pt>
                <c:pt idx="3">
                  <c:v>效 果</c:v>
                </c:pt>
              </c:strCache>
            </c:strRef>
          </c:cat>
          <c:val>
            <c:numRef>
              <c:f>Sheet1!$D$4:$D$7</c:f>
              <c:numCache>
                <c:formatCode>0%</c:formatCode>
                <c:ptCount val="4"/>
                <c:pt idx="0">
                  <c:v>0.15</c:v>
                </c:pt>
                <c:pt idx="1">
                  <c:v>0.25</c:v>
                </c:pt>
                <c:pt idx="2">
                  <c:v>0.3</c:v>
                </c:pt>
                <c:pt idx="3">
                  <c:v>0.3</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E37A14-5C62-4ACB-B9A9-DF662A4423BD}">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16647</Words>
  <Characters>18119</Characters>
  <Lines>157</Lines>
  <Paragraphs>44</Paragraphs>
  <TotalTime>0</TotalTime>
  <ScaleCrop>false</ScaleCrop>
  <LinksUpToDate>false</LinksUpToDate>
  <CharactersWithSpaces>18331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2021-06-30T05:51:00Z</dcterms:created>
  <dc:creator>Administrator</dc:creator>
  <cp:lastModifiedBy>云飞扬</cp:lastModifiedBy>
  <cp:lastPrinted>2021-04-13T07:42:00Z</cp:lastPrinted>
  <dcterms:modified xsi:type="dcterms:W3CDTF">2022-12-08T11:26:58Z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23A676E6FD3A4967809AC80950CE9403</vt:lpwstr>
  </property>
</Properties>
</file>