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Chars="0" w:rightChars="0"/>
        <w:rPr>
          <w:rFonts w:hint="default" w:ascii="Times New Roman" w:hAnsi="Times New Roman" w:eastAsia="黑体"/>
          <w:color w:val="000000" w:themeColor="text1"/>
          <w:sz w:val="32"/>
          <w:szCs w:val="32"/>
        </w:rPr>
      </w:pPr>
    </w:p>
    <w:p>
      <w:pPr>
        <w:spacing w:line="240" w:lineRule="auto"/>
        <w:ind w:left="0" w:leftChars="0" w:right="0" w:rightChars="0"/>
        <w:jc w:val="center"/>
        <w:rPr>
          <w:rFonts w:ascii="Times New Roman" w:hAnsi="Times New Roman" w:eastAsia="仿宋" w:cs="Times New Roman"/>
          <w:b/>
          <w:bCs/>
          <w:color w:val="000000" w:themeColor="text1"/>
          <w:sz w:val="56"/>
          <w:szCs w:val="44"/>
        </w:rPr>
      </w:pPr>
    </w:p>
    <w:p>
      <w:pPr>
        <w:ind w:left="0" w:leftChars="0" w:right="0" w:rightChars="0"/>
        <w:jc w:val="center"/>
        <w:rPr>
          <w:rFonts w:hint="eastAsia" w:ascii="仿宋" w:hAnsi="仿宋" w:eastAsia="仿宋" w:cs="仿宋"/>
          <w:b/>
          <w:bCs/>
          <w:color w:val="000000" w:themeColor="text1"/>
          <w:sz w:val="44"/>
          <w:szCs w:val="44"/>
        </w:rPr>
      </w:pPr>
      <w:bookmarkStart w:id="0" w:name="_Hlk67409639"/>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统计各专业工作经费</w:t>
      </w:r>
    </w:p>
    <w:p>
      <w:pPr>
        <w:spacing w:line="240" w:lineRule="auto"/>
        <w:ind w:left="0" w:leftChars="0" w:right="0" w:rightChars="0"/>
        <w:jc w:val="center"/>
        <w:rPr>
          <w:rFonts w:ascii="Times New Roman" w:hAnsi="Times New Roman" w:eastAsia="仿宋" w:cs="Times New Roman"/>
          <w:b/>
          <w:bCs/>
          <w:color w:val="000000" w:themeColor="text1"/>
          <w:sz w:val="56"/>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项目支出绩效评价报告</w:t>
      </w:r>
      <w:bookmarkStart w:id="156" w:name="_GoBack"/>
      <w:bookmarkEnd w:id="156"/>
    </w:p>
    <w:p>
      <w:pPr>
        <w:pStyle w:val="12"/>
        <w:ind w:firstLine="0" w:firstLineChars="0"/>
        <w:jc w:val="center"/>
      </w:pPr>
    </w:p>
    <w:p>
      <w:pPr>
        <w:pStyle w:val="12"/>
        <w:ind w:firstLine="560"/>
        <w:rPr>
          <w:rFonts w:cs="Times New Roman"/>
        </w:rPr>
      </w:pPr>
    </w:p>
    <w:p>
      <w:pPr>
        <w:pStyle w:val="12"/>
        <w:ind w:firstLine="560"/>
        <w:rPr>
          <w:rFonts w:cs="Times New Roman"/>
        </w:rPr>
      </w:pPr>
    </w:p>
    <w:bookmarkEnd w:id="0"/>
    <w:p>
      <w:pPr>
        <w:pStyle w:val="12"/>
        <w:spacing w:line="480" w:lineRule="auto"/>
        <w:ind w:left="-480" w:leftChars="-150" w:firstLine="643"/>
        <w:rPr>
          <w:rFonts w:cs="Times New Roman"/>
          <w:b/>
          <w:bCs/>
          <w:sz w:val="32"/>
          <w:szCs w:val="32"/>
        </w:rPr>
      </w:pPr>
    </w:p>
    <w:p>
      <w:pPr>
        <w:pStyle w:val="12"/>
        <w:spacing w:line="480" w:lineRule="auto"/>
        <w:ind w:left="-480" w:leftChars="-150" w:firstLine="643"/>
        <w:rPr>
          <w:rFonts w:cs="Times New Roman"/>
          <w:b/>
          <w:bCs/>
          <w:sz w:val="32"/>
          <w:szCs w:val="32"/>
        </w:rPr>
      </w:pPr>
    </w:p>
    <w:p>
      <w:pPr>
        <w:pStyle w:val="12"/>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12"/>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12"/>
        <w:spacing w:line="480" w:lineRule="auto"/>
        <w:ind w:left="-480" w:leftChars="-150" w:firstLine="643"/>
        <w:rPr>
          <w:rFonts w:cs="Times New Roman"/>
          <w:sz w:val="32"/>
          <w:szCs w:val="32"/>
          <w:u w:val="single"/>
        </w:rPr>
      </w:pPr>
      <w:r>
        <w:rPr>
          <w:rFonts w:cs="Times New Roman"/>
          <w:b/>
          <w:bCs/>
          <w:sz w:val="32"/>
          <w:szCs w:val="32"/>
        </w:rPr>
        <w:t>项 目 名 称</w:t>
      </w:r>
      <w:r>
        <w:rPr>
          <w:rFonts w:cs="Times New Roman"/>
          <w:sz w:val="32"/>
          <w:szCs w:val="32"/>
        </w:rPr>
        <w:t xml:space="preserve"> ：</w:t>
      </w:r>
      <w:r>
        <w:rPr>
          <w:rFonts w:hint="eastAsia" w:cs="Times New Roman"/>
          <w:sz w:val="32"/>
          <w:szCs w:val="32"/>
          <w:u w:val="single"/>
        </w:rPr>
        <w:t>统计各专业工作经费</w:t>
      </w:r>
    </w:p>
    <w:p>
      <w:pPr>
        <w:pStyle w:val="12"/>
        <w:spacing w:line="480" w:lineRule="auto"/>
        <w:ind w:left="-480" w:leftChars="-150" w:firstLine="643"/>
        <w:rPr>
          <w:rFonts w:cs="Times New Roman"/>
          <w:sz w:val="32"/>
          <w:szCs w:val="32"/>
          <w:u w:val="single"/>
        </w:rPr>
      </w:pPr>
      <w:r>
        <w:rPr>
          <w:rFonts w:cs="Times New Roman"/>
          <w:b/>
          <w:bCs/>
          <w:sz w:val="32"/>
          <w:szCs w:val="32"/>
        </w:rPr>
        <w:t>项目承担单位</w:t>
      </w:r>
      <w:r>
        <w:rPr>
          <w:rFonts w:cs="Times New Roman"/>
          <w:sz w:val="32"/>
          <w:szCs w:val="32"/>
        </w:rPr>
        <w:t>：</w:t>
      </w:r>
      <w:r>
        <w:rPr>
          <w:rFonts w:hint="eastAsia" w:cs="Times New Roman"/>
          <w:sz w:val="32"/>
          <w:szCs w:val="32"/>
          <w:u w:val="single"/>
        </w:rPr>
        <w:t>漯河经济技术开发区统计中心</w:t>
      </w:r>
    </w:p>
    <w:p>
      <w:pPr>
        <w:pStyle w:val="12"/>
        <w:spacing w:line="480" w:lineRule="auto"/>
        <w:ind w:left="-480" w:leftChars="-150" w:firstLine="643"/>
        <w:rPr>
          <w:rFonts w:cs="Times New Roman"/>
          <w:sz w:val="32"/>
          <w:szCs w:val="32"/>
          <w:highlight w:val="yellow"/>
          <w:u w:val="single"/>
        </w:rPr>
      </w:pPr>
      <w:r>
        <w:rPr>
          <w:rFonts w:cs="Times New Roman"/>
          <w:b/>
          <w:bCs/>
          <w:color w:val="auto"/>
          <w:sz w:val="32"/>
          <w:szCs w:val="32"/>
          <w:highlight w:val="none"/>
        </w:rPr>
        <w:t>项目主管部门</w:t>
      </w:r>
      <w:r>
        <w:rPr>
          <w:rFonts w:cs="Times New Roman"/>
          <w:color w:val="auto"/>
          <w:sz w:val="32"/>
          <w:szCs w:val="32"/>
          <w:highlight w:val="none"/>
        </w:rPr>
        <w:t>：</w:t>
      </w:r>
      <w:r>
        <w:rPr>
          <w:rFonts w:hint="eastAsia" w:cs="Times New Roman"/>
          <w:color w:val="auto"/>
          <w:sz w:val="32"/>
          <w:szCs w:val="32"/>
          <w:highlight w:val="none"/>
          <w:u w:val="single"/>
        </w:rPr>
        <w:t>漯河经济技术开发区统计中心</w:t>
      </w:r>
    </w:p>
    <w:p>
      <w:pPr>
        <w:pStyle w:val="12"/>
        <w:ind w:firstLine="643"/>
        <w:jc w:val="center"/>
        <w:rPr>
          <w:rFonts w:cs="Times New Roman"/>
          <w:b/>
          <w:bCs/>
          <w:sz w:val="32"/>
          <w:szCs w:val="32"/>
        </w:rPr>
      </w:pPr>
    </w:p>
    <w:p>
      <w:pPr>
        <w:pStyle w:val="12"/>
        <w:ind w:right="320" w:firstLine="643"/>
        <w:jc w:val="center"/>
        <w:rPr>
          <w:rFonts w:hint="eastAsia" w:cs="Times New Roman"/>
          <w:b/>
          <w:bCs/>
          <w:sz w:val="32"/>
          <w:szCs w:val="36"/>
        </w:rPr>
      </w:pPr>
    </w:p>
    <w:p>
      <w:pPr>
        <w:pStyle w:val="12"/>
        <w:ind w:right="320" w:firstLine="643"/>
        <w:jc w:val="center"/>
        <w:rPr>
          <w:rFonts w:cs="Times New Roman"/>
          <w:b/>
          <w:bCs/>
          <w:sz w:val="32"/>
          <w:szCs w:val="36"/>
        </w:rPr>
      </w:pPr>
      <w:r>
        <w:rPr>
          <w:rFonts w:hint="eastAsia" w:cs="Times New Roman"/>
          <w:b/>
          <w:bCs/>
          <w:sz w:val="32"/>
          <w:szCs w:val="36"/>
        </w:rPr>
        <w:t>河南新卓房地产评估有限公司</w:t>
      </w:r>
    </w:p>
    <w:p>
      <w:pPr>
        <w:pStyle w:val="12"/>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r>
        <w:rPr>
          <w:rFonts w:cs="Times New Roman"/>
          <w:b/>
          <w:bCs/>
          <w:sz w:val="32"/>
          <w:szCs w:val="36"/>
        </w:rPr>
        <w:t>月</w:t>
      </w:r>
    </w:p>
    <w:p>
      <w:pPr>
        <w:pStyle w:val="12"/>
        <w:ind w:right="320" w:firstLine="640"/>
        <w:jc w:val="center"/>
        <w:rPr>
          <w:rFonts w:cs="Times New Roman"/>
          <w:sz w:val="3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lang w:val="zh-CN"/>
        </w:rPr>
        <w:id w:val="-1861501395"/>
        <w:docPartObj>
          <w:docPartGallery w:val="Table of Contents"/>
          <w:docPartUnique/>
        </w:docPartObj>
      </w:sdtPr>
      <w:sdtEndPr>
        <w:rPr>
          <w:rFonts w:eastAsia="仿宋_GB2312" w:cs="Times New Roman" w:asciiTheme="minorHAnsi" w:hAnsiTheme="minorHAnsi"/>
          <w:b/>
          <w:bCs/>
          <w:caps/>
          <w:sz w:val="28"/>
          <w:szCs w:val="28"/>
          <w:lang w:val="zh-CN"/>
        </w:rPr>
      </w:sdtEndPr>
      <w:sdtContent>
        <w:p>
          <w:pPr>
            <w:pStyle w:val="12"/>
            <w:ind w:right="320" w:firstLine="643"/>
            <w:jc w:val="center"/>
            <w:rPr>
              <w:rFonts w:cs="Times New Roman"/>
              <w:b/>
              <w:bCs/>
              <w:sz w:val="24"/>
              <w:szCs w:val="24"/>
            </w:rPr>
          </w:pPr>
          <w:r>
            <w:rPr>
              <w:rFonts w:cs="Times New Roman"/>
              <w:b/>
              <w:bCs/>
              <w:sz w:val="24"/>
              <w:szCs w:val="24"/>
              <w:lang w:val="zh-CN"/>
            </w:rPr>
            <w:t>目录</w:t>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TOC \o "1-3" \h \z \u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_Toc6919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一、基本情况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_Toc6919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_Toc11162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（一）项目概况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_Toc11162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_Toc4650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1.项目单位基本情况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_Toc4650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_Toc20432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2.项目背景</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_Toc20432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_Toc21580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3.主要内容</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_Toc21580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_Toc6715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4.实施情况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_Toc6715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_Toc27449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5.资金投入及使用情况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_Toc27449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_Toc30997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（二）项目绩效目标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_Toc30997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_Toc20846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1.总体目标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_Toc20846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_Toc30027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2.阶段性目标</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_Toc30027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_Toc10984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二、绩效评价工作开展情况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_Toc10984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_Toc28325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（一）绩效评价目的、对象和范围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_Toc28325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_Toc23843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1.绩效评价目的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_Toc23843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_Toc28215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2.绩效评价对象</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_Toc28215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_Toc18503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3.绩效评价范围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_Toc18503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_Toc26978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（二）绩效评价原则、评价指标体系、评价方法及评价依据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_Toc26978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_Toc12957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 绩效评价原则</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_Toc12957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5</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_Toc25078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_Toc25078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_Toc16572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3.评价方法</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_Toc16572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_Toc29738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_Toc29738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_Toc26639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（三）绩效评价工作过程</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_Toc26639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_Toc10628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1、评价前期准备阶段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_Toc10628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_Toc30374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2、评价指标体系及方案设计阶段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_Toc30374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_Toc24560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3、评价实施阶段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_Toc24560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_Toc25198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4、评价报告阶段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_Toc25198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_Toc20114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三、综合评价情况及评价结论</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_Toc20114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_Toc25409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四、绩效评价指标分析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_Toc25409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_Toc15890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（一）项目决策情况（权重15，得分10.75）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_Toc15890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_Toc13941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1.项目立项（权重5，得分4.5）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_Toc13941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_Toc30844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2.绩效目标（权重5，得分3.75）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_Toc30844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_Toc8138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3.资金安排（权重5，得分2.5）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_Toc8138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19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_Toc21734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（二）项目过程情况（权重25，得分</w:t>
          </w:r>
          <w:r>
            <w:rPr>
              <w:rFonts w:hint="eastAsia" w:ascii="仿宋" w:hAnsi="仿宋" w:eastAsia="仿宋" w:cs="仿宋"/>
              <w:i w:val="0"/>
              <w:iCs w:val="0"/>
              <w:sz w:val="24"/>
              <w:szCs w:val="24"/>
              <w:lang w:val="en-US" w:eastAsia="zh-CN"/>
            </w:rPr>
            <w:t>16.5</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_Toc21734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_Toc6891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1.业务管理（权重10，得分6）</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_Toc6891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_Toc9595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2.预算管理（权重15，得分1</w:t>
          </w:r>
          <w:r>
            <w:rPr>
              <w:rFonts w:hint="eastAsia" w:ascii="仿宋" w:hAnsi="仿宋" w:eastAsia="仿宋" w:cs="仿宋"/>
              <w:i w:val="0"/>
              <w:iCs w:val="0"/>
              <w:sz w:val="24"/>
              <w:szCs w:val="24"/>
              <w:lang w:val="en-US" w:eastAsia="zh-CN"/>
            </w:rPr>
            <w:t>0.5</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_Toc9595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24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_Toc2531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（三）项目产出情况（权重30，得分26）</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_Toc2531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_Toc17046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1.产出数量（权重7.5，得分7.5）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_Toc17046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_Toc20520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2.产出时效（权重7.5，得分7.5）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_Toc20520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_Toc1052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3.产出质量（权重7.5，得分7.5）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_Toc1052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34</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_Toc1848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4.产出成本（权重7.5，得分3.5）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_Toc1848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36</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_Toc16943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（四）项目效益情况（权重30，得分30）</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_Toc16943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_Toc8406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1.社会效益（权重</w:t>
          </w:r>
          <w:r>
            <w:rPr>
              <w:rFonts w:hint="eastAsia" w:ascii="仿宋" w:hAnsi="仿宋" w:eastAsia="仿宋" w:cs="仿宋"/>
              <w:i w:val="0"/>
              <w:iCs w:val="0"/>
              <w:sz w:val="24"/>
              <w:szCs w:val="24"/>
              <w:lang w:val="en-US" w:eastAsia="zh-CN"/>
            </w:rPr>
            <w:t>8</w:t>
          </w:r>
          <w:r>
            <w:rPr>
              <w:rFonts w:hint="eastAsia" w:ascii="仿宋" w:hAnsi="仿宋" w:eastAsia="仿宋" w:cs="仿宋"/>
              <w:i w:val="0"/>
              <w:iCs w:val="0"/>
              <w:sz w:val="24"/>
              <w:szCs w:val="24"/>
            </w:rPr>
            <w:t>，得分</w:t>
          </w:r>
          <w:r>
            <w:rPr>
              <w:rFonts w:hint="eastAsia" w:ascii="仿宋" w:hAnsi="仿宋" w:eastAsia="仿宋" w:cs="仿宋"/>
              <w:i w:val="0"/>
              <w:iCs w:val="0"/>
              <w:sz w:val="24"/>
              <w:szCs w:val="24"/>
              <w:lang w:val="en-US" w:eastAsia="zh-CN"/>
            </w:rPr>
            <w:t>8</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_Toc8406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37</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_Toc240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w:t>
          </w:r>
          <w:r>
            <w:rPr>
              <w:rFonts w:hint="eastAsia" w:ascii="仿宋" w:hAnsi="仿宋" w:eastAsia="仿宋" w:cs="仿宋"/>
              <w:i w:val="0"/>
              <w:iCs w:val="0"/>
              <w:sz w:val="24"/>
              <w:szCs w:val="24"/>
              <w:lang w:val="zh-CN"/>
            </w:rPr>
            <w:fldChar w:fldCharType="end"/>
          </w: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_Toc11363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可持续影响（权重</w:t>
          </w:r>
          <w:r>
            <w:rPr>
              <w:rFonts w:hint="eastAsia" w:ascii="仿宋" w:hAnsi="仿宋" w:eastAsia="仿宋" w:cs="仿宋"/>
              <w:i w:val="0"/>
              <w:iCs w:val="0"/>
              <w:sz w:val="24"/>
              <w:szCs w:val="24"/>
              <w:lang w:val="en-US" w:eastAsia="zh-CN"/>
            </w:rPr>
            <w:t>8</w:t>
          </w:r>
          <w:r>
            <w:rPr>
              <w:rFonts w:hint="eastAsia" w:ascii="仿宋" w:hAnsi="仿宋" w:eastAsia="仿宋" w:cs="仿宋"/>
              <w:i w:val="0"/>
              <w:iCs w:val="0"/>
              <w:sz w:val="24"/>
              <w:szCs w:val="24"/>
            </w:rPr>
            <w:t>，得分</w:t>
          </w:r>
          <w:r>
            <w:rPr>
              <w:rFonts w:hint="eastAsia" w:ascii="仿宋" w:hAnsi="仿宋" w:eastAsia="仿宋" w:cs="仿宋"/>
              <w:i w:val="0"/>
              <w:iCs w:val="0"/>
              <w:sz w:val="24"/>
              <w:szCs w:val="24"/>
              <w:lang w:val="en-US" w:eastAsia="zh-CN"/>
            </w:rPr>
            <w:t>8</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_Toc11363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38</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_Toc18164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lang w:val="en-US" w:eastAsia="zh-CN"/>
            </w:rPr>
            <w:t>3</w:t>
          </w:r>
          <w:r>
            <w:rPr>
              <w:rFonts w:hint="eastAsia" w:ascii="仿宋" w:hAnsi="仿宋" w:eastAsia="仿宋" w:cs="仿宋"/>
              <w:i w:val="0"/>
              <w:iCs w:val="0"/>
              <w:sz w:val="24"/>
              <w:szCs w:val="24"/>
            </w:rPr>
            <w:t>.社会公众满意度（权重1</w:t>
          </w:r>
          <w:r>
            <w:rPr>
              <w:rFonts w:hint="eastAsia" w:ascii="仿宋" w:hAnsi="仿宋" w:eastAsia="仿宋" w:cs="仿宋"/>
              <w:i w:val="0"/>
              <w:iCs w:val="0"/>
              <w:sz w:val="24"/>
              <w:szCs w:val="24"/>
              <w:lang w:val="en-US" w:eastAsia="zh-CN"/>
            </w:rPr>
            <w:t>4</w:t>
          </w:r>
          <w:r>
            <w:rPr>
              <w:rFonts w:hint="eastAsia" w:ascii="仿宋" w:hAnsi="仿宋" w:eastAsia="仿宋" w:cs="仿宋"/>
              <w:i w:val="0"/>
              <w:iCs w:val="0"/>
              <w:sz w:val="24"/>
              <w:szCs w:val="24"/>
            </w:rPr>
            <w:t>，得分1</w:t>
          </w:r>
          <w:r>
            <w:rPr>
              <w:rFonts w:hint="eastAsia" w:ascii="仿宋" w:hAnsi="仿宋" w:eastAsia="仿宋" w:cs="仿宋"/>
              <w:i w:val="0"/>
              <w:iCs w:val="0"/>
              <w:sz w:val="24"/>
              <w:szCs w:val="24"/>
              <w:lang w:val="en-US" w:eastAsia="zh-CN"/>
            </w:rPr>
            <w:t>4</w:t>
          </w:r>
          <w:r>
            <w:rPr>
              <w:rFonts w:hint="eastAsia" w:ascii="仿宋" w:hAnsi="仿宋" w:eastAsia="仿宋" w:cs="仿宋"/>
              <w:i w:val="0"/>
              <w:iCs w:val="0"/>
              <w:sz w:val="24"/>
              <w:szCs w:val="24"/>
            </w:rPr>
            <w:t>）</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_Toc18164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_Toc24565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五、主要经验及做法、存在的问题及原因分析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_Toc24565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_Toc23685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（一）主要经验及做法</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_Toc23685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39</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_Toc19213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（二）存在的问题及原因分析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_Toc19213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_Toc25080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1.预算管理有待提高</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_Toc25080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_Toc2081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2.成本管控不到位</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_Toc2081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40</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_Toc23958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3.制度建设需进一步完善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_Toc23958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_Toc11094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六、有关建议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_Toc11094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_Toc9708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1.提升预算管理的合理性</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_Toc9708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_Toc24600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2.加强成本管控</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_Toc24600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41</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1"/>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_Toc29567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3.全面建立内控体系</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_Toc29567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_Toc29815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七、其他需要说明的问题</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_Toc29815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42</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rPr>
              <w:rFonts w:hint="eastAsia"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hint="eastAsia" w:ascii="仿宋" w:hAnsi="仿宋" w:eastAsia="仿宋" w:cs="仿宋"/>
              <w:i w:val="0"/>
              <w:iCs w:val="0"/>
              <w:sz w:val="24"/>
              <w:szCs w:val="24"/>
              <w:lang w:val="zh-CN"/>
            </w:rPr>
            <w:instrText xml:space="preserve"> HYPERLINK \l _Toc32053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八、附件</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_Toc32053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43</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Chars="0" w:right="0" w:rightChars="0"/>
            <w:rPr>
              <w:rFonts w:ascii="Times New Roman" w:hAnsi="Times New Roman" w:eastAsia="方正粗黑宋简体" w:cs="Times New Roman"/>
              <w:color w:val="000000" w:themeColor="text1"/>
              <w:sz w:val="48"/>
              <w:szCs w:val="44"/>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i w:val="0"/>
              <w:iCs w:val="0"/>
              <w:sz w:val="24"/>
              <w:szCs w:val="24"/>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统计各专业工作经费</w:t>
      </w:r>
    </w:p>
    <w:p>
      <w:pPr>
        <w:ind w:left="0" w:leftChars="0" w:right="0" w:rightChars="0"/>
        <w:jc w:val="center"/>
        <w:rPr>
          <w:rFonts w:ascii="Times New Roman" w:hAnsi="Times New Roman" w:cs="Times New Roman"/>
          <w:b/>
          <w:bCs/>
          <w:sz w:val="24"/>
          <w:szCs w:val="32"/>
        </w:rPr>
      </w:pPr>
      <w:r>
        <w:rPr>
          <w:rFonts w:ascii="Times New Roman" w:hAnsi="Times New Roman" w:eastAsia="方正粗黑宋简体" w:cs="Times New Roman"/>
          <w:b/>
          <w:bCs/>
          <w:color w:val="000000" w:themeColor="text1"/>
          <w:sz w:val="48"/>
          <w:szCs w:val="44"/>
        </w:rPr>
        <w:t>项目支出绩效评价报告</w:t>
      </w:r>
    </w:p>
    <w:p>
      <w:pPr>
        <w:pStyle w:val="12"/>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12"/>
        <w:ind w:firstLine="560"/>
        <w:rPr>
          <w:rFonts w:cs="Times New Roman"/>
        </w:rPr>
      </w:pPr>
      <w:r>
        <w:rPr>
          <w:rFonts w:cs="Times New Roman"/>
          <w:kern w:val="0"/>
        </w:rPr>
        <w:t>为加强</w:t>
      </w:r>
      <w:r>
        <w:rPr>
          <w:rFonts w:hint="eastAsia" w:cs="Times New Roman"/>
          <w:kern w:val="0"/>
          <w:lang w:eastAsia="zh-CN"/>
        </w:rPr>
        <w:t>统计各专业工作经费</w:t>
      </w:r>
      <w:r>
        <w:rPr>
          <w:rFonts w:cs="Times New Roman"/>
          <w:kern w:val="0"/>
        </w:rPr>
        <w:t>管理，强化支出责任，提高财政资金的使用效益，建立科学、合理的财政支出绩效评价体系，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w:t>
      </w:r>
      <w:r>
        <w:rPr>
          <w:rFonts w:cs="Times New Roman"/>
        </w:rPr>
        <w:t>市</w:t>
      </w:r>
      <w:r>
        <w:rPr>
          <w:rFonts w:hint="eastAsia" w:cs="Times New Roman"/>
        </w:rPr>
        <w:t>财政局</w:t>
      </w:r>
      <w:r>
        <w:rPr>
          <w:rFonts w:cs="Times New Roman"/>
        </w:rPr>
        <w:t>的委托，对“</w:t>
      </w:r>
      <w:r>
        <w:rPr>
          <w:rFonts w:hint="eastAsia" w:cs="Times New Roman"/>
        </w:rPr>
        <w:t>统计各专业工作经费</w:t>
      </w:r>
      <w:r>
        <w:rPr>
          <w:rFonts w:cs="Times New Roman"/>
        </w:rPr>
        <w:t>”进行绩效评价。本次评价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3"/>
        <w:rPr>
          <w:rFonts w:cs="Times New Roman"/>
          <w:color w:val="000000" w:themeColor="text1"/>
        </w:rPr>
      </w:pPr>
      <w:bookmarkStart w:id="1" w:name="_Toc67315570"/>
      <w:bookmarkStart w:id="2" w:name="_Toc29643"/>
      <w:bookmarkStart w:id="3" w:name="_Toc6919"/>
      <w:r>
        <w:rPr>
          <w:rFonts w:cs="Times New Roman"/>
        </w:rPr>
        <w:t>一、基本情况</w:t>
      </w:r>
      <w:bookmarkEnd w:id="1"/>
      <w:bookmarkEnd w:id="2"/>
      <w:bookmarkEnd w:id="3"/>
    </w:p>
    <w:p>
      <w:pPr>
        <w:pStyle w:val="4"/>
        <w:ind w:firstLine="602"/>
        <w:rPr>
          <w:rFonts w:cs="Times New Roman"/>
        </w:rPr>
      </w:pPr>
      <w:bookmarkStart w:id="4" w:name="_Toc11162"/>
      <w:bookmarkStart w:id="5" w:name="_Toc27824"/>
      <w:bookmarkStart w:id="6" w:name="_Toc67315571"/>
      <w:r>
        <w:rPr>
          <w:rFonts w:cs="Times New Roman"/>
        </w:rPr>
        <w:t>（一）项目概况</w:t>
      </w:r>
      <w:bookmarkEnd w:id="4"/>
      <w:bookmarkEnd w:id="5"/>
      <w:bookmarkEnd w:id="6"/>
    </w:p>
    <w:p>
      <w:pPr>
        <w:pStyle w:val="5"/>
        <w:ind w:firstLine="562"/>
        <w:rPr>
          <w:rFonts w:cs="Times New Roman"/>
        </w:rPr>
      </w:pPr>
      <w:bookmarkStart w:id="7" w:name="_Toc4650"/>
      <w:bookmarkStart w:id="8" w:name="_Toc9800"/>
      <w:r>
        <w:rPr>
          <w:rFonts w:cs="Times New Roman"/>
        </w:rPr>
        <w:t>1.项目单位基本情况</w:t>
      </w:r>
      <w:bookmarkEnd w:id="7"/>
      <w:bookmarkEnd w:id="8"/>
    </w:p>
    <w:tbl>
      <w:tblPr>
        <w:tblStyle w:val="28"/>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8" w:type="dxa"/>
            <w:gridSpan w:val="2"/>
            <w:shd w:val="clear" w:color="auto" w:fill="auto"/>
            <w:vAlign w:val="center"/>
          </w:tcPr>
          <w:p>
            <w:pPr>
              <w:pStyle w:val="12"/>
              <w:ind w:firstLine="0" w:firstLineChars="0"/>
              <w:jc w:val="center"/>
              <w:rPr>
                <w:rFonts w:cs="Times New Roman"/>
                <w:b/>
                <w:bCs/>
                <w:sz w:val="24"/>
                <w:szCs w:val="20"/>
              </w:rPr>
            </w:pPr>
            <w:r>
              <w:rPr>
                <w:rFonts w:cs="Times New Roman"/>
                <w:sz w:val="24"/>
                <w:szCs w:val="20"/>
              </w:rPr>
              <w:t xml:space="preserve">表1  </w:t>
            </w:r>
            <w:r>
              <w:rPr>
                <w:rFonts w:hint="eastAsia" w:cs="Times New Roman"/>
                <w:sz w:val="24"/>
                <w:szCs w:val="20"/>
              </w:rPr>
              <w:t>漯河经济技术开发区统计中心</w:t>
            </w:r>
            <w:r>
              <w:rPr>
                <w:rFonts w:cs="Times New Roman"/>
                <w:sz w:val="24"/>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科目</w:t>
            </w:r>
          </w:p>
        </w:tc>
        <w:tc>
          <w:tcPr>
            <w:tcW w:w="6003" w:type="dxa"/>
            <w:shd w:val="clear" w:color="auto" w:fill="00B0F0"/>
            <w:vAlign w:val="center"/>
          </w:tcPr>
          <w:p>
            <w:pPr>
              <w:pStyle w:val="12"/>
              <w:ind w:firstLine="0" w:firstLineChars="0"/>
              <w:jc w:val="center"/>
              <w:rPr>
                <w:rFonts w:cs="Times New Roman"/>
                <w:b/>
                <w:bCs/>
                <w:sz w:val="24"/>
                <w:szCs w:val="20"/>
              </w:rPr>
            </w:pPr>
            <w:r>
              <w:rPr>
                <w:rFonts w:cs="Times New Roman"/>
                <w:b/>
                <w:bCs/>
                <w:sz w:val="24"/>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项目单位</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漯河经济技术开发区统计中心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主管部门</w:t>
            </w:r>
          </w:p>
        </w:tc>
        <w:tc>
          <w:tcPr>
            <w:tcW w:w="6003" w:type="dxa"/>
            <w:vAlign w:val="center"/>
          </w:tcPr>
          <w:p>
            <w:pPr>
              <w:pStyle w:val="12"/>
              <w:ind w:firstLine="0" w:firstLineChars="0"/>
              <w:jc w:val="center"/>
              <w:rPr>
                <w:rFonts w:cs="Times New Roman"/>
                <w:sz w:val="24"/>
                <w:szCs w:val="20"/>
              </w:rPr>
            </w:pPr>
            <w:r>
              <w:rPr>
                <w:rFonts w:hint="eastAsia" w:cs="Times New Roman"/>
                <w:sz w:val="24"/>
                <w:szCs w:val="20"/>
              </w:rPr>
              <w:t>漯河经济技术开发区统计中心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单位类型</w:t>
            </w:r>
          </w:p>
        </w:tc>
        <w:tc>
          <w:tcPr>
            <w:tcW w:w="6003" w:type="dxa"/>
            <w:vAlign w:val="center"/>
          </w:tcPr>
          <w:p>
            <w:pPr>
              <w:pStyle w:val="12"/>
              <w:ind w:firstLine="0" w:firstLineChars="0"/>
              <w:jc w:val="center"/>
              <w:rPr>
                <w:rFonts w:cs="Times New Roman"/>
                <w:sz w:val="24"/>
                <w:szCs w:val="20"/>
              </w:rPr>
            </w:pPr>
            <w:r>
              <w:rPr>
                <w:rFonts w:cs="Times New Roman"/>
                <w:sz w:val="24"/>
                <w:szCs w:val="20"/>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经费来源</w:t>
            </w:r>
          </w:p>
        </w:tc>
        <w:tc>
          <w:tcPr>
            <w:tcW w:w="6003" w:type="dxa"/>
            <w:vAlign w:val="center"/>
          </w:tcPr>
          <w:p>
            <w:pPr>
              <w:pStyle w:val="12"/>
              <w:ind w:firstLine="0" w:firstLineChars="0"/>
              <w:jc w:val="center"/>
              <w:rPr>
                <w:rFonts w:cs="Times New Roman"/>
                <w:sz w:val="24"/>
                <w:szCs w:val="20"/>
              </w:rPr>
            </w:pPr>
            <w:r>
              <w:rPr>
                <w:rFonts w:cs="Times New Roman"/>
                <w:sz w:val="24"/>
                <w:szCs w:val="20"/>
              </w:rPr>
              <w:t>财政补助收入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住所</w:t>
            </w:r>
          </w:p>
        </w:tc>
        <w:tc>
          <w:tcPr>
            <w:tcW w:w="6003" w:type="dxa"/>
            <w:vAlign w:val="center"/>
          </w:tcPr>
          <w:p>
            <w:pPr>
              <w:pStyle w:val="12"/>
              <w:ind w:firstLine="0" w:firstLineChars="0"/>
              <w:jc w:val="center"/>
              <w:rPr>
                <w:rFonts w:cs="Times New Roman"/>
                <w:sz w:val="24"/>
                <w:szCs w:val="20"/>
              </w:rPr>
            </w:pPr>
            <w:r>
              <w:rPr>
                <w:rFonts w:cs="Times New Roman"/>
                <w:sz w:val="24"/>
                <w:szCs w:val="20"/>
              </w:rPr>
              <w:t>河南省</w:t>
            </w:r>
            <w:r>
              <w:rPr>
                <w:rFonts w:hint="eastAsia" w:cs="Times New Roman"/>
                <w:sz w:val="24"/>
                <w:szCs w:val="20"/>
              </w:rPr>
              <w:t>漯河</w:t>
            </w:r>
            <w:r>
              <w:rPr>
                <w:rFonts w:cs="Times New Roman"/>
                <w:sz w:val="24"/>
                <w:szCs w:val="20"/>
              </w:rPr>
              <w:t>市</w:t>
            </w:r>
            <w:r>
              <w:rPr>
                <w:rFonts w:hint="eastAsia" w:cs="Times New Roman"/>
                <w:sz w:val="24"/>
                <w:szCs w:val="20"/>
              </w:rPr>
              <w:t>中山</w:t>
            </w:r>
            <w:r>
              <w:rPr>
                <w:rFonts w:cs="Times New Roman"/>
                <w:sz w:val="24"/>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12"/>
              <w:ind w:firstLine="0" w:firstLineChars="0"/>
              <w:jc w:val="center"/>
              <w:rPr>
                <w:rFonts w:cs="Times New Roman"/>
                <w:sz w:val="24"/>
                <w:szCs w:val="20"/>
              </w:rPr>
            </w:pPr>
            <w:r>
              <w:rPr>
                <w:rFonts w:cs="Times New Roman"/>
                <w:sz w:val="24"/>
                <w:szCs w:val="20"/>
              </w:rPr>
              <w:t>宗旨和业务范围</w:t>
            </w:r>
          </w:p>
        </w:tc>
        <w:tc>
          <w:tcPr>
            <w:tcW w:w="6003" w:type="dxa"/>
            <w:vAlign w:val="center"/>
          </w:tcPr>
          <w:p>
            <w:pPr>
              <w:pStyle w:val="12"/>
              <w:spacing w:line="240" w:lineRule="auto"/>
              <w:ind w:firstLine="0" w:firstLineChars="0"/>
              <w:jc w:val="left"/>
              <w:rPr>
                <w:rFonts w:cs="Times New Roman"/>
                <w:sz w:val="24"/>
                <w:szCs w:val="20"/>
              </w:rPr>
            </w:pPr>
            <w:r>
              <w:rPr>
                <w:rFonts w:hint="eastAsia" w:cs="Times New Roman"/>
                <w:sz w:val="24"/>
                <w:szCs w:val="20"/>
              </w:rPr>
              <w:t>负责区内国民经济核算、工业、能源、农业、固定资产投资、建筑业、批零贸易、服务业、人口等统计工作；负责区内基本单位名录库管理、统计信息化建设和统计制度的规范和完善；负责辖区内各种统计调查工作的组织实施，以及辖区内单位统计业务的指导、监督和检查；负责商务部、商务厅有关国家级开发区和产业聚集区统计工作。</w:t>
            </w:r>
          </w:p>
        </w:tc>
      </w:tr>
    </w:tbl>
    <w:p>
      <w:pPr>
        <w:pStyle w:val="5"/>
        <w:ind w:firstLine="562"/>
        <w:rPr>
          <w:rFonts w:cs="Times New Roman"/>
        </w:rPr>
      </w:pPr>
      <w:bookmarkStart w:id="9" w:name="_Toc24793"/>
      <w:bookmarkStart w:id="10" w:name="_Toc20432"/>
      <w:r>
        <w:rPr>
          <w:rFonts w:cs="Times New Roman"/>
        </w:rPr>
        <w:t>2.项目背景</w:t>
      </w:r>
      <w:bookmarkEnd w:id="9"/>
      <w:bookmarkEnd w:id="10"/>
    </w:p>
    <w:p>
      <w:pPr>
        <w:pStyle w:val="12"/>
        <w:ind w:firstLine="560"/>
        <w:rPr>
          <w:rFonts w:cs="Times New Roman"/>
          <w:highlight w:val="yellow"/>
        </w:rPr>
      </w:pPr>
      <w:r>
        <w:rPr>
          <w:rFonts w:hint="eastAsia" w:cs="Times New Roman"/>
        </w:rPr>
        <w:t>根据统计法和《全国人口普查条例》，我国以2020年11月1日零时为标准时点开展了第七次全国人口普查（以下简称七人普），主要目的是全面查清我国人口数量、结构、分布等方面情况，为完善我国人口发展战略和政策体系、制定经济社会发展规划、推动高质量发展提供准确统计信息支持。为落实河南省第七次全国人口普查领导小组办公室、财政厅、人力资源和社会保障厅、河南省统计局《关于做好第七次全国人口普查经费保障工作的通知》(豫人普办字〔2020〕13号)和河南省财政厅、河南省第七次全国人口普查领导小组办公室《关于落实第七次全国人口普查农村普查员劳动报酬的通知》(豫财行〔2020〕116号)精神，漯河经济技术开发区统计中心作为统计机构，在此次人口普查中的主要工作是做好漯河市第七次全国人口普查普查指导员、普查员(以下简称“两员”)报酬经费保障工作。</w:t>
      </w:r>
    </w:p>
    <w:p>
      <w:pPr>
        <w:pStyle w:val="5"/>
        <w:ind w:firstLine="562"/>
        <w:rPr>
          <w:rFonts w:cs="Times New Roman"/>
        </w:rPr>
      </w:pPr>
      <w:bookmarkStart w:id="11" w:name="_Toc16008"/>
      <w:bookmarkStart w:id="12" w:name="_Toc21580"/>
      <w:r>
        <w:rPr>
          <w:rFonts w:cs="Times New Roman"/>
        </w:rPr>
        <w:t>3.主要内容</w:t>
      </w:r>
      <w:bookmarkEnd w:id="11"/>
      <w:bookmarkEnd w:id="12"/>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统计各专业工作经费</w:t>
      </w:r>
      <w:r>
        <w:rPr>
          <w:rFonts w:cs="Times New Roman"/>
        </w:rPr>
        <w:t>经费</w:t>
      </w:r>
      <w:r>
        <w:rPr>
          <w:rFonts w:hint="eastAsia" w:cs="Times New Roman"/>
          <w:color w:val="000000"/>
          <w:kern w:val="0"/>
          <w:szCs w:val="28"/>
        </w:rPr>
        <w:t>162.84331</w:t>
      </w:r>
      <w:r>
        <w:rPr>
          <w:rFonts w:cs="Times New Roman"/>
        </w:rPr>
        <w:t>万元，该经费主要用于</w:t>
      </w:r>
      <w:r>
        <w:rPr>
          <w:rFonts w:hint="eastAsia" w:cs="Times New Roman"/>
        </w:rPr>
        <w:t>统计各专业工作的劳务费、办公费、其他工资福利支出、其他商品和服务支出、维修费、印刷费、邮电费等相关费用</w:t>
      </w:r>
      <w:r>
        <w:rPr>
          <w:rFonts w:cs="Times New Roman"/>
        </w:rPr>
        <w:t>。</w:t>
      </w:r>
    </w:p>
    <w:p>
      <w:pPr>
        <w:pStyle w:val="5"/>
        <w:ind w:firstLine="562"/>
        <w:rPr>
          <w:rFonts w:cs="Times New Roman"/>
        </w:rPr>
      </w:pPr>
      <w:bookmarkStart w:id="13" w:name="_Toc29445"/>
      <w:bookmarkStart w:id="14" w:name="_Toc6715"/>
      <w:r>
        <w:rPr>
          <w:rFonts w:cs="Times New Roman"/>
        </w:rPr>
        <w:t>4.实施情况</w:t>
      </w:r>
      <w:bookmarkEnd w:id="13"/>
      <w:bookmarkEnd w:id="14"/>
    </w:p>
    <w:p>
      <w:pPr>
        <w:pStyle w:val="12"/>
        <w:ind w:firstLine="560"/>
        <w:rPr>
          <w:rFonts w:cs="Times New Roman"/>
        </w:rPr>
      </w:pPr>
      <w:r>
        <w:rPr>
          <w:rFonts w:hint="eastAsia" w:cs="Times New Roman"/>
        </w:rPr>
        <w:t>该项目2021年年初预算</w:t>
      </w:r>
      <w:r>
        <w:rPr>
          <w:rFonts w:hint="eastAsia" w:cs="Times New Roman"/>
          <w:lang w:eastAsia="zh-CN"/>
        </w:rPr>
        <w:t>经费</w:t>
      </w:r>
      <w:r>
        <w:rPr>
          <w:rFonts w:hint="eastAsia" w:cs="Times New Roman"/>
        </w:rPr>
        <w:t>168.50万元，</w:t>
      </w:r>
      <w:r>
        <w:rPr>
          <w:rFonts w:hint="eastAsia" w:cs="Times New Roman"/>
          <w:lang w:val="en-US" w:eastAsia="zh-CN"/>
        </w:rPr>
        <w:t>全年预算经费</w:t>
      </w:r>
      <w:r>
        <w:rPr>
          <w:rFonts w:hint="eastAsia" w:cs="Times New Roman"/>
        </w:rPr>
        <w:t>168.50万元</w:t>
      </w:r>
      <w:r>
        <w:rPr>
          <w:rFonts w:hint="eastAsia" w:cs="Times New Roman"/>
          <w:lang w:eastAsia="zh-CN"/>
        </w:rPr>
        <w:t>，全年</w:t>
      </w:r>
      <w:r>
        <w:rPr>
          <w:rFonts w:hint="eastAsia" w:cs="Times New Roman"/>
          <w:lang w:val="en-US" w:eastAsia="zh-CN"/>
        </w:rPr>
        <w:t>执行经费</w:t>
      </w:r>
      <w:r>
        <w:rPr>
          <w:rFonts w:hint="eastAsia" w:cs="Times New Roman"/>
          <w:color w:val="000000"/>
          <w:kern w:val="0"/>
          <w:szCs w:val="28"/>
        </w:rPr>
        <w:t>162.84331</w:t>
      </w:r>
      <w:r>
        <w:rPr>
          <w:rFonts w:hint="eastAsia" w:cs="Times New Roman"/>
        </w:rPr>
        <w:t>万元</w:t>
      </w:r>
      <w:r>
        <w:rPr>
          <w:rFonts w:hint="eastAsia" w:cs="Times New Roman"/>
          <w:lang w:eastAsia="zh-CN"/>
        </w:rPr>
        <w:t>，</w:t>
      </w:r>
      <w:r>
        <w:rPr>
          <w:rFonts w:hint="eastAsia" w:cs="Times New Roman"/>
          <w:lang w:val="en-US" w:eastAsia="zh-CN"/>
        </w:rPr>
        <w:t>预算执行率96.64%</w:t>
      </w:r>
      <w:r>
        <w:rPr>
          <w:rFonts w:hint="eastAsia" w:cs="Times New Roman"/>
        </w:rPr>
        <w:t>；完成了第七次人口普查、全区经济运行目标检测与分析等统计各专业工作。</w:t>
      </w:r>
    </w:p>
    <w:p>
      <w:pPr>
        <w:pStyle w:val="5"/>
        <w:ind w:firstLine="562"/>
        <w:rPr>
          <w:rFonts w:hint="eastAsia" w:eastAsia="仿宋" w:cs="Times New Roman"/>
          <w:lang w:eastAsia="zh-CN"/>
        </w:rPr>
      </w:pPr>
      <w:bookmarkStart w:id="15" w:name="_Toc27449"/>
      <w:bookmarkStart w:id="16" w:name="_Toc19423"/>
      <w:r>
        <w:rPr>
          <w:rFonts w:cs="Times New Roman"/>
        </w:rPr>
        <w:t>5.</w:t>
      </w:r>
      <w:bookmarkEnd w:id="15"/>
      <w:bookmarkEnd w:id="16"/>
      <w:r>
        <w:rPr>
          <w:rFonts w:hint="eastAsia" w:cs="Times New Roman"/>
          <w:lang w:eastAsia="zh-CN"/>
        </w:rPr>
        <w:t>项目预算及执行情况</w:t>
      </w:r>
    </w:p>
    <w:p>
      <w:pPr>
        <w:pStyle w:val="12"/>
        <w:ind w:firstLine="560"/>
        <w:rPr>
          <w:rFonts w:cs="Times New Roman"/>
          <w:color w:val="000000" w:themeColor="text1"/>
        </w:rPr>
      </w:pPr>
      <w:r>
        <w:rPr>
          <w:rFonts w:hint="eastAsia" w:cs="Times New Roman"/>
          <w:color w:val="000000" w:themeColor="text1"/>
        </w:rPr>
        <w:t>统计各专业工作经费</w:t>
      </w:r>
      <w:r>
        <w:rPr>
          <w:rFonts w:cs="Times New Roman"/>
          <w:color w:val="000000" w:themeColor="text1"/>
        </w:rPr>
        <w:t>202</w:t>
      </w:r>
      <w:r>
        <w:rPr>
          <w:rFonts w:hint="eastAsia" w:cs="Times New Roman"/>
          <w:color w:val="000000" w:themeColor="text1"/>
        </w:rPr>
        <w:t>1</w:t>
      </w:r>
      <w:r>
        <w:rPr>
          <w:rFonts w:cs="Times New Roman"/>
          <w:color w:val="000000" w:themeColor="text1"/>
        </w:rPr>
        <w:t>年</w:t>
      </w:r>
      <w:r>
        <w:rPr>
          <w:rFonts w:hint="eastAsia" w:cs="Times New Roman"/>
          <w:color w:val="000000" w:themeColor="text1"/>
        </w:rPr>
        <w:t>工作经费</w:t>
      </w:r>
      <w:r>
        <w:rPr>
          <w:rFonts w:cs="Times New Roman"/>
          <w:color w:val="000000" w:themeColor="text1"/>
        </w:rPr>
        <w:t>资金投入共</w:t>
      </w:r>
      <w:r>
        <w:rPr>
          <w:rFonts w:hint="eastAsia" w:cs="Times New Roman"/>
          <w:color w:val="000000"/>
          <w:kern w:val="0"/>
          <w:szCs w:val="28"/>
        </w:rPr>
        <w:t>162.84331</w:t>
      </w:r>
      <w:r>
        <w:rPr>
          <w:rFonts w:cs="Times New Roman"/>
          <w:color w:val="000000" w:themeColor="text1"/>
        </w:rPr>
        <w:t>万</w:t>
      </w:r>
      <w:r>
        <w:rPr>
          <w:rFonts w:hint="eastAsia" w:cs="Times New Roman"/>
          <w:color w:val="000000" w:themeColor="text1"/>
        </w:rPr>
        <w:t>元</w:t>
      </w:r>
      <w:r>
        <w:rPr>
          <w:rFonts w:cs="Times New Roman"/>
          <w:color w:val="000000" w:themeColor="text1"/>
        </w:rPr>
        <w:t xml:space="preserve">，经费使用情况： </w:t>
      </w:r>
    </w:p>
    <w:tbl>
      <w:tblPr>
        <w:tblStyle w:val="2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99"/>
        <w:gridCol w:w="1918"/>
        <w:gridCol w:w="214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w:t>
            </w:r>
            <w:r>
              <w:rPr>
                <w:rFonts w:hint="eastAsia" w:ascii="仿宋" w:hAnsi="仿宋" w:eastAsia="仿宋" w:cs="仿宋"/>
                <w:color w:val="000000"/>
                <w:kern w:val="0"/>
                <w:sz w:val="24"/>
                <w:lang w:eastAsia="zh-CN"/>
              </w:rPr>
              <w:t>执行</w:t>
            </w:r>
            <w:r>
              <w:rPr>
                <w:rFonts w:hint="eastAsia" w:ascii="仿宋" w:hAnsi="仿宋" w:eastAsia="仿宋" w:cs="仿宋"/>
                <w:color w:val="000000"/>
                <w:kern w:val="0"/>
                <w:sz w:val="24"/>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1</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劳务费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1160000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1153700</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2</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办公费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20000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20809.7</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104.05%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3</w:t>
            </w:r>
          </w:p>
        </w:tc>
        <w:tc>
          <w:tcPr>
            <w:tcW w:w="2099" w:type="dxa"/>
            <w:vAlign w:val="bottom"/>
          </w:tcPr>
          <w:p>
            <w:pPr>
              <w:widowControl/>
              <w:spacing w:line="240" w:lineRule="auto"/>
              <w:ind w:right="320"/>
              <w:jc w:val="center"/>
              <w:textAlignment w:val="bottom"/>
              <w:rPr>
                <w:rFonts w:ascii="仿宋" w:hAnsi="仿宋" w:eastAsia="仿宋" w:cs="仿宋"/>
                <w:sz w:val="24"/>
              </w:rPr>
            </w:pPr>
            <w:r>
              <w:rPr>
                <w:rFonts w:hint="eastAsia" w:ascii="仿宋" w:hAnsi="仿宋" w:eastAsia="仿宋" w:cs="仿宋"/>
                <w:color w:val="000000"/>
                <w:kern w:val="0"/>
                <w:sz w:val="24"/>
              </w:rPr>
              <w:t>其他工资福利支出</w:t>
            </w:r>
          </w:p>
        </w:tc>
        <w:tc>
          <w:tcPr>
            <w:tcW w:w="1918" w:type="dxa"/>
            <w:vAlign w:val="center"/>
          </w:tcPr>
          <w:p>
            <w:pPr>
              <w:widowControl/>
              <w:ind w:left="0" w:leftChars="0" w:right="320"/>
              <w:jc w:val="center"/>
              <w:textAlignment w:val="bottom"/>
              <w:rPr>
                <w:rFonts w:ascii="仿宋" w:hAnsi="仿宋" w:eastAsia="仿宋" w:cs="仿宋"/>
                <w:sz w:val="24"/>
              </w:rPr>
            </w:pPr>
            <w:r>
              <w:rPr>
                <w:rFonts w:hint="eastAsia" w:ascii="仿宋" w:hAnsi="仿宋" w:eastAsia="仿宋" w:cs="仿宋"/>
                <w:color w:val="000000"/>
                <w:kern w:val="0"/>
                <w:sz w:val="24"/>
              </w:rPr>
              <w:t xml:space="preserve">  140000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91000</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4</w:t>
            </w:r>
          </w:p>
        </w:tc>
        <w:tc>
          <w:tcPr>
            <w:tcW w:w="2099" w:type="dxa"/>
            <w:vAlign w:val="center"/>
          </w:tcPr>
          <w:p>
            <w:pPr>
              <w:widowControl/>
              <w:spacing w:line="400" w:lineRule="exact"/>
              <w:ind w:right="320"/>
              <w:jc w:val="center"/>
              <w:textAlignment w:val="center"/>
              <w:rPr>
                <w:rFonts w:ascii="仿宋" w:hAnsi="仿宋" w:eastAsia="仿宋" w:cs="仿宋"/>
                <w:sz w:val="24"/>
              </w:rPr>
            </w:pPr>
            <w:r>
              <w:rPr>
                <w:rFonts w:hint="eastAsia" w:ascii="仿宋" w:hAnsi="仿宋" w:eastAsia="仿宋" w:cs="仿宋"/>
                <w:color w:val="000000"/>
                <w:kern w:val="0"/>
                <w:sz w:val="24"/>
              </w:rPr>
              <w:t>其他商品和服务支出</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240000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203677</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5</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维修费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29920</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299.20%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6</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印刷费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100000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112838</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112.84%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7</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邮电费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15000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16488.4</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109.92%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gridSpan w:val="2"/>
            <w:vAlign w:val="center"/>
          </w:tcPr>
          <w:p>
            <w:pPr>
              <w:widowControl/>
              <w:ind w:right="320"/>
              <w:jc w:val="center"/>
              <w:textAlignment w:val="center"/>
              <w:rPr>
                <w:rFonts w:ascii="仿宋" w:hAnsi="仿宋" w:eastAsia="仿宋" w:cs="仿宋"/>
                <w:color w:val="000000"/>
                <w:kern w:val="0"/>
                <w:sz w:val="24"/>
              </w:rPr>
            </w:pPr>
            <w:r>
              <w:rPr>
                <w:rFonts w:hint="eastAsia" w:ascii="仿宋" w:hAnsi="仿宋" w:eastAsia="仿宋" w:cs="仿宋"/>
                <w:sz w:val="24"/>
              </w:rPr>
              <w:t>合  计</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1685000</w:t>
            </w:r>
          </w:p>
        </w:tc>
        <w:tc>
          <w:tcPr>
            <w:tcW w:w="2149" w:type="dxa"/>
            <w:vAlign w:val="center"/>
          </w:tcPr>
          <w:p>
            <w:pPr>
              <w:widowControl/>
              <w:ind w:right="320"/>
              <w:jc w:val="center"/>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szCs w:val="24"/>
              </w:rPr>
              <w:t>1628433.1</w:t>
            </w:r>
          </w:p>
        </w:tc>
        <w:tc>
          <w:tcPr>
            <w:tcW w:w="1746" w:type="dxa"/>
            <w:vAlign w:val="center"/>
          </w:tcPr>
          <w:p>
            <w:pPr>
              <w:widowControl/>
              <w:ind w:right="320"/>
              <w:jc w:val="center"/>
              <w:textAlignment w:val="center"/>
              <w:rPr>
                <w:rFonts w:ascii="仿宋" w:hAnsi="仿宋" w:eastAsia="仿宋" w:cs="仿宋"/>
                <w:sz w:val="24"/>
              </w:rPr>
            </w:pPr>
            <w:r>
              <w:rPr>
                <w:rFonts w:hint="eastAsia" w:ascii="宋体" w:hAnsi="宋体" w:eastAsia="宋体" w:cs="宋体"/>
                <w:color w:val="000000"/>
                <w:kern w:val="0"/>
                <w:sz w:val="24"/>
              </w:rPr>
              <w:t>96.64%</w:t>
            </w:r>
          </w:p>
        </w:tc>
      </w:tr>
    </w:tbl>
    <w:p>
      <w:pPr>
        <w:pStyle w:val="12"/>
        <w:ind w:firstLine="560"/>
        <w:rPr>
          <w:rFonts w:cs="Times New Roman"/>
        </w:rPr>
      </w:pPr>
      <w:r>
        <w:rPr>
          <w:rFonts w:cs="Times New Roman"/>
        </w:rPr>
        <w:t>根据</w:t>
      </w:r>
      <w:r>
        <w:rPr>
          <w:rFonts w:hint="eastAsia" w:cs="Times New Roman"/>
        </w:rPr>
        <w:t>漯河经济技术开发区统计中心</w:t>
      </w:r>
      <w:r>
        <w:rPr>
          <w:rFonts w:cs="Times New Roman"/>
        </w:rPr>
        <w:t>提供的相关资料，经核算，</w:t>
      </w:r>
      <w:r>
        <w:rPr>
          <w:rFonts w:hint="eastAsia" w:cs="Times New Roman"/>
          <w:b w:val="0"/>
          <w:bCs w:val="0"/>
          <w:caps w:val="0"/>
          <w:sz w:val="28"/>
          <w:szCs w:val="21"/>
          <w:lang w:eastAsia="zh-CN"/>
        </w:rPr>
        <w:t>统计各专业工作经费</w:t>
      </w:r>
      <w:r>
        <w:rPr>
          <w:rFonts w:hint="eastAsia" w:ascii="Times New Roman" w:hAnsi="Times New Roman" w:eastAsia="仿宋" w:cs="Times New Roman"/>
          <w:b w:val="0"/>
          <w:bCs w:val="0"/>
          <w:caps w:val="0"/>
          <w:sz w:val="28"/>
          <w:szCs w:val="21"/>
        </w:rPr>
        <w:t>年初预算数1685000</w:t>
      </w:r>
      <w:r>
        <w:rPr>
          <w:rFonts w:hint="eastAsia" w:ascii="Times New Roman" w:hAnsi="Times New Roman" w:eastAsia="仿宋" w:cs="Times New Roman"/>
          <w:b w:val="0"/>
          <w:bCs w:val="0"/>
          <w:caps w:val="0"/>
          <w:sz w:val="28"/>
          <w:szCs w:val="21"/>
          <w:highlight w:val="none"/>
        </w:rPr>
        <w:t>元，</w:t>
      </w:r>
      <w:r>
        <w:rPr>
          <w:rFonts w:hint="eastAsia" w:cs="Times New Roman"/>
        </w:rPr>
        <w:t>全年预算数</w:t>
      </w:r>
      <w:r>
        <w:rPr>
          <w:rFonts w:hint="eastAsia" w:ascii="Times New Roman" w:hAnsi="Times New Roman" w:eastAsia="仿宋" w:cs="Times New Roman"/>
          <w:b w:val="0"/>
          <w:bCs w:val="0"/>
          <w:caps w:val="0"/>
          <w:sz w:val="28"/>
          <w:szCs w:val="21"/>
        </w:rPr>
        <w:t>1685000</w:t>
      </w:r>
      <w:r>
        <w:rPr>
          <w:rFonts w:hint="eastAsia" w:cs="Times New Roman"/>
        </w:rPr>
        <w:t>元，实际执行1628433.1</w:t>
      </w:r>
      <w:r>
        <w:rPr>
          <w:rFonts w:cs="Times New Roman"/>
        </w:rPr>
        <w:t>元</w:t>
      </w:r>
      <w:r>
        <w:rPr>
          <w:rFonts w:hint="eastAsia" w:cs="Times New Roman"/>
        </w:rPr>
        <w:t>，预算执行率</w:t>
      </w:r>
      <w:r>
        <w:rPr>
          <w:rFonts w:hint="eastAsia" w:cs="Times New Roman"/>
          <w:lang w:val="en-US" w:eastAsia="zh-CN"/>
        </w:rPr>
        <w:t>96.64%</w:t>
      </w:r>
      <w:r>
        <w:rPr>
          <w:rFonts w:cs="Times New Roman"/>
        </w:rPr>
        <w:t>。全部工作均在项目实施计划时间内开展，并严格遵守相关规定进行。</w:t>
      </w:r>
      <w:bookmarkStart w:id="17" w:name="_Toc67315572"/>
    </w:p>
    <w:p>
      <w:pPr>
        <w:pStyle w:val="4"/>
        <w:ind w:firstLine="602"/>
        <w:rPr>
          <w:rFonts w:cs="Times New Roman"/>
        </w:rPr>
      </w:pPr>
      <w:bookmarkStart w:id="18" w:name="_Toc30997"/>
      <w:bookmarkStart w:id="19" w:name="_Toc403"/>
      <w:r>
        <w:rPr>
          <w:rFonts w:cs="Times New Roman"/>
        </w:rPr>
        <w:t>（二）项目绩效目标</w:t>
      </w:r>
      <w:bookmarkEnd w:id="17"/>
      <w:bookmarkEnd w:id="18"/>
      <w:bookmarkEnd w:id="19"/>
    </w:p>
    <w:p>
      <w:pPr>
        <w:pStyle w:val="5"/>
        <w:ind w:firstLine="562"/>
        <w:rPr>
          <w:rFonts w:cs="Times New Roman"/>
        </w:rPr>
      </w:pPr>
      <w:bookmarkStart w:id="20" w:name="_Toc20846"/>
      <w:bookmarkStart w:id="21" w:name="_Toc30237"/>
      <w:r>
        <w:rPr>
          <w:rFonts w:cs="Times New Roman"/>
        </w:rPr>
        <w:t>1.总体目标</w:t>
      </w:r>
      <w:bookmarkEnd w:id="20"/>
      <w:bookmarkEnd w:id="21"/>
    </w:p>
    <w:p>
      <w:pPr>
        <w:pStyle w:val="12"/>
        <w:ind w:firstLine="560"/>
        <w:rPr>
          <w:rFonts w:cs="Times New Roman"/>
        </w:rPr>
      </w:pPr>
      <w:r>
        <w:rPr>
          <w:rFonts w:hint="eastAsia" w:cs="Times New Roman"/>
        </w:rPr>
        <w:t>做好第七次全国人口普查两员报酬发放等相关工作。</w:t>
      </w:r>
    </w:p>
    <w:p>
      <w:pPr>
        <w:pStyle w:val="5"/>
        <w:ind w:firstLine="562"/>
        <w:rPr>
          <w:rFonts w:cs="Times New Roman"/>
        </w:rPr>
      </w:pPr>
      <w:bookmarkStart w:id="22" w:name="_Toc5178"/>
      <w:bookmarkStart w:id="23" w:name="_Toc30027"/>
      <w:r>
        <w:rPr>
          <w:rFonts w:cs="Times New Roman"/>
        </w:rPr>
        <w:t>2.阶段性目标</w:t>
      </w:r>
      <w:bookmarkEnd w:id="22"/>
      <w:bookmarkEnd w:id="23"/>
    </w:p>
    <w:p>
      <w:pPr>
        <w:pStyle w:val="12"/>
        <w:ind w:firstLine="560"/>
        <w:rPr>
          <w:rFonts w:cs="Times New Roman"/>
        </w:rPr>
      </w:pPr>
      <w:r>
        <w:rPr>
          <w:rFonts w:hint="eastAsia" w:cs="Times New Roman"/>
        </w:rPr>
        <w:t>（1）提供有价值的招商信息，至少两条。</w:t>
      </w:r>
    </w:p>
    <w:p>
      <w:pPr>
        <w:pStyle w:val="12"/>
        <w:ind w:firstLine="560"/>
        <w:rPr>
          <w:rFonts w:cs="Times New Roman"/>
        </w:rPr>
      </w:pPr>
      <w:r>
        <w:rPr>
          <w:rFonts w:hint="eastAsia" w:cs="Times New Roman"/>
        </w:rPr>
        <w:t>（2）完成工业、贸易、投资等专业报表上报工作。</w:t>
      </w:r>
    </w:p>
    <w:p>
      <w:pPr>
        <w:pStyle w:val="12"/>
        <w:ind w:firstLine="560"/>
        <w:rPr>
          <w:rFonts w:cs="Times New Roman"/>
        </w:rPr>
      </w:pPr>
      <w:r>
        <w:rPr>
          <w:rFonts w:hint="eastAsia" w:cs="Times New Roman"/>
        </w:rPr>
        <w:t>（3）做好第七次全国人口普查两员报酬发放工作。</w:t>
      </w:r>
    </w:p>
    <w:p>
      <w:pPr>
        <w:pStyle w:val="12"/>
        <w:ind w:firstLine="560"/>
        <w:rPr>
          <w:rFonts w:cs="Times New Roman"/>
        </w:rPr>
      </w:pPr>
      <w:r>
        <w:rPr>
          <w:rFonts w:hint="eastAsia" w:cs="Times New Roman"/>
        </w:rPr>
        <w:t>（4）配合做好争创全省优秀产业集聚区工作。</w:t>
      </w:r>
    </w:p>
    <w:p>
      <w:pPr>
        <w:pStyle w:val="12"/>
        <w:ind w:firstLine="560"/>
        <w:rPr>
          <w:rFonts w:cs="Times New Roman"/>
        </w:rPr>
      </w:pPr>
      <w:r>
        <w:rPr>
          <w:rFonts w:hint="eastAsia" w:cs="Times New Roman"/>
        </w:rPr>
        <w:t>（5）配合做好国家级和省级开发区综合评价工作。</w:t>
      </w:r>
    </w:p>
    <w:p>
      <w:pPr>
        <w:pStyle w:val="12"/>
        <w:ind w:firstLine="560"/>
        <w:rPr>
          <w:rFonts w:cs="Times New Roman"/>
        </w:rPr>
      </w:pPr>
      <w:r>
        <w:rPr>
          <w:rFonts w:hint="eastAsia" w:cs="Times New Roman"/>
        </w:rPr>
        <w:t>（6）统计名录库建设、“四上”企业入库工作。</w:t>
      </w:r>
    </w:p>
    <w:p>
      <w:pPr>
        <w:pStyle w:val="12"/>
        <w:ind w:firstLine="560"/>
        <w:rPr>
          <w:rFonts w:cs="Times New Roman"/>
        </w:rPr>
      </w:pPr>
      <w:r>
        <w:rPr>
          <w:rFonts w:hint="eastAsia" w:cs="Times New Roman"/>
        </w:rPr>
        <w:t>（7）培训制度建设，开展培训工作。</w:t>
      </w:r>
    </w:p>
    <w:p>
      <w:pPr>
        <w:pStyle w:val="12"/>
        <w:ind w:firstLine="560"/>
        <w:rPr>
          <w:rFonts w:cs="Times New Roman"/>
        </w:rPr>
      </w:pPr>
      <w:r>
        <w:rPr>
          <w:rFonts w:hint="eastAsia" w:cs="Times New Roman"/>
        </w:rPr>
        <w:t>（8）“四城同建”等工作。</w:t>
      </w:r>
    </w:p>
    <w:p>
      <w:pPr>
        <w:pStyle w:val="12"/>
        <w:ind w:firstLine="560"/>
        <w:rPr>
          <w:rFonts w:cs="Times New Roman"/>
        </w:rPr>
      </w:pPr>
      <w:r>
        <w:rPr>
          <w:rFonts w:hint="eastAsia" w:cs="Times New Roman"/>
        </w:rPr>
        <w:t>（9）上级、党工委、管委会等交办的其他重点工作。</w:t>
      </w:r>
    </w:p>
    <w:p>
      <w:pPr>
        <w:pStyle w:val="12"/>
        <w:ind w:firstLine="560"/>
        <w:rPr>
          <w:rFonts w:cs="Times New Roman"/>
          <w:highlight w:val="yellow"/>
        </w:rPr>
      </w:pPr>
      <w:r>
        <w:rPr>
          <w:rFonts w:cs="Times New Roman"/>
        </w:rPr>
        <w:t>项目绩效目标详见附件1。</w:t>
      </w:r>
    </w:p>
    <w:p>
      <w:pPr>
        <w:pStyle w:val="12"/>
        <w:ind w:firstLine="560"/>
        <w:rPr>
          <w:rFonts w:cs="Times New Roman"/>
          <w:highlight w:val="yellow"/>
        </w:rPr>
        <w:sectPr>
          <w:headerReference r:id="rId13" w:type="first"/>
          <w:footerReference r:id="rId15" w:type="first"/>
          <w:footerReference r:id="rId14" w:type="default"/>
          <w:pgSz w:w="11906" w:h="16838"/>
          <w:pgMar w:top="1440" w:right="1800" w:bottom="1440" w:left="1800" w:header="851" w:footer="992" w:gutter="0"/>
          <w:pgNumType w:start="1"/>
          <w:cols w:space="425" w:num="1"/>
          <w:titlePg/>
          <w:docGrid w:type="lines" w:linePitch="435" w:charSpace="0"/>
        </w:sectPr>
      </w:pPr>
    </w:p>
    <w:p>
      <w:pPr>
        <w:pStyle w:val="3"/>
        <w:rPr>
          <w:rFonts w:cs="Times New Roman"/>
        </w:rPr>
      </w:pPr>
      <w:bookmarkStart w:id="24" w:name="_Toc20647"/>
      <w:bookmarkStart w:id="25" w:name="_Toc67315573"/>
      <w:bookmarkStart w:id="26" w:name="_Toc10984"/>
      <w:r>
        <w:rPr>
          <w:rFonts w:cs="Times New Roman"/>
        </w:rPr>
        <w:t>二、绩效评价工作开展情况</w:t>
      </w:r>
      <w:bookmarkEnd w:id="24"/>
      <w:bookmarkEnd w:id="25"/>
      <w:bookmarkEnd w:id="26"/>
    </w:p>
    <w:p>
      <w:pPr>
        <w:pStyle w:val="4"/>
        <w:ind w:firstLine="602"/>
        <w:rPr>
          <w:rFonts w:cs="Times New Roman"/>
        </w:rPr>
      </w:pPr>
      <w:bookmarkStart w:id="27" w:name="_Toc28325"/>
      <w:bookmarkStart w:id="28" w:name="_Toc67315574"/>
      <w:bookmarkStart w:id="29" w:name="_Toc31046"/>
      <w:r>
        <w:rPr>
          <w:rFonts w:cs="Times New Roman"/>
        </w:rPr>
        <w:t>（一）绩效评价目的、对象和范围</w:t>
      </w:r>
      <w:bookmarkEnd w:id="27"/>
      <w:bookmarkEnd w:id="28"/>
      <w:bookmarkEnd w:id="29"/>
    </w:p>
    <w:p>
      <w:pPr>
        <w:pStyle w:val="5"/>
        <w:ind w:firstLine="562"/>
        <w:rPr>
          <w:rFonts w:cs="Times New Roman"/>
        </w:rPr>
      </w:pPr>
      <w:bookmarkStart w:id="30" w:name="_Toc67315575"/>
      <w:bookmarkStart w:id="31" w:name="_Toc16164"/>
      <w:bookmarkStart w:id="32" w:name="_Toc23843"/>
      <w:r>
        <w:rPr>
          <w:rFonts w:cs="Times New Roman"/>
        </w:rPr>
        <w:t>1.绩效评价目的</w:t>
      </w:r>
      <w:bookmarkEnd w:id="30"/>
      <w:bookmarkEnd w:id="31"/>
      <w:bookmarkEnd w:id="32"/>
    </w:p>
    <w:p>
      <w:pPr>
        <w:pStyle w:val="12"/>
        <w:ind w:firstLine="560"/>
        <w:rPr>
          <w:rFonts w:cs="Times New Roman"/>
        </w:rPr>
      </w:pPr>
      <w:r>
        <w:rPr>
          <w:rFonts w:cs="Times New Roman"/>
        </w:rPr>
        <w:t>开展</w:t>
      </w:r>
      <w:r>
        <w:rPr>
          <w:rFonts w:hint="eastAsia" w:cs="Times New Roman"/>
        </w:rPr>
        <w:t>统计各专业工作经费</w:t>
      </w:r>
      <w:r>
        <w:rPr>
          <w:rFonts w:cs="Times New Roman"/>
        </w:rPr>
        <w:t>的绩效评价，了解项目的立项情况和执行情况，分析项目绩效目标的实现情况和项目社会效益、可持续影响等情况，有助于预算单位明确绩效目标；通过发现问题，总结经验，提出改进意见和建议，为加强财政资金管理，规范财政支出行为，提高财政资金的使用效益和项目管理水平，更合理安排</w:t>
      </w:r>
      <w:r>
        <w:rPr>
          <w:rFonts w:hint="eastAsia" w:cs="Times New Roman"/>
        </w:rPr>
        <w:t>统计各专业工作经费</w:t>
      </w:r>
      <w:r>
        <w:rPr>
          <w:rFonts w:cs="Times New Roman"/>
        </w:rPr>
        <w:t>提供决策参考依据，也为管理部门对今后年度工作的计划安排、资金下拨及使用和工作的开展，提供一定的借鉴意义。</w:t>
      </w:r>
    </w:p>
    <w:p>
      <w:pPr>
        <w:pStyle w:val="5"/>
        <w:ind w:firstLine="562"/>
        <w:rPr>
          <w:rFonts w:cs="Times New Roman"/>
        </w:rPr>
      </w:pPr>
      <w:bookmarkStart w:id="33" w:name="_Toc28215"/>
      <w:bookmarkStart w:id="34" w:name="_Toc67315576"/>
      <w:bookmarkStart w:id="35" w:name="_Toc25102"/>
      <w:r>
        <w:rPr>
          <w:rFonts w:cs="Times New Roman"/>
        </w:rPr>
        <w:t>2.绩效评价对象</w:t>
      </w:r>
      <w:bookmarkEnd w:id="33"/>
      <w:bookmarkEnd w:id="34"/>
      <w:bookmarkEnd w:id="35"/>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漯河经济技术开发区统计中心</w:t>
      </w:r>
      <w:r>
        <w:rPr>
          <w:rFonts w:cs="Times New Roman"/>
        </w:rPr>
        <w:t>“</w:t>
      </w:r>
      <w:r>
        <w:rPr>
          <w:rFonts w:hint="eastAsia" w:cs="Times New Roman"/>
        </w:rPr>
        <w:t>统计各专业工作经费</w:t>
      </w:r>
      <w:r>
        <w:rPr>
          <w:rFonts w:cs="Times New Roman"/>
        </w:rPr>
        <w:t>”。</w:t>
      </w:r>
    </w:p>
    <w:p>
      <w:pPr>
        <w:pStyle w:val="5"/>
        <w:ind w:firstLine="562"/>
        <w:rPr>
          <w:rFonts w:cs="Times New Roman"/>
        </w:rPr>
      </w:pPr>
      <w:bookmarkStart w:id="36" w:name="_Toc16561"/>
      <w:bookmarkStart w:id="37" w:name="_Toc18503"/>
      <w:r>
        <w:rPr>
          <w:rFonts w:cs="Times New Roman"/>
        </w:rPr>
        <w:t>3.绩效评价范围</w:t>
      </w:r>
      <w:bookmarkEnd w:id="36"/>
      <w:bookmarkEnd w:id="37"/>
    </w:p>
    <w:p>
      <w:pPr>
        <w:pStyle w:val="1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统计各专业工作经费</w:t>
      </w:r>
      <w:r>
        <w:rPr>
          <w:rFonts w:cs="Times New Roman"/>
        </w:rPr>
        <w:t>”绩效目标的设定情况，资金投入和使用情况，为实现绩效目标制定的制度、采取的措施，绩效目标的实现程度及效果，影响目标实现的因素，绩效评价的其他内容。</w:t>
      </w:r>
    </w:p>
    <w:p>
      <w:pPr>
        <w:pStyle w:val="4"/>
        <w:ind w:firstLine="602"/>
        <w:rPr>
          <w:rFonts w:cs="Times New Roman"/>
        </w:rPr>
      </w:pPr>
      <w:bookmarkStart w:id="38" w:name="_Toc26978"/>
      <w:bookmarkStart w:id="39" w:name="_Toc8144"/>
      <w:bookmarkStart w:id="40" w:name="_Toc67315577"/>
      <w:r>
        <w:rPr>
          <w:rFonts w:cs="Times New Roman"/>
        </w:rPr>
        <w:t>（二）绩效评价原则、评价指标体系、评价方法及评价依据</w:t>
      </w:r>
      <w:bookmarkEnd w:id="38"/>
      <w:bookmarkEnd w:id="39"/>
      <w:bookmarkEnd w:id="40"/>
    </w:p>
    <w:p>
      <w:pPr>
        <w:pStyle w:val="5"/>
        <w:ind w:firstLine="562"/>
        <w:rPr>
          <w:rFonts w:cs="Times New Roman"/>
        </w:rPr>
      </w:pPr>
      <w:bookmarkStart w:id="41" w:name="_Toc12957"/>
      <w:bookmarkStart w:id="42" w:name="_Toc67315578"/>
      <w:bookmarkStart w:id="43" w:name="_Toc24010"/>
      <w:r>
        <w:rPr>
          <w:rFonts w:cs="Times New Roman"/>
        </w:rPr>
        <w:t>1. 绩效评价原则</w:t>
      </w:r>
      <w:bookmarkEnd w:id="41"/>
      <w:bookmarkEnd w:id="42"/>
      <w:bookmarkEnd w:id="43"/>
    </w:p>
    <w:p>
      <w:pPr>
        <w:pStyle w:val="12"/>
        <w:ind w:firstLine="560"/>
        <w:rPr>
          <w:rFonts w:cs="Times New Roman"/>
        </w:rPr>
      </w:pPr>
      <w:r>
        <w:rPr>
          <w:rFonts w:cs="Times New Roman"/>
        </w:rPr>
        <w:t>在本次绩效评价过程中，遵循以下基本原则：</w:t>
      </w:r>
    </w:p>
    <w:p>
      <w:pPr>
        <w:pStyle w:val="12"/>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12"/>
        <w:ind w:firstLine="560"/>
        <w:rPr>
          <w:rFonts w:cs="Times New Roman"/>
        </w:rPr>
      </w:pPr>
      <w:r>
        <w:rPr>
          <w:rFonts w:cs="Times New Roman"/>
        </w:rPr>
        <w:t>（2）公正公开。绩效评价客观、公正，标准统一、资料可靠，依法公开并接受监督。</w:t>
      </w:r>
    </w:p>
    <w:p>
      <w:pPr>
        <w:pStyle w:val="12"/>
        <w:ind w:firstLine="560"/>
        <w:rPr>
          <w:rFonts w:cs="Times New Roman"/>
        </w:rPr>
      </w:pPr>
      <w:r>
        <w:rPr>
          <w:rFonts w:cs="Times New Roman"/>
        </w:rPr>
        <w:t>（3）绩效相关。绩效评价针对具体支出及其产出绩效进行，评价结果清晰反映支出和产出绩效之间的紧密对应关系。</w:t>
      </w:r>
    </w:p>
    <w:p>
      <w:pPr>
        <w:pStyle w:val="5"/>
        <w:ind w:firstLine="562"/>
        <w:rPr>
          <w:rFonts w:cs="Times New Roman"/>
        </w:rPr>
      </w:pPr>
      <w:bookmarkStart w:id="44" w:name="_Toc67315579"/>
      <w:bookmarkStart w:id="45" w:name="_Toc25078"/>
      <w:bookmarkStart w:id="46" w:name="_Toc27785"/>
      <w:r>
        <w:rPr>
          <w:rFonts w:cs="Times New Roman"/>
        </w:rPr>
        <w:t>2.评价指标体系</w:t>
      </w:r>
      <w:bookmarkEnd w:id="44"/>
      <w:bookmarkEnd w:id="45"/>
      <w:bookmarkEnd w:id="46"/>
    </w:p>
    <w:p>
      <w:pPr>
        <w:pStyle w:val="12"/>
        <w:ind w:firstLine="560"/>
        <w:rPr>
          <w:rFonts w:cs="Times New Roman"/>
        </w:rPr>
      </w:pPr>
      <w:r>
        <w:rPr>
          <w:rFonts w:cs="Times New Roman"/>
        </w:rPr>
        <w:t>根据《中共漯河市委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漯河经济技术开发区统计中心</w:t>
      </w:r>
      <w:r>
        <w:rPr>
          <w:rFonts w:cs="Times New Roman"/>
        </w:rPr>
        <w:t>“</w:t>
      </w:r>
      <w:r>
        <w:rPr>
          <w:rFonts w:hint="eastAsia" w:cs="Times New Roman"/>
        </w:rPr>
        <w:t>统计各专业工作经费</w:t>
      </w:r>
      <w:r>
        <w:rPr>
          <w:rFonts w:cs="Times New Roman"/>
        </w:rPr>
        <w:t>”专项资金支出绩效的情况，本次绩效评价指标体系由决策（权重15）、过程（权重25）、产出（权重30）、效益（权重30）四大类一级指标，项目立项、绩效目标、资金安排、业务管理、预算管理、产出数量、产出时效、产出质量、产出成本、社会效益、可持续影响、社会公众满意度1</w:t>
      </w:r>
      <w:r>
        <w:rPr>
          <w:rFonts w:hint="eastAsia" w:cs="Times New Roman"/>
          <w:lang w:val="en-US" w:eastAsia="zh-CN"/>
        </w:rPr>
        <w:t>2</w:t>
      </w:r>
      <w:r>
        <w:rPr>
          <w:rFonts w:cs="Times New Roman"/>
        </w:rPr>
        <w:t>个二级指标，立项依据充分性、立项程序规范性、绩效目标合理性、绩效指标明确性等20个三级指标，</w:t>
      </w:r>
      <w:r>
        <w:rPr>
          <w:rFonts w:cs="Times New Roman"/>
          <w:highlight w:val="none"/>
        </w:rPr>
        <w:t>以及</w:t>
      </w:r>
      <w:r>
        <w:rPr>
          <w:rFonts w:hint="eastAsia" w:cs="Times New Roman"/>
          <w:highlight w:val="none"/>
        </w:rPr>
        <w:t>5</w:t>
      </w:r>
      <w:r>
        <w:rPr>
          <w:rFonts w:hint="eastAsia" w:cs="Times New Roman"/>
          <w:highlight w:val="none"/>
          <w:lang w:val="en-US" w:eastAsia="zh-CN"/>
        </w:rPr>
        <w:t>7</w:t>
      </w:r>
      <w:r>
        <w:rPr>
          <w:rFonts w:cs="Times New Roman"/>
          <w:highlight w:val="none"/>
        </w:rPr>
        <w:t>个四级</w:t>
      </w:r>
      <w:r>
        <w:rPr>
          <w:rFonts w:cs="Times New Roman"/>
        </w:rPr>
        <w:t>指标组成，通过指标对比和分析对该项目支出进行绩效评价。</w:t>
      </w:r>
    </w:p>
    <w:p>
      <w:pPr>
        <w:pStyle w:val="12"/>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12"/>
        <w:ind w:firstLine="560"/>
        <w:rPr>
          <w:rFonts w:cs="Times New Roman"/>
        </w:rPr>
      </w:pPr>
      <w:r>
        <w:rPr>
          <w:rFonts w:cs="Times New Roman"/>
        </w:rPr>
        <w:t>评分等级为：</w:t>
      </w:r>
    </w:p>
    <w:p>
      <w:pPr>
        <w:pStyle w:val="12"/>
        <w:ind w:firstLine="560"/>
        <w:rPr>
          <w:rFonts w:cs="Times New Roman"/>
        </w:rPr>
      </w:pPr>
      <w:r>
        <w:rPr>
          <w:rFonts w:cs="Times New Roman"/>
        </w:rPr>
        <w:t>优：90（含）-100分；</w:t>
      </w:r>
    </w:p>
    <w:p>
      <w:pPr>
        <w:pStyle w:val="12"/>
        <w:ind w:firstLine="560"/>
        <w:rPr>
          <w:rFonts w:cs="Times New Roman"/>
        </w:rPr>
      </w:pPr>
      <w:r>
        <w:rPr>
          <w:rFonts w:cs="Times New Roman"/>
        </w:rPr>
        <w:t>良：80（含）-90分；</w:t>
      </w:r>
    </w:p>
    <w:p>
      <w:pPr>
        <w:pStyle w:val="12"/>
        <w:ind w:firstLine="560"/>
        <w:rPr>
          <w:rFonts w:cs="Times New Roman"/>
        </w:rPr>
      </w:pPr>
      <w:r>
        <w:rPr>
          <w:rFonts w:cs="Times New Roman"/>
        </w:rPr>
        <w:t>中：60（含）-80分；</w:t>
      </w:r>
    </w:p>
    <w:p>
      <w:pPr>
        <w:pStyle w:val="12"/>
        <w:ind w:firstLine="560"/>
        <w:rPr>
          <w:rFonts w:cs="Times New Roman"/>
        </w:rPr>
      </w:pPr>
      <w:r>
        <w:rPr>
          <w:rFonts w:cs="Times New Roman"/>
        </w:rPr>
        <w:t>差：小于60分。</w:t>
      </w:r>
    </w:p>
    <w:p>
      <w:pPr>
        <w:pStyle w:val="5"/>
        <w:ind w:firstLine="562"/>
        <w:rPr>
          <w:rFonts w:cs="Times New Roman"/>
        </w:rPr>
      </w:pPr>
      <w:bookmarkStart w:id="47" w:name="_Toc67315580"/>
      <w:bookmarkStart w:id="48" w:name="_Toc16572"/>
      <w:bookmarkStart w:id="49" w:name="_Toc5690"/>
      <w:r>
        <w:rPr>
          <w:rFonts w:cs="Times New Roman"/>
        </w:rPr>
        <w:t>3.评价方法</w:t>
      </w:r>
      <w:bookmarkEnd w:id="47"/>
      <w:bookmarkEnd w:id="48"/>
      <w:bookmarkEnd w:id="49"/>
    </w:p>
    <w:p>
      <w:pPr>
        <w:pStyle w:val="12"/>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12"/>
        <w:ind w:firstLine="560"/>
        <w:rPr>
          <w:rFonts w:cs="Times New Roman"/>
        </w:rPr>
      </w:pPr>
      <w:r>
        <w:rPr>
          <w:rFonts w:cs="Times New Roman"/>
        </w:rPr>
        <w:t>（1）成本效益分析法：将一定时期内的支出与效益进行对比分析，以评价绩效目标实现程度。</w:t>
      </w:r>
    </w:p>
    <w:p>
      <w:pPr>
        <w:pStyle w:val="12"/>
        <w:ind w:firstLine="560"/>
        <w:rPr>
          <w:rFonts w:cs="Times New Roman"/>
        </w:rPr>
      </w:pPr>
      <w:r>
        <w:rPr>
          <w:rFonts w:cs="Times New Roman"/>
        </w:rPr>
        <w:t>（2）比较法：通过对绩效目标与实施效果、历史与当期情况、不同部门和地区同类支出的比较，综合分析绩效目标实现程度。</w:t>
      </w:r>
    </w:p>
    <w:p>
      <w:pPr>
        <w:pStyle w:val="12"/>
        <w:ind w:firstLine="560"/>
        <w:rPr>
          <w:rFonts w:cs="Times New Roman"/>
        </w:rPr>
      </w:pPr>
      <w:r>
        <w:rPr>
          <w:rFonts w:cs="Times New Roman"/>
        </w:rPr>
        <w:t>（3）因素分析法：通过综合分析影响绩效目标实现、实施效果的内外因素，评价绩效目标实现程度。</w:t>
      </w:r>
    </w:p>
    <w:p>
      <w:pPr>
        <w:pStyle w:val="12"/>
        <w:ind w:firstLine="560"/>
        <w:rPr>
          <w:rFonts w:cs="Times New Roman"/>
        </w:rPr>
      </w:pPr>
      <w:r>
        <w:rPr>
          <w:rFonts w:cs="Times New Roman"/>
        </w:rPr>
        <w:t>（4）公众评判法：通过专家评估、公众问卷及抽样调查等对财政支出效果进行评判，评价绩效目标实现程度。</w:t>
      </w:r>
    </w:p>
    <w:p>
      <w:pPr>
        <w:pStyle w:val="5"/>
        <w:ind w:firstLine="562"/>
        <w:rPr>
          <w:rFonts w:cs="Times New Roman"/>
        </w:rPr>
      </w:pPr>
      <w:bookmarkStart w:id="50" w:name="_Toc18317"/>
      <w:bookmarkStart w:id="51" w:name="_Toc29738"/>
      <w:r>
        <w:rPr>
          <w:rFonts w:cs="Times New Roman"/>
        </w:rPr>
        <w:t>4.评价依据</w:t>
      </w:r>
      <w:bookmarkEnd w:id="50"/>
      <w:bookmarkEnd w:id="51"/>
    </w:p>
    <w:p>
      <w:pPr>
        <w:pStyle w:val="12"/>
        <w:ind w:firstLine="560"/>
        <w:jc w:val="left"/>
        <w:rPr>
          <w:rFonts w:cs="Times New Roman"/>
        </w:rPr>
      </w:pPr>
      <w:r>
        <w:rPr>
          <w:rFonts w:cs="Times New Roman"/>
        </w:rPr>
        <w:t>（1）《预算法》；</w:t>
      </w:r>
    </w:p>
    <w:p>
      <w:pPr>
        <w:pStyle w:val="12"/>
        <w:ind w:firstLine="560"/>
        <w:jc w:val="left"/>
        <w:rPr>
          <w:rFonts w:cs="Times New Roman"/>
        </w:rPr>
      </w:pPr>
      <w:r>
        <w:rPr>
          <w:rFonts w:cs="Times New Roman"/>
        </w:rPr>
        <w:t>（2）《项目支出绩效评价管理办法》财预〔2020〕10 号；</w:t>
      </w:r>
    </w:p>
    <w:p>
      <w:pPr>
        <w:pStyle w:val="12"/>
        <w:ind w:firstLine="560"/>
        <w:jc w:val="left"/>
        <w:rPr>
          <w:rFonts w:cs="Times New Roman"/>
        </w:rPr>
      </w:pPr>
      <w:r>
        <w:rPr>
          <w:rFonts w:cs="Times New Roman"/>
        </w:rPr>
        <w:t>（3）《中共中央国务院关于全面实施预算绩效管理的意见》（中发〔2018〕34号）；</w:t>
      </w:r>
    </w:p>
    <w:p>
      <w:pPr>
        <w:pStyle w:val="12"/>
        <w:ind w:firstLine="560"/>
        <w:jc w:val="left"/>
        <w:rPr>
          <w:rFonts w:cs="Times New Roman"/>
        </w:rPr>
      </w:pPr>
      <w:r>
        <w:rPr>
          <w:rFonts w:cs="Times New Roman"/>
        </w:rPr>
        <w:t>（4）《财政部关于进一步完善中央部门项目支出预算管理的通知》（财预〔2017〕96号）；</w:t>
      </w:r>
    </w:p>
    <w:p>
      <w:pPr>
        <w:pStyle w:val="12"/>
        <w:ind w:firstLine="560"/>
        <w:jc w:val="left"/>
        <w:rPr>
          <w:rFonts w:cs="Times New Roman"/>
        </w:rPr>
      </w:pPr>
      <w:r>
        <w:rPr>
          <w:rFonts w:cs="Times New Roman"/>
        </w:rPr>
        <w:t>（5）《财政部关于推进预算绩效管理的指导意见》（财预〔2014〕416号）；</w:t>
      </w:r>
    </w:p>
    <w:p>
      <w:pPr>
        <w:pStyle w:val="12"/>
        <w:ind w:firstLine="560"/>
        <w:jc w:val="left"/>
        <w:rPr>
          <w:rFonts w:cs="Times New Roman"/>
        </w:rPr>
      </w:pPr>
      <w:r>
        <w:rPr>
          <w:rFonts w:cs="Times New Roman"/>
        </w:rPr>
        <w:t>（6）</w:t>
      </w:r>
      <w:r>
        <w:rPr>
          <w:rFonts w:hint="eastAsia" w:cs="Times New Roman"/>
        </w:rPr>
        <w:t>《</w:t>
      </w:r>
      <w:r>
        <w:rPr>
          <w:rFonts w:cs="Times New Roman"/>
        </w:rPr>
        <w:t>统计法</w:t>
      </w:r>
      <w:r>
        <w:rPr>
          <w:rFonts w:hint="eastAsia" w:cs="Times New Roman"/>
        </w:rPr>
        <w:t>》；</w:t>
      </w:r>
    </w:p>
    <w:p>
      <w:pPr>
        <w:pStyle w:val="12"/>
        <w:ind w:firstLine="560"/>
        <w:jc w:val="left"/>
        <w:rPr>
          <w:rFonts w:cs="Times New Roman"/>
        </w:rPr>
      </w:pPr>
      <w:r>
        <w:rPr>
          <w:rFonts w:hint="eastAsia" w:cs="Times New Roman"/>
        </w:rPr>
        <w:t>（7）《全国人口普查条例》；</w:t>
      </w:r>
    </w:p>
    <w:p>
      <w:pPr>
        <w:pStyle w:val="12"/>
        <w:ind w:firstLine="560"/>
        <w:jc w:val="left"/>
        <w:rPr>
          <w:rFonts w:cs="Times New Roman"/>
        </w:rPr>
      </w:pPr>
      <w:r>
        <w:rPr>
          <w:rFonts w:hint="eastAsia" w:cs="Times New Roman"/>
        </w:rPr>
        <w:t>（8）</w:t>
      </w:r>
      <w:r>
        <w:rPr>
          <w:rFonts w:cs="Times New Roman"/>
        </w:rPr>
        <w:t>《河南省预算监督条例》</w:t>
      </w:r>
      <w:r>
        <w:rPr>
          <w:rFonts w:hint="eastAsia" w:cs="Times New Roman"/>
        </w:rPr>
        <w:t>；</w:t>
      </w:r>
    </w:p>
    <w:p>
      <w:pPr>
        <w:pStyle w:val="12"/>
        <w:ind w:firstLine="560"/>
        <w:jc w:val="left"/>
        <w:rPr>
          <w:rFonts w:cs="Times New Roman"/>
        </w:rPr>
      </w:pPr>
      <w:r>
        <w:rPr>
          <w:rFonts w:cs="Times New Roman"/>
        </w:rPr>
        <w:t>（</w:t>
      </w:r>
      <w:r>
        <w:rPr>
          <w:rFonts w:hint="eastAsia" w:cs="Times New Roman"/>
        </w:rPr>
        <w:t>9</w:t>
      </w:r>
      <w:r>
        <w:rPr>
          <w:rFonts w:cs="Times New Roman"/>
        </w:rPr>
        <w:t>）《中共河南省委河南省人民政府关于全面实施预算绩效管理的实施意见》（豫发〔2019〕10号）；</w:t>
      </w:r>
    </w:p>
    <w:p>
      <w:pPr>
        <w:pStyle w:val="12"/>
        <w:ind w:firstLine="560"/>
        <w:jc w:val="left"/>
        <w:rPr>
          <w:rFonts w:cs="Times New Roman"/>
        </w:rPr>
      </w:pPr>
      <w:r>
        <w:rPr>
          <w:rFonts w:cs="Times New Roman"/>
        </w:rPr>
        <w:t>（</w:t>
      </w:r>
      <w:r>
        <w:rPr>
          <w:rFonts w:hint="eastAsia" w:cs="Times New Roman"/>
        </w:rPr>
        <w:t>10</w:t>
      </w:r>
      <w:r>
        <w:rPr>
          <w:rFonts w:cs="Times New Roman"/>
        </w:rPr>
        <w:t>）《河南省省级预算项目支出绩效评价管理办法》，豫财效〔2020〕10 号；</w:t>
      </w:r>
    </w:p>
    <w:p>
      <w:pPr>
        <w:pStyle w:val="12"/>
        <w:ind w:firstLine="560"/>
        <w:jc w:val="left"/>
        <w:rPr>
          <w:rFonts w:cs="Times New Roman"/>
        </w:rPr>
      </w:pPr>
      <w:r>
        <w:rPr>
          <w:rFonts w:cs="Times New Roman"/>
        </w:rPr>
        <w:t>（</w:t>
      </w:r>
      <w:r>
        <w:rPr>
          <w:rFonts w:hint="eastAsia" w:cs="Times New Roman"/>
        </w:rPr>
        <w:t>11</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2</w:t>
      </w:r>
      <w:r>
        <w:rPr>
          <w:rFonts w:cs="Times New Roman"/>
        </w:rPr>
        <w:t>）《漯河市市级预算项目政策事前绩效评估管理暂行办法》；</w:t>
      </w:r>
    </w:p>
    <w:p>
      <w:pPr>
        <w:pStyle w:val="12"/>
        <w:ind w:firstLine="560"/>
        <w:jc w:val="left"/>
        <w:rPr>
          <w:rFonts w:cs="Times New Roman"/>
        </w:rPr>
      </w:pPr>
      <w:r>
        <w:rPr>
          <w:rFonts w:cs="Times New Roman"/>
        </w:rPr>
        <w:t>（1</w:t>
      </w:r>
      <w:r>
        <w:rPr>
          <w:rFonts w:hint="eastAsia" w:cs="Times New Roman"/>
        </w:rPr>
        <w:t>3</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12"/>
        <w:ind w:firstLine="560"/>
        <w:jc w:val="left"/>
        <w:rPr>
          <w:rFonts w:cs="Times New Roman"/>
        </w:rPr>
      </w:pPr>
      <w:r>
        <w:rPr>
          <w:rFonts w:cs="Times New Roman"/>
        </w:rPr>
        <w:t>（1</w:t>
      </w:r>
      <w:r>
        <w:rPr>
          <w:rFonts w:hint="eastAsia" w:cs="Times New Roman"/>
        </w:rPr>
        <w:t>4</w:t>
      </w:r>
      <w:r>
        <w:rPr>
          <w:rFonts w:cs="Times New Roman"/>
        </w:rPr>
        <w:t>）《漯河市市级预算绩效评价结果应用管理暂行办法》；</w:t>
      </w:r>
    </w:p>
    <w:p>
      <w:pPr>
        <w:pStyle w:val="12"/>
        <w:ind w:firstLine="560"/>
        <w:jc w:val="left"/>
        <w:rPr>
          <w:rFonts w:cs="Times New Roman"/>
        </w:rPr>
      </w:pPr>
      <w:r>
        <w:rPr>
          <w:rFonts w:cs="Times New Roman"/>
        </w:rPr>
        <w:t>（1</w:t>
      </w:r>
      <w:r>
        <w:rPr>
          <w:rFonts w:hint="eastAsia" w:cs="Times New Roman"/>
        </w:rPr>
        <w:t>5</w:t>
      </w:r>
      <w:r>
        <w:rPr>
          <w:rFonts w:cs="Times New Roman"/>
        </w:rPr>
        <w:t>）《漯河市政府向社会力量购买服务实施办法》（漯政办〔2018〕4号）；</w:t>
      </w:r>
    </w:p>
    <w:p>
      <w:pPr>
        <w:pStyle w:val="12"/>
        <w:ind w:firstLine="560"/>
        <w:jc w:val="left"/>
        <w:rPr>
          <w:rFonts w:cs="Times New Roman"/>
        </w:rPr>
      </w:pPr>
      <w:r>
        <w:rPr>
          <w:rFonts w:cs="Times New Roman"/>
        </w:rPr>
        <w:t>（1</w:t>
      </w:r>
      <w:r>
        <w:rPr>
          <w:rFonts w:hint="eastAsia" w:cs="Times New Roman"/>
        </w:rPr>
        <w:t>6</w:t>
      </w:r>
      <w:r>
        <w:rPr>
          <w:rFonts w:cs="Times New Roman"/>
        </w:rPr>
        <w:t>）国家和省有关法律、行政法规及规章制度；</w:t>
      </w:r>
    </w:p>
    <w:p>
      <w:pPr>
        <w:pStyle w:val="12"/>
        <w:ind w:firstLine="560"/>
        <w:jc w:val="left"/>
        <w:rPr>
          <w:rFonts w:cs="Times New Roman"/>
        </w:rPr>
      </w:pPr>
      <w:r>
        <w:rPr>
          <w:rFonts w:cs="Times New Roman"/>
        </w:rPr>
        <w:t>（1</w:t>
      </w:r>
      <w:r>
        <w:rPr>
          <w:rFonts w:hint="eastAsia" w:cs="Times New Roman"/>
        </w:rPr>
        <w:t>7</w:t>
      </w:r>
      <w:r>
        <w:rPr>
          <w:rFonts w:cs="Times New Roman"/>
        </w:rPr>
        <w:t>）财政部门、主管部门制定的有关专项资金管理的政策、规章制度、管理办法、相关财务会计法规；</w:t>
      </w:r>
    </w:p>
    <w:p>
      <w:pPr>
        <w:pStyle w:val="12"/>
        <w:ind w:firstLine="560"/>
        <w:jc w:val="left"/>
        <w:rPr>
          <w:rFonts w:cs="Times New Roman"/>
        </w:rPr>
      </w:pPr>
      <w:r>
        <w:rPr>
          <w:rFonts w:cs="Times New Roman"/>
        </w:rPr>
        <w:t>（1</w:t>
      </w:r>
      <w:r>
        <w:rPr>
          <w:rFonts w:hint="eastAsia" w:cs="Times New Roman"/>
        </w:rPr>
        <w:t>8</w:t>
      </w:r>
      <w:r>
        <w:rPr>
          <w:rFonts w:cs="Times New Roman"/>
        </w:rPr>
        <w:t>）</w:t>
      </w:r>
      <w:r>
        <w:rPr>
          <w:rFonts w:hint="eastAsia" w:cs="Times New Roman"/>
        </w:rPr>
        <w:t>统计中心</w:t>
      </w:r>
      <w:r>
        <w:rPr>
          <w:rFonts w:cs="Times New Roman"/>
        </w:rPr>
        <w:t>相关制度管理规定，项目财务会计资料及其相关资料。</w:t>
      </w:r>
    </w:p>
    <w:p>
      <w:pPr>
        <w:pStyle w:val="4"/>
        <w:ind w:firstLine="602"/>
        <w:rPr>
          <w:rFonts w:cs="Times New Roman"/>
        </w:rPr>
      </w:pPr>
      <w:bookmarkStart w:id="52" w:name="_Toc26639"/>
      <w:bookmarkStart w:id="53" w:name="_Toc67315581"/>
      <w:bookmarkStart w:id="54" w:name="_Toc22485"/>
      <w:r>
        <w:rPr>
          <w:rFonts w:cs="Times New Roman"/>
        </w:rPr>
        <w:t>（三）绩效评价工作过程</w:t>
      </w:r>
      <w:bookmarkEnd w:id="52"/>
      <w:bookmarkEnd w:id="53"/>
      <w:bookmarkEnd w:id="54"/>
    </w:p>
    <w:p>
      <w:pPr>
        <w:pStyle w:val="5"/>
        <w:ind w:firstLine="562"/>
        <w:rPr>
          <w:rFonts w:cs="Times New Roman"/>
        </w:rPr>
      </w:pPr>
      <w:bookmarkStart w:id="55" w:name="_Toc10628"/>
      <w:bookmarkStart w:id="56" w:name="_Toc27626"/>
      <w:bookmarkStart w:id="57" w:name="_Toc67315582"/>
      <w:r>
        <w:rPr>
          <w:rFonts w:cs="Times New Roman"/>
        </w:rPr>
        <w:t>1、评价前期准备阶段</w:t>
      </w:r>
      <w:bookmarkEnd w:id="55"/>
      <w:bookmarkEnd w:id="56"/>
    </w:p>
    <w:p>
      <w:pPr>
        <w:pStyle w:val="12"/>
        <w:ind w:firstLine="560"/>
        <w:jc w:val="left"/>
        <w:rPr>
          <w:rFonts w:cs="Times New Roman"/>
        </w:rPr>
      </w:pPr>
      <w:r>
        <w:rPr>
          <w:rFonts w:cs="Times New Roman"/>
        </w:rPr>
        <w:t>（1）成立评价组</w:t>
      </w:r>
    </w:p>
    <w:p>
      <w:pPr>
        <w:pStyle w:val="12"/>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12"/>
        <w:ind w:firstLine="560"/>
        <w:jc w:val="left"/>
        <w:rPr>
          <w:rFonts w:cs="Times New Roman"/>
        </w:rPr>
      </w:pPr>
      <w:r>
        <w:rPr>
          <w:rFonts w:cs="Times New Roman"/>
        </w:rPr>
        <w:t>（2）业务培训</w:t>
      </w:r>
    </w:p>
    <w:p>
      <w:pPr>
        <w:pStyle w:val="12"/>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12"/>
        <w:ind w:firstLine="560"/>
        <w:jc w:val="left"/>
        <w:rPr>
          <w:rFonts w:cs="Times New Roman"/>
        </w:rPr>
      </w:pPr>
      <w:r>
        <w:rPr>
          <w:rFonts w:cs="Times New Roman"/>
        </w:rPr>
        <w:t>（3）出具资料清单</w:t>
      </w:r>
    </w:p>
    <w:p>
      <w:pPr>
        <w:pStyle w:val="12"/>
        <w:ind w:firstLine="560"/>
        <w:jc w:val="left"/>
        <w:rPr>
          <w:rFonts w:cs="Times New Roman"/>
        </w:rPr>
      </w:pPr>
      <w:r>
        <w:rPr>
          <w:rFonts w:cs="Times New Roman"/>
        </w:rPr>
        <w:t>为做好项目评价工作，提高评价工作效率，评价组与委托人沟通并确定直接对接人，提前将所需资料清单发送至相关对接人，通知其提前准备绩效评价所需资料。</w:t>
      </w:r>
    </w:p>
    <w:p>
      <w:pPr>
        <w:pStyle w:val="5"/>
        <w:ind w:firstLine="562"/>
        <w:rPr>
          <w:rFonts w:cs="Times New Roman"/>
        </w:rPr>
      </w:pPr>
      <w:bookmarkStart w:id="58" w:name="_Toc1887"/>
      <w:bookmarkStart w:id="59" w:name="_Toc3023"/>
      <w:bookmarkStart w:id="60" w:name="_Toc30374"/>
      <w:r>
        <w:rPr>
          <w:rFonts w:cs="Times New Roman"/>
        </w:rPr>
        <w:t>2、评价指标体系及方案设计阶段</w:t>
      </w:r>
      <w:bookmarkEnd w:id="58"/>
      <w:bookmarkEnd w:id="59"/>
      <w:bookmarkEnd w:id="60"/>
    </w:p>
    <w:p>
      <w:pPr>
        <w:pStyle w:val="12"/>
        <w:ind w:firstLine="560"/>
        <w:jc w:val="left"/>
        <w:rPr>
          <w:rFonts w:cs="Times New Roman"/>
        </w:rPr>
      </w:pPr>
      <w:r>
        <w:rPr>
          <w:rFonts w:cs="Times New Roman"/>
        </w:rPr>
        <w:t>（1）资料收集及研究</w:t>
      </w:r>
    </w:p>
    <w:p>
      <w:pPr>
        <w:pStyle w:val="12"/>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12"/>
        <w:ind w:firstLine="560"/>
        <w:jc w:val="left"/>
        <w:rPr>
          <w:rFonts w:cs="Times New Roman"/>
        </w:rPr>
      </w:pPr>
      <w:r>
        <w:rPr>
          <w:rFonts w:cs="Times New Roman"/>
        </w:rPr>
        <w:t>（2）建立指标体系</w:t>
      </w:r>
    </w:p>
    <w:p>
      <w:pPr>
        <w:pStyle w:val="12"/>
        <w:ind w:firstLine="560"/>
        <w:jc w:val="left"/>
        <w:rPr>
          <w:rFonts w:cs="Times New Roman"/>
        </w:rPr>
      </w:pPr>
      <w:r>
        <w:rPr>
          <w:rFonts w:cs="Times New Roman"/>
        </w:rPr>
        <w:t>根据本项目绩效目标、实施方案、项目管理及相关效益情况，绩效评价组制定项目支出绩效评价指标体系，并对其合理性和指标进行验证。</w:t>
      </w:r>
    </w:p>
    <w:p>
      <w:pPr>
        <w:pStyle w:val="5"/>
        <w:ind w:firstLine="562"/>
        <w:rPr>
          <w:rFonts w:cs="Times New Roman"/>
        </w:rPr>
      </w:pPr>
      <w:bookmarkStart w:id="61" w:name="_Toc22239"/>
      <w:bookmarkStart w:id="62" w:name="_Toc24560"/>
      <w:bookmarkStart w:id="63" w:name="_Toc16617"/>
      <w:r>
        <w:rPr>
          <w:rFonts w:cs="Times New Roman"/>
        </w:rPr>
        <w:t>3、评价实施阶段</w:t>
      </w:r>
      <w:bookmarkEnd w:id="61"/>
      <w:bookmarkEnd w:id="62"/>
      <w:bookmarkEnd w:id="63"/>
    </w:p>
    <w:p>
      <w:pPr>
        <w:pStyle w:val="12"/>
        <w:ind w:firstLine="560"/>
        <w:jc w:val="left"/>
        <w:rPr>
          <w:rFonts w:cs="Times New Roman"/>
        </w:rPr>
      </w:pPr>
      <w:r>
        <w:rPr>
          <w:rFonts w:cs="Times New Roman"/>
        </w:rPr>
        <w:t>（1）问卷调查</w:t>
      </w:r>
    </w:p>
    <w:p>
      <w:pPr>
        <w:pStyle w:val="12"/>
        <w:ind w:firstLine="560"/>
        <w:jc w:val="left"/>
        <w:rPr>
          <w:rFonts w:cs="Times New Roman"/>
        </w:rPr>
      </w:pPr>
      <w:r>
        <w:rPr>
          <w:rFonts w:cs="Times New Roman"/>
        </w:rPr>
        <w:t>为充分了解“</w:t>
      </w:r>
      <w:r>
        <w:rPr>
          <w:rFonts w:hint="eastAsia" w:cs="Times New Roman"/>
        </w:rPr>
        <w:t>统计各专业工作经费</w:t>
      </w:r>
      <w:r>
        <w:rPr>
          <w:rFonts w:cs="Times New Roman"/>
        </w:rPr>
        <w:t>”对市场和社会的影响，绩效评价工作组设置了项目影响度调查问卷，</w:t>
      </w:r>
      <w:r>
        <w:rPr>
          <w:rFonts w:cs="Times New Roman"/>
          <w:highlight w:val="none"/>
        </w:rPr>
        <w:t>抽取社会公众或服务对象调查问卷作为评价依据，同时收集上级主管部门及专家评价意见，形成相关绩效评价结果</w:t>
      </w:r>
      <w:r>
        <w:rPr>
          <w:rFonts w:cs="Times New Roman"/>
        </w:rPr>
        <w:t>。（问卷调查内容详见附件5）</w:t>
      </w:r>
    </w:p>
    <w:p>
      <w:pPr>
        <w:pStyle w:val="12"/>
        <w:ind w:firstLine="560"/>
        <w:jc w:val="left"/>
        <w:rPr>
          <w:rFonts w:cs="Times New Roman"/>
        </w:rPr>
      </w:pPr>
      <w:r>
        <w:rPr>
          <w:rFonts w:cs="Times New Roman"/>
        </w:rPr>
        <w:t>（2）专项访谈</w:t>
      </w:r>
    </w:p>
    <w:p>
      <w:pPr>
        <w:pStyle w:val="12"/>
        <w:ind w:firstLine="560"/>
        <w:jc w:val="left"/>
        <w:rPr>
          <w:rFonts w:cs="Times New Roman"/>
        </w:rPr>
      </w:pPr>
      <w:r>
        <w:rPr>
          <w:rFonts w:cs="Times New Roman"/>
        </w:rPr>
        <w:t>针对项目中大额支出、重点环节把控、关键流程控制、审批流程合规性及制度执行情况等内容的评价，除采取资料搜集与研究的方式外，绩效评价工作组采取专项访谈的方式，对关键节点进行重新验证和评价。</w:t>
      </w:r>
    </w:p>
    <w:p>
      <w:pPr>
        <w:pStyle w:val="12"/>
        <w:ind w:firstLine="560"/>
        <w:jc w:val="left"/>
        <w:rPr>
          <w:rFonts w:cs="Times New Roman"/>
        </w:rPr>
      </w:pPr>
      <w:r>
        <w:rPr>
          <w:rFonts w:cs="Times New Roman"/>
        </w:rPr>
        <w:t>（3）现场勘察</w:t>
      </w:r>
    </w:p>
    <w:p>
      <w:pPr>
        <w:pStyle w:val="12"/>
        <w:ind w:firstLine="560"/>
        <w:jc w:val="left"/>
        <w:rPr>
          <w:rFonts w:cs="Times New Roman"/>
        </w:rPr>
      </w:pPr>
      <w:r>
        <w:rPr>
          <w:rFonts w:cs="Times New Roman"/>
        </w:rPr>
        <w:t>绩效评价工作组根据委托人提供的项目资料，对</w:t>
      </w:r>
      <w:r>
        <w:rPr>
          <w:rFonts w:hint="eastAsia" w:cs="Times New Roman"/>
        </w:rPr>
        <w:t>统计各专业工作经费</w:t>
      </w:r>
      <w:r>
        <w:rPr>
          <w:rFonts w:cs="Times New Roman"/>
        </w:rPr>
        <w:t>与批复文件的一致性</w:t>
      </w:r>
      <w:r>
        <w:rPr>
          <w:rFonts w:hint="eastAsia" w:cs="Times New Roman"/>
        </w:rPr>
        <w:t>和</w:t>
      </w:r>
      <w:r>
        <w:rPr>
          <w:rFonts w:cs="Times New Roman"/>
        </w:rPr>
        <w:t>真实性等进行现场走访与勘察，确保绩效评价结果真实的反映项目支出绩效情况。</w:t>
      </w:r>
    </w:p>
    <w:p>
      <w:pPr>
        <w:pStyle w:val="12"/>
        <w:ind w:firstLine="560"/>
        <w:jc w:val="left"/>
        <w:rPr>
          <w:rFonts w:cs="Times New Roman"/>
        </w:rPr>
      </w:pPr>
      <w:r>
        <w:rPr>
          <w:rFonts w:cs="Times New Roman"/>
        </w:rPr>
        <w:t>（4）综合分析评价</w:t>
      </w:r>
    </w:p>
    <w:p>
      <w:pPr>
        <w:pStyle w:val="12"/>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5"/>
        <w:ind w:firstLine="562"/>
        <w:rPr>
          <w:rFonts w:cs="Times New Roman"/>
        </w:rPr>
      </w:pPr>
      <w:bookmarkStart w:id="64" w:name="_Toc25198"/>
      <w:bookmarkStart w:id="65" w:name="_Toc30693"/>
      <w:bookmarkStart w:id="66" w:name="_Toc10328"/>
      <w:r>
        <w:rPr>
          <w:rFonts w:cs="Times New Roman"/>
        </w:rPr>
        <w:t>4、评价报告阶段</w:t>
      </w:r>
      <w:bookmarkEnd w:id="64"/>
      <w:bookmarkEnd w:id="65"/>
      <w:bookmarkEnd w:id="66"/>
    </w:p>
    <w:p>
      <w:pPr>
        <w:pStyle w:val="12"/>
        <w:ind w:firstLine="560"/>
        <w:jc w:val="left"/>
        <w:rPr>
          <w:rFonts w:cs="Times New Roman"/>
        </w:rPr>
      </w:pPr>
      <w:r>
        <w:rPr>
          <w:rFonts w:cs="Times New Roman"/>
        </w:rPr>
        <w:t>（1）对被检查项目的绩效评价指标体系得分情况及相关资料进行分析汇总；</w:t>
      </w:r>
    </w:p>
    <w:p>
      <w:pPr>
        <w:pStyle w:val="12"/>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w:t>
      </w:r>
      <w:r>
        <w:rPr>
          <w:rFonts w:cs="Times New Roman"/>
        </w:rPr>
        <w:t>市财政局意见，补充完善评价报告；</w:t>
      </w:r>
    </w:p>
    <w:p>
      <w:pPr>
        <w:pStyle w:val="12"/>
        <w:ind w:firstLine="560"/>
        <w:jc w:val="left"/>
        <w:rPr>
          <w:rFonts w:cs="Times New Roman"/>
        </w:rPr>
      </w:pPr>
      <w:r>
        <w:rPr>
          <w:rFonts w:cs="Times New Roman"/>
        </w:rPr>
        <w:t>（3）形成“</w:t>
      </w:r>
      <w:r>
        <w:rPr>
          <w:rFonts w:hint="eastAsia" w:cs="Times New Roman"/>
        </w:rPr>
        <w:t>统计各专业工作经费</w:t>
      </w:r>
      <w:r>
        <w:rPr>
          <w:rFonts w:cs="Times New Roman"/>
        </w:rPr>
        <w:t>”支出绩效评价报告（包括表格和文字部分，一式叁份）。</w:t>
      </w:r>
    </w:p>
    <w:p>
      <w:pPr>
        <w:pStyle w:val="12"/>
        <w:ind w:firstLine="560"/>
        <w:rPr>
          <w:rFonts w:cs="Times New Roman"/>
        </w:rPr>
        <w:sectPr>
          <w:pgSz w:w="11906" w:h="16838"/>
          <w:pgMar w:top="1440" w:right="1800" w:bottom="1440" w:left="1800" w:header="851" w:footer="992" w:gutter="0"/>
          <w:cols w:space="425" w:num="1"/>
          <w:titlePg/>
          <w:docGrid w:type="lines" w:linePitch="435" w:charSpace="0"/>
        </w:sectPr>
      </w:pPr>
      <w:r>
        <w:rPr>
          <w:rFonts w:cs="Times New Roman"/>
        </w:rPr>
        <w:t>我公司承诺在绩效评价过程中，接受</w:t>
      </w:r>
      <w:r>
        <w:rPr>
          <w:rFonts w:hint="eastAsia" w:cs="Times New Roman"/>
          <w:lang w:eastAsia="zh-CN"/>
        </w:rPr>
        <w:t>区</w:t>
      </w:r>
      <w:r>
        <w:rPr>
          <w:rFonts w:cs="Times New Roman"/>
        </w:rPr>
        <w:t>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及历史成本原则制定的绩效评价费用额度。</w:t>
      </w:r>
      <w:bookmarkEnd w:id="57"/>
    </w:p>
    <w:p>
      <w:pPr>
        <w:pStyle w:val="3"/>
        <w:rPr>
          <w:rFonts w:cs="Times New Roman"/>
        </w:rPr>
      </w:pPr>
      <w:bookmarkStart w:id="67" w:name="_Toc20114"/>
      <w:bookmarkStart w:id="68" w:name="_Toc67315587"/>
      <w:bookmarkStart w:id="69" w:name="_Toc18146"/>
      <w:r>
        <w:rPr>
          <w:rFonts w:cs="Times New Roman"/>
        </w:rPr>
        <w:t>三、综合评价情况及评价结论</w:t>
      </w:r>
      <w:bookmarkEnd w:id="67"/>
      <w:bookmarkEnd w:id="68"/>
      <w:bookmarkEnd w:id="69"/>
    </w:p>
    <w:p>
      <w:pPr>
        <w:pStyle w:val="12"/>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统计各专业工作经费</w:t>
      </w:r>
      <w:r>
        <w:rPr>
          <w:rFonts w:cs="Times New Roman"/>
        </w:rPr>
        <w:t>”的财政资金进行了独立客观的评价。</w:t>
      </w:r>
    </w:p>
    <w:p>
      <w:pPr>
        <w:pStyle w:val="12"/>
        <w:ind w:firstLine="560"/>
        <w:rPr>
          <w:rFonts w:cs="Times New Roman"/>
          <w:highlight w:val="yellow"/>
        </w:rPr>
      </w:pPr>
      <w:r>
        <w:rPr>
          <w:rFonts w:cs="Times New Roman"/>
        </w:rPr>
        <w:t>“</w:t>
      </w:r>
      <w:r>
        <w:rPr>
          <w:rFonts w:hint="eastAsia" w:cs="Times New Roman"/>
        </w:rPr>
        <w:t>统计各专业工作经费</w:t>
      </w:r>
      <w:r>
        <w:rPr>
          <w:rFonts w:cs="Times New Roman"/>
        </w:rPr>
        <w:t>” 符合国家法律法规规定及相关规划的要求，项目绩效目标合理</w:t>
      </w:r>
      <w:r>
        <w:rPr>
          <w:rFonts w:hint="eastAsia" w:cs="Times New Roman"/>
        </w:rPr>
        <w:t>、</w:t>
      </w:r>
      <w:r>
        <w:rPr>
          <w:rFonts w:cs="Times New Roman"/>
        </w:rPr>
        <w:t>明确</w:t>
      </w:r>
      <w:r>
        <w:rPr>
          <w:rFonts w:hint="eastAsia" w:cs="Times New Roman"/>
        </w:rPr>
        <w:t>，</w:t>
      </w:r>
      <w:r>
        <w:rPr>
          <w:rFonts w:cs="Times New Roman"/>
        </w:rPr>
        <w:t>绩效指标细化、量化</w:t>
      </w:r>
      <w:r>
        <w:rPr>
          <w:rFonts w:hint="eastAsia" w:cs="Times New Roman"/>
        </w:rPr>
        <w:t>；</w:t>
      </w:r>
      <w:r>
        <w:rPr>
          <w:rFonts w:cs="Times New Roman"/>
        </w:rPr>
        <w:t>项目资金能及时到账</w:t>
      </w:r>
      <w:r>
        <w:rPr>
          <w:rFonts w:hint="eastAsia" w:cs="Times New Roman"/>
        </w:rPr>
        <w:t>；</w:t>
      </w:r>
      <w:r>
        <w:rPr>
          <w:rFonts w:cs="Times New Roman"/>
        </w:rPr>
        <w:t>部门管理能严格遵守国家相关法律法规</w:t>
      </w:r>
      <w:r>
        <w:rPr>
          <w:rFonts w:hint="eastAsia" w:cs="Times New Roman"/>
        </w:rPr>
        <w:t>；</w:t>
      </w:r>
      <w:r>
        <w:rPr>
          <w:rFonts w:cs="Times New Roman"/>
        </w:rPr>
        <w:t>经济社会效益比较显著，项目生态环境效益良好。但</w:t>
      </w:r>
      <w:r>
        <w:rPr>
          <w:rFonts w:hint="eastAsia" w:cs="Times New Roman"/>
        </w:rPr>
        <w:t>存在分项费用成本超出预算较多，</w:t>
      </w:r>
      <w:r>
        <w:rPr>
          <w:rFonts w:cs="Times New Roman"/>
        </w:rPr>
        <w:t>成本管控有待加强</w:t>
      </w:r>
      <w:r>
        <w:rPr>
          <w:rFonts w:hint="eastAsia" w:cs="Times New Roman"/>
        </w:rPr>
        <w:t>；</w:t>
      </w:r>
      <w:r>
        <w:rPr>
          <w:rFonts w:cs="Times New Roman"/>
        </w:rPr>
        <w:t>缺少预算管理</w:t>
      </w:r>
      <w:r>
        <w:rPr>
          <w:rFonts w:hint="eastAsia" w:cs="Times New Roman"/>
        </w:rPr>
        <w:t>、</w:t>
      </w:r>
      <w:r>
        <w:rPr>
          <w:rFonts w:cs="Times New Roman"/>
        </w:rPr>
        <w:t>业务管理等相关专项管理制度</w:t>
      </w:r>
      <w:r>
        <w:rPr>
          <w:rFonts w:hint="eastAsia" w:cs="Times New Roman"/>
        </w:rPr>
        <w:t>，</w:t>
      </w:r>
      <w:r>
        <w:rPr>
          <w:rFonts w:cs="Times New Roman"/>
        </w:rPr>
        <w:t>制度体系建设需进一步提升</w:t>
      </w:r>
      <w:r>
        <w:rPr>
          <w:rFonts w:hint="eastAsia" w:cs="Times New Roman"/>
        </w:rPr>
        <w:t>；内部控制机制不健全，缺少具体业务流程、业务关键点控制措施，业务开展无法及时准确的把控相关风险并及时作出应对，</w:t>
      </w:r>
      <w:r>
        <w:rPr>
          <w:rFonts w:cs="Times New Roman"/>
        </w:rPr>
        <w:t>还需</w:t>
      </w:r>
      <w:r>
        <w:rPr>
          <w:rFonts w:hint="eastAsia" w:cs="Times New Roman"/>
        </w:rPr>
        <w:t>持续优化完善</w:t>
      </w:r>
      <w:r>
        <w:rPr>
          <w:rFonts w:cs="Times New Roman"/>
        </w:rPr>
        <w:t>，以促进财政资金合法合规合理的使用，提高资金使用效率和效益。</w:t>
      </w:r>
    </w:p>
    <w:p>
      <w:pPr>
        <w:pStyle w:val="12"/>
        <w:ind w:firstLine="560"/>
        <w:rPr>
          <w:rFonts w:cs="Times New Roman"/>
        </w:rPr>
      </w:pPr>
      <w:r>
        <w:rPr>
          <w:rFonts w:cs="Times New Roman"/>
        </w:rPr>
        <w:t>“</w:t>
      </w:r>
      <w:r>
        <w:rPr>
          <w:rFonts w:hint="eastAsia" w:cs="Times New Roman"/>
        </w:rPr>
        <w:t>统计各专业工作经费</w:t>
      </w:r>
      <w:r>
        <w:rPr>
          <w:rFonts w:cs="Times New Roman"/>
        </w:rPr>
        <w:t>”最终评价分数为“</w:t>
      </w:r>
      <w:r>
        <w:rPr>
          <w:rFonts w:hint="eastAsia" w:cs="Times New Roman"/>
          <w:lang w:val="en-US" w:eastAsia="zh-CN"/>
        </w:rPr>
        <w:t>83.25</w:t>
      </w:r>
      <w:r>
        <w:rPr>
          <w:rFonts w:cs="Times New Roman"/>
        </w:rPr>
        <w:t>分”，绩效评级为“</w:t>
      </w:r>
      <w:r>
        <w:rPr>
          <w:rFonts w:hint="eastAsia" w:cs="Times New Roman"/>
        </w:rPr>
        <w:t>良</w:t>
      </w:r>
      <w:r>
        <w:rPr>
          <w:rFonts w:cs="Times New Roman"/>
        </w:rPr>
        <w:t>”。各评价指标得分情况见表2：</w:t>
      </w:r>
    </w:p>
    <w:tbl>
      <w:tblPr>
        <w:tblStyle w:val="27"/>
        <w:tblW w:w="8588" w:type="dxa"/>
        <w:jc w:val="center"/>
        <w:tblLayout w:type="fixed"/>
        <w:tblCellMar>
          <w:top w:w="0" w:type="dxa"/>
          <w:left w:w="108" w:type="dxa"/>
          <w:bottom w:w="0" w:type="dxa"/>
          <w:right w:w="108" w:type="dxa"/>
        </w:tblCellMar>
      </w:tblPr>
      <w:tblGrid>
        <w:gridCol w:w="1215"/>
        <w:gridCol w:w="819"/>
        <w:gridCol w:w="1408"/>
        <w:gridCol w:w="807"/>
        <w:gridCol w:w="2181"/>
        <w:gridCol w:w="889"/>
        <w:gridCol w:w="1269"/>
      </w:tblGrid>
      <w:tr>
        <w:tblPrEx>
          <w:tblCellMar>
            <w:top w:w="0" w:type="dxa"/>
            <w:left w:w="108" w:type="dxa"/>
            <w:bottom w:w="0" w:type="dxa"/>
            <w:right w:w="108" w:type="dxa"/>
          </w:tblCellMar>
        </w:tblPrEx>
        <w:trPr>
          <w:trHeight w:val="600" w:hRule="atLeast"/>
          <w:jc w:val="center"/>
        </w:trPr>
        <w:tc>
          <w:tcPr>
            <w:tcW w:w="858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 xml:space="preserve">表2  </w:t>
            </w:r>
            <w:r>
              <w:rPr>
                <w:rFonts w:hint="eastAsia" w:ascii="Times New Roman" w:hAnsi="Times New Roman" w:eastAsia="仿宋" w:cs="Times New Roman"/>
                <w:color w:val="000000"/>
                <w:kern w:val="0"/>
                <w:sz w:val="24"/>
                <w:highlight w:val="none"/>
              </w:rPr>
              <w:t>统计各专业工作经费</w:t>
            </w:r>
            <w:r>
              <w:rPr>
                <w:rFonts w:ascii="Times New Roman" w:hAnsi="Times New Roman" w:eastAsia="仿宋" w:cs="Times New Roman"/>
                <w:color w:val="000000"/>
                <w:kern w:val="0"/>
                <w:sz w:val="24"/>
                <w:highlight w:val="none"/>
              </w:rPr>
              <w:t>支出绩效评价得分</w:t>
            </w:r>
          </w:p>
        </w:tc>
      </w:tr>
      <w:tr>
        <w:tblPrEx>
          <w:tblCellMar>
            <w:top w:w="0" w:type="dxa"/>
            <w:left w:w="108" w:type="dxa"/>
            <w:bottom w:w="0" w:type="dxa"/>
            <w:right w:w="108" w:type="dxa"/>
          </w:tblCellMar>
        </w:tblPrEx>
        <w:trPr>
          <w:trHeight w:val="600" w:hRule="atLeast"/>
          <w:jc w:val="center"/>
        </w:trPr>
        <w:tc>
          <w:tcPr>
            <w:tcW w:w="1215" w:type="dxa"/>
            <w:tcBorders>
              <w:top w:val="nil"/>
              <w:left w:val="single" w:color="auto" w:sz="4" w:space="0"/>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一级指标</w:t>
            </w:r>
          </w:p>
        </w:tc>
        <w:tc>
          <w:tcPr>
            <w:tcW w:w="819"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1408"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二级指标</w:t>
            </w:r>
          </w:p>
        </w:tc>
        <w:tc>
          <w:tcPr>
            <w:tcW w:w="807"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2181"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三级指标</w:t>
            </w:r>
          </w:p>
        </w:tc>
        <w:tc>
          <w:tcPr>
            <w:tcW w:w="889"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分值</w:t>
            </w:r>
          </w:p>
        </w:tc>
        <w:tc>
          <w:tcPr>
            <w:tcW w:w="1269" w:type="dxa"/>
            <w:tcBorders>
              <w:top w:val="nil"/>
              <w:left w:val="nil"/>
              <w:bottom w:val="single" w:color="auto" w:sz="4" w:space="0"/>
              <w:right w:val="single" w:color="auto" w:sz="4" w:space="0"/>
            </w:tcBorders>
            <w:shd w:val="clear" w:color="000000" w:fill="00B0F0"/>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评价得分</w:t>
            </w:r>
          </w:p>
        </w:tc>
      </w:tr>
      <w:tr>
        <w:tblPrEx>
          <w:tblCellMar>
            <w:top w:w="0" w:type="dxa"/>
            <w:left w:w="108" w:type="dxa"/>
            <w:bottom w:w="0" w:type="dxa"/>
            <w:right w:w="108" w:type="dxa"/>
          </w:tblCellMar>
        </w:tblPrEx>
        <w:trPr>
          <w:trHeight w:val="533" w:hRule="exact"/>
          <w:jc w:val="center"/>
        </w:trPr>
        <w:tc>
          <w:tcPr>
            <w:tcW w:w="121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决 策</w:t>
            </w:r>
          </w:p>
        </w:tc>
        <w:tc>
          <w:tcPr>
            <w:tcW w:w="819"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15</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项目立项</w:t>
            </w:r>
          </w:p>
        </w:tc>
        <w:tc>
          <w:tcPr>
            <w:tcW w:w="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立项依据充分性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highlight w:val="none"/>
                <w:u w:val="none"/>
                <w:lang w:val="en-US" w:eastAsia="zh-CN" w:bidi="ar"/>
              </w:rPr>
              <w:t>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立项程序规范性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绩效目标</w:t>
            </w:r>
          </w:p>
        </w:tc>
        <w:tc>
          <w:tcPr>
            <w:tcW w:w="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绩效目标合理性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绩效指标明确性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资金安排</w:t>
            </w:r>
          </w:p>
        </w:tc>
        <w:tc>
          <w:tcPr>
            <w:tcW w:w="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5</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预算编制合理性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资金分配合理性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33" w:hRule="exact"/>
          <w:jc w:val="center"/>
        </w:trPr>
        <w:tc>
          <w:tcPr>
            <w:tcW w:w="121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过程</w:t>
            </w:r>
          </w:p>
        </w:tc>
        <w:tc>
          <w:tcPr>
            <w:tcW w:w="819"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25</w:t>
            </w: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业务管理</w:t>
            </w:r>
          </w:p>
        </w:tc>
        <w:tc>
          <w:tcPr>
            <w:tcW w:w="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10</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管理制度健全性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制度执行有效性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档案管理规范性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项目质量可控性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预算管理</w:t>
            </w:r>
          </w:p>
        </w:tc>
        <w:tc>
          <w:tcPr>
            <w:tcW w:w="8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15</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资金拨付</w:t>
            </w:r>
            <w:r>
              <w:rPr>
                <w:rFonts w:ascii="Times New Roman" w:hAnsi="Times New Roman" w:eastAsia="仿宋" w:cs="Times New Roman"/>
                <w:color w:val="000000"/>
                <w:kern w:val="0"/>
                <w:sz w:val="24"/>
                <w:highlight w:val="none"/>
              </w:rPr>
              <w:t>率</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2.42</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拨付</w:t>
            </w:r>
            <w:r>
              <w:rPr>
                <w:rFonts w:ascii="Times New Roman" w:hAnsi="Times New Roman" w:eastAsia="仿宋" w:cs="Times New Roman"/>
                <w:color w:val="000000"/>
                <w:kern w:val="0"/>
                <w:sz w:val="24"/>
                <w:highlight w:val="none"/>
              </w:rPr>
              <w:t>及时率</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预算执行</w:t>
            </w:r>
            <w:r>
              <w:rPr>
                <w:rFonts w:ascii="Times New Roman" w:hAnsi="Times New Roman" w:eastAsia="仿宋" w:cs="Times New Roman"/>
                <w:color w:val="000000"/>
                <w:kern w:val="0"/>
                <w:sz w:val="24"/>
                <w:highlight w:val="none"/>
              </w:rPr>
              <w:t>率</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1.625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管理制度健全性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资金使用合规性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1.75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0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财务监控有效性</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3" w:hRule="exact"/>
          <w:jc w:val="center"/>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 出</w:t>
            </w:r>
          </w:p>
        </w:tc>
        <w:tc>
          <w:tcPr>
            <w:tcW w:w="8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30</w:t>
            </w:r>
          </w:p>
        </w:tc>
        <w:tc>
          <w:tcPr>
            <w:tcW w:w="14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产出数量</w:t>
            </w:r>
          </w:p>
        </w:tc>
        <w:tc>
          <w:tcPr>
            <w:tcW w:w="8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2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left="0" w:leftChars="0" w:right="0" w:rightChars="0" w:firstLine="240" w:firstLineChars="10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实际完成率</w:t>
            </w:r>
          </w:p>
        </w:tc>
        <w:tc>
          <w:tcPr>
            <w:tcW w:w="88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7.5</w:t>
            </w:r>
          </w:p>
        </w:tc>
        <w:tc>
          <w:tcPr>
            <w:tcW w:w="12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533" w:hRule="exac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产出时效</w:t>
            </w:r>
          </w:p>
        </w:tc>
        <w:tc>
          <w:tcPr>
            <w:tcW w:w="80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2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完成及时率</w:t>
            </w:r>
          </w:p>
        </w:tc>
        <w:tc>
          <w:tcPr>
            <w:tcW w:w="88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7.5</w:t>
            </w:r>
          </w:p>
        </w:tc>
        <w:tc>
          <w:tcPr>
            <w:tcW w:w="12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533" w:hRule="exact"/>
          <w:jc w:val="center"/>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p>
        </w:tc>
        <w:tc>
          <w:tcPr>
            <w:tcW w:w="8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p>
        </w:tc>
        <w:tc>
          <w:tcPr>
            <w:tcW w:w="1408"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产出质量</w:t>
            </w:r>
          </w:p>
        </w:tc>
        <w:tc>
          <w:tcPr>
            <w:tcW w:w="807" w:type="dxa"/>
            <w:tcBorders>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2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质量达标率</w:t>
            </w:r>
          </w:p>
        </w:tc>
        <w:tc>
          <w:tcPr>
            <w:tcW w:w="88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7.5</w:t>
            </w:r>
          </w:p>
        </w:tc>
        <w:tc>
          <w:tcPr>
            <w:tcW w:w="12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产出成本</w:t>
            </w:r>
          </w:p>
        </w:tc>
        <w:tc>
          <w:tcPr>
            <w:tcW w:w="807"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7.5</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成本节约率</w:t>
            </w:r>
          </w:p>
        </w:tc>
        <w:tc>
          <w:tcPr>
            <w:tcW w:w="889" w:type="dxa"/>
            <w:tcBorders>
              <w:top w:val="nil"/>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7.5</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3.5</w:t>
            </w:r>
          </w:p>
        </w:tc>
      </w:tr>
      <w:tr>
        <w:tblPrEx>
          <w:tblCellMar>
            <w:top w:w="0" w:type="dxa"/>
            <w:left w:w="108" w:type="dxa"/>
            <w:bottom w:w="0" w:type="dxa"/>
            <w:right w:w="108" w:type="dxa"/>
          </w:tblCellMar>
        </w:tblPrEx>
        <w:trPr>
          <w:trHeight w:val="533" w:hRule="exact"/>
          <w:jc w:val="center"/>
        </w:trPr>
        <w:tc>
          <w:tcPr>
            <w:tcW w:w="121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效 果</w:t>
            </w:r>
          </w:p>
        </w:tc>
        <w:tc>
          <w:tcPr>
            <w:tcW w:w="819"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30</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社会效益</w:t>
            </w:r>
          </w:p>
        </w:tc>
        <w:tc>
          <w:tcPr>
            <w:tcW w:w="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val="en-US" w:eastAsia="zh-CN"/>
              </w:rPr>
              <w:t>8</w:t>
            </w:r>
          </w:p>
        </w:tc>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可持续影响</w:t>
            </w:r>
          </w:p>
        </w:tc>
        <w:tc>
          <w:tcPr>
            <w:tcW w:w="8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val="en-US" w:eastAsia="zh-CN"/>
              </w:rPr>
              <w:t>8</w:t>
            </w:r>
          </w:p>
        </w:tc>
        <w:tc>
          <w:tcPr>
            <w:tcW w:w="21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88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2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8</w:t>
            </w:r>
          </w:p>
        </w:tc>
      </w:tr>
      <w:tr>
        <w:tblPrEx>
          <w:tblCellMar>
            <w:top w:w="0" w:type="dxa"/>
            <w:left w:w="108" w:type="dxa"/>
            <w:bottom w:w="0" w:type="dxa"/>
            <w:right w:w="108" w:type="dxa"/>
          </w:tblCellMar>
        </w:tblPrEx>
        <w:trPr>
          <w:trHeight w:val="533" w:hRule="exact"/>
          <w:jc w:val="center"/>
        </w:trPr>
        <w:tc>
          <w:tcPr>
            <w:tcW w:w="12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left"/>
              <w:rPr>
                <w:rFonts w:ascii="Times New Roman" w:hAnsi="Times New Roman" w:eastAsia="仿宋" w:cs="Times New Roman"/>
                <w:color w:val="000000"/>
                <w:kern w:val="0"/>
                <w:sz w:val="24"/>
                <w:highlight w:val="none"/>
              </w:rPr>
            </w:pPr>
          </w:p>
        </w:tc>
        <w:tc>
          <w:tcPr>
            <w:tcW w:w="14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1"/>
                <w:szCs w:val="21"/>
                <w:highlight w:val="none"/>
              </w:rPr>
            </w:pPr>
            <w:r>
              <w:rPr>
                <w:rFonts w:ascii="Times New Roman" w:hAnsi="Times New Roman" w:eastAsia="仿宋" w:cs="Times New Roman"/>
                <w:color w:val="000000"/>
                <w:kern w:val="0"/>
                <w:sz w:val="24"/>
                <w:highlight w:val="none"/>
              </w:rPr>
              <w:t>社会公众满意度</w:t>
            </w:r>
          </w:p>
        </w:tc>
        <w:tc>
          <w:tcPr>
            <w:tcW w:w="8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Times New Roman" w:hAnsi="Times New Roman" w:eastAsia="仿宋" w:cs="Times New Roman"/>
                <w:color w:val="000000"/>
                <w:kern w:val="0"/>
                <w:sz w:val="24"/>
                <w:highlight w:val="none"/>
                <w:lang w:eastAsia="zh-CN"/>
              </w:rPr>
            </w:pPr>
            <w:r>
              <w:rPr>
                <w:rFonts w:ascii="Times New Roman" w:hAnsi="Times New Roman" w:eastAsia="仿宋" w:cs="Times New Roman"/>
                <w:color w:val="000000"/>
                <w:kern w:val="0"/>
                <w:sz w:val="24"/>
                <w:highlight w:val="none"/>
              </w:rPr>
              <w:t>1</w:t>
            </w:r>
            <w:r>
              <w:rPr>
                <w:rFonts w:hint="eastAsia" w:ascii="Times New Roman" w:hAnsi="Times New Roman" w:eastAsia="仿宋" w:cs="Times New Roman"/>
                <w:color w:val="000000"/>
                <w:kern w:val="0"/>
                <w:sz w:val="24"/>
                <w:highlight w:val="none"/>
                <w:lang w:val="en-US" w:eastAsia="zh-CN"/>
              </w:rPr>
              <w:t>4</w:t>
            </w:r>
          </w:p>
        </w:tc>
        <w:tc>
          <w:tcPr>
            <w:tcW w:w="21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color w:val="000000"/>
                <w:kern w:val="0"/>
                <w:sz w:val="24"/>
                <w:highlight w:val="none"/>
              </w:rPr>
            </w:pPr>
            <w:r>
              <w:rPr>
                <w:rFonts w:ascii="Times New Roman" w:hAnsi="Times New Roman" w:eastAsia="仿宋" w:cs="Times New Roman"/>
                <w:color w:val="000000"/>
                <w:kern w:val="0"/>
                <w:sz w:val="24"/>
                <w:highlight w:val="none"/>
              </w:rPr>
              <w:t>——</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 w:hAnsi="仿宋" w:eastAsia="仿宋" w:cs="仿宋"/>
                <w:color w:val="000000"/>
                <w:kern w:val="0"/>
                <w:sz w:val="24"/>
                <w:highlight w:val="none"/>
              </w:rPr>
            </w:pPr>
            <w:r>
              <w:rPr>
                <w:rFonts w:hint="eastAsia" w:ascii="仿宋" w:hAnsi="仿宋" w:eastAsia="仿宋" w:cs="仿宋"/>
                <w:i w:val="0"/>
                <w:iCs w:val="0"/>
                <w:color w:val="000000"/>
                <w:kern w:val="0"/>
                <w:sz w:val="24"/>
                <w:szCs w:val="24"/>
                <w:highlight w:val="none"/>
                <w:u w:val="none"/>
                <w:lang w:val="en-US" w:eastAsia="zh-CN" w:bidi="ar"/>
              </w:rPr>
              <w:t>14</w:t>
            </w:r>
          </w:p>
        </w:tc>
      </w:tr>
      <w:tr>
        <w:tblPrEx>
          <w:tblCellMar>
            <w:top w:w="0" w:type="dxa"/>
            <w:left w:w="108" w:type="dxa"/>
            <w:bottom w:w="0" w:type="dxa"/>
            <w:right w:w="108" w:type="dxa"/>
          </w:tblCellMar>
        </w:tblPrEx>
        <w:trPr>
          <w:trHeight w:val="533" w:hRule="exact"/>
          <w:jc w:val="center"/>
        </w:trPr>
        <w:tc>
          <w:tcPr>
            <w:tcW w:w="121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整体评价</w:t>
            </w:r>
          </w:p>
        </w:tc>
        <w:tc>
          <w:tcPr>
            <w:tcW w:w="8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100</w:t>
            </w:r>
          </w:p>
        </w:tc>
        <w:tc>
          <w:tcPr>
            <w:tcW w:w="4396"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ascii="Times New Roman" w:hAnsi="Times New Roman" w:eastAsia="仿宋" w:cs="Times New Roman"/>
                <w:b/>
                <w:bCs/>
                <w:color w:val="000000"/>
                <w:kern w:val="0"/>
                <w:sz w:val="24"/>
                <w:highlight w:val="none"/>
              </w:rPr>
            </w:pPr>
            <w:r>
              <w:rPr>
                <w:rFonts w:ascii="Times New Roman" w:hAnsi="Times New Roman" w:eastAsia="仿宋" w:cs="Times New Roman"/>
                <w:b/>
                <w:bCs/>
                <w:color w:val="000000"/>
                <w:kern w:val="0"/>
                <w:sz w:val="24"/>
                <w:highlight w:val="none"/>
              </w:rPr>
              <w:t>——</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left="0" w:leftChars="0" w:right="0" w:rightChars="0"/>
              <w:jc w:val="center"/>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　</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default" w:ascii="仿宋" w:hAnsi="仿宋" w:eastAsia="仿宋" w:cs="仿宋"/>
                <w:b/>
                <w:bCs/>
                <w:color w:val="000000"/>
                <w:kern w:val="0"/>
                <w:sz w:val="24"/>
                <w:highlight w:val="none"/>
              </w:rPr>
            </w:pPr>
            <w:r>
              <w:rPr>
                <w:rFonts w:hint="eastAsia" w:ascii="仿宋" w:hAnsi="仿宋" w:eastAsia="仿宋" w:cs="仿宋"/>
                <w:b/>
                <w:bCs/>
                <w:i w:val="0"/>
                <w:iCs w:val="0"/>
                <w:color w:val="000000"/>
                <w:kern w:val="0"/>
                <w:sz w:val="24"/>
                <w:szCs w:val="24"/>
                <w:highlight w:val="none"/>
                <w:u w:val="none"/>
                <w:lang w:val="en-US" w:eastAsia="zh-CN" w:bidi="ar"/>
              </w:rPr>
              <w:t>83.25</w:t>
            </w:r>
          </w:p>
        </w:tc>
      </w:tr>
    </w:tbl>
    <w:p>
      <w:pPr>
        <w:pStyle w:val="12"/>
        <w:ind w:firstLine="560"/>
        <w:rPr>
          <w:rFonts w:cs="Times New Roman"/>
        </w:rPr>
        <w:sectPr>
          <w:pgSz w:w="11906" w:h="16838"/>
          <w:pgMar w:top="1440" w:right="1800" w:bottom="1440" w:left="1800" w:header="851" w:footer="992" w:gutter="0"/>
          <w:cols w:space="425" w:num="1"/>
          <w:titlePg/>
          <w:docGrid w:type="lines" w:linePitch="435" w:charSpace="0"/>
        </w:sectPr>
      </w:pPr>
      <w:r>
        <w:rPr>
          <w:rFonts w:hint="eastAsia" w:cs="Times New Roman"/>
        </w:rPr>
        <w:t>漯河经济技术开发区统计中心</w:t>
      </w:r>
      <w:r>
        <w:rPr>
          <w:rFonts w:cs="Times New Roman"/>
        </w:rPr>
        <w:t>“</w:t>
      </w:r>
      <w:r>
        <w:rPr>
          <w:rFonts w:hint="eastAsia" w:cs="Times New Roman"/>
        </w:rPr>
        <w:t>统计各专业工作经费</w:t>
      </w:r>
      <w:r>
        <w:rPr>
          <w:rFonts w:cs="Times New Roman"/>
        </w:rPr>
        <w:t>”支出绩效评价指标体系总分100分，评价得分</w:t>
      </w:r>
      <w:r>
        <w:rPr>
          <w:rFonts w:hint="eastAsia" w:cs="Times New Roman"/>
          <w:lang w:val="en-US" w:eastAsia="zh-CN"/>
        </w:rPr>
        <w:t>83.25</w:t>
      </w:r>
      <w:r>
        <w:rPr>
          <w:rFonts w:cs="Times New Roman"/>
        </w:rPr>
        <w:t>分，得分率为</w:t>
      </w:r>
      <w:r>
        <w:rPr>
          <w:rFonts w:hint="eastAsia" w:cs="Times New Roman"/>
          <w:lang w:val="en-US" w:eastAsia="zh-CN"/>
        </w:rPr>
        <w:t>83.25%</w:t>
      </w:r>
      <w:r>
        <w:rPr>
          <w:rFonts w:cs="Times New Roman"/>
        </w:rPr>
        <w:t>。各级评价指标得分情况详见附件3。</w:t>
      </w:r>
    </w:p>
    <w:p>
      <w:pPr>
        <w:pStyle w:val="3"/>
        <w:rPr>
          <w:rFonts w:cs="Times New Roman"/>
        </w:rPr>
      </w:pPr>
      <w:bookmarkStart w:id="70" w:name="_Toc25409"/>
      <w:bookmarkStart w:id="71" w:name="_Toc67315588"/>
      <w:bookmarkStart w:id="72" w:name="_Toc22965"/>
      <w:r>
        <w:rPr>
          <w:rFonts w:cs="Times New Roman"/>
        </w:rPr>
        <w:t>四、绩效评价指标分析</w:t>
      </w:r>
      <w:bookmarkEnd w:id="70"/>
      <w:bookmarkEnd w:id="71"/>
      <w:bookmarkEnd w:id="72"/>
    </w:p>
    <w:p>
      <w:pPr>
        <w:pStyle w:val="12"/>
        <w:ind w:firstLine="560"/>
        <w:rPr>
          <w:rFonts w:cs="Times New Roman"/>
        </w:rPr>
      </w:pPr>
      <w:r>
        <w:rPr>
          <w:rFonts w:cs="Times New Roman"/>
        </w:rPr>
        <w:t>本绩效评价指标体系包括项目决策情况、项目过程情况、项目产出情况及项目效果情况，具体分值分布情况如图1：</w:t>
      </w:r>
    </w:p>
    <w:p>
      <w:pPr>
        <w:pStyle w:val="12"/>
        <w:ind w:firstLine="560"/>
        <w:rPr>
          <w:rFonts w:cs="Times New Roman"/>
        </w:rPr>
      </w:pPr>
      <w:r>
        <w:rPr>
          <w:rFonts w:cs="Times New Roman"/>
        </w:rPr>
        <w:drawing>
          <wp:inline distT="0" distB="0" distL="0" distR="0">
            <wp:extent cx="4568190" cy="2889250"/>
            <wp:effectExtent l="19050" t="0" r="22645" b="575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ind w:firstLine="602"/>
        <w:rPr>
          <w:rFonts w:cs="Times New Roman"/>
        </w:rPr>
      </w:pPr>
      <w:bookmarkStart w:id="73" w:name="_Toc67315589"/>
      <w:bookmarkStart w:id="74" w:name="_Toc8206"/>
      <w:bookmarkStart w:id="75" w:name="_Toc15890"/>
      <w:r>
        <w:rPr>
          <w:rFonts w:cs="Times New Roman"/>
        </w:rPr>
        <w:t>（一）项目决策情况（权重15，得分1</w:t>
      </w:r>
      <w:r>
        <w:rPr>
          <w:rFonts w:hint="eastAsia" w:cs="Times New Roman"/>
        </w:rPr>
        <w:t>0.75</w:t>
      </w:r>
      <w:r>
        <w:rPr>
          <w:rFonts w:cs="Times New Roman"/>
        </w:rPr>
        <w:t>）</w:t>
      </w:r>
      <w:bookmarkEnd w:id="73"/>
      <w:bookmarkEnd w:id="74"/>
      <w:bookmarkEnd w:id="75"/>
    </w:p>
    <w:p>
      <w:pPr>
        <w:pStyle w:val="5"/>
        <w:ind w:firstLine="562"/>
        <w:rPr>
          <w:rFonts w:cs="Times New Roman"/>
        </w:rPr>
      </w:pPr>
      <w:bookmarkStart w:id="76" w:name="_Toc5625"/>
      <w:bookmarkStart w:id="77" w:name="_Toc13941"/>
      <w:bookmarkStart w:id="78" w:name="_Toc67315590"/>
      <w:r>
        <w:rPr>
          <w:rFonts w:cs="Times New Roman"/>
        </w:rPr>
        <w:t>1.项目立项（权重5，得分</w:t>
      </w:r>
      <w:r>
        <w:rPr>
          <w:rFonts w:hint="eastAsia" w:cs="Times New Roman"/>
        </w:rPr>
        <w:t>4.5</w:t>
      </w:r>
      <w:r>
        <w:rPr>
          <w:rFonts w:cs="Times New Roman"/>
        </w:rPr>
        <w:t>）</w:t>
      </w:r>
      <w:bookmarkEnd w:id="76"/>
      <w:bookmarkEnd w:id="77"/>
      <w:bookmarkEnd w:id="78"/>
    </w:p>
    <w:p>
      <w:pPr>
        <w:pStyle w:val="12"/>
        <w:ind w:firstLine="560"/>
        <w:rPr>
          <w:rFonts w:cs="Times New Roman"/>
        </w:rPr>
      </w:pPr>
      <w:r>
        <w:rPr>
          <w:rFonts w:cs="Times New Roman"/>
        </w:rPr>
        <w:t>（1）立项依据充分性（权重2.5，得分2.5）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项目立项是否符合国家法律法规、国民经济发展规划和相关政策，0.5分；</w:t>
      </w:r>
    </w:p>
    <w:p>
      <w:pPr>
        <w:pStyle w:val="12"/>
        <w:ind w:firstLine="560"/>
        <w:rPr>
          <w:rFonts w:cs="Times New Roman"/>
        </w:rPr>
      </w:pPr>
      <w:r>
        <w:rPr>
          <w:rFonts w:hint="eastAsia" w:ascii="宋体" w:hAnsi="宋体" w:eastAsia="宋体" w:cs="宋体"/>
        </w:rPr>
        <w:t>②</w:t>
      </w:r>
      <w:r>
        <w:rPr>
          <w:rFonts w:cs="Times New Roman"/>
        </w:rPr>
        <w:t>项目立项是否符合行业发展规划和政策要求，0.5分；</w:t>
      </w:r>
    </w:p>
    <w:p>
      <w:pPr>
        <w:pStyle w:val="12"/>
        <w:ind w:firstLine="560"/>
        <w:rPr>
          <w:rFonts w:cs="Times New Roman"/>
        </w:rPr>
      </w:pPr>
      <w:r>
        <w:rPr>
          <w:rFonts w:hint="eastAsia" w:ascii="宋体" w:hAnsi="宋体" w:eastAsia="宋体" w:cs="宋体"/>
        </w:rPr>
        <w:t>③</w:t>
      </w:r>
      <w:r>
        <w:rPr>
          <w:rFonts w:cs="Times New Roman"/>
        </w:rPr>
        <w:t>项目立项是否与部门职责范围相符，属于部门履职所需，系能够充分支持项目立项所要解决的问题；0.5分；</w:t>
      </w:r>
    </w:p>
    <w:p>
      <w:pPr>
        <w:pStyle w:val="12"/>
        <w:ind w:firstLine="560"/>
        <w:rPr>
          <w:rFonts w:cs="Times New Roman"/>
        </w:rPr>
      </w:pPr>
      <w:r>
        <w:rPr>
          <w:rFonts w:hint="eastAsia" w:ascii="宋体" w:hAnsi="宋体" w:eastAsia="宋体" w:cs="宋体"/>
        </w:rPr>
        <w:t>④</w:t>
      </w:r>
      <w:r>
        <w:rPr>
          <w:rFonts w:cs="Times New Roman"/>
        </w:rPr>
        <w:t>项目是否属于公共财政支持范围，是否符合中央、地方事权支出责任划分原则，0.5分；</w:t>
      </w:r>
    </w:p>
    <w:p>
      <w:pPr>
        <w:pStyle w:val="12"/>
        <w:ind w:firstLine="560"/>
        <w:rPr>
          <w:rFonts w:cs="Times New Roman"/>
        </w:rPr>
      </w:pPr>
      <w:r>
        <w:rPr>
          <w:rFonts w:hint="eastAsia" w:ascii="宋体" w:hAnsi="宋体" w:eastAsia="宋体" w:cs="宋体"/>
        </w:rPr>
        <w:t>⑤</w:t>
      </w:r>
      <w:r>
        <w:rPr>
          <w:rFonts w:cs="Times New Roman"/>
        </w:rPr>
        <w:t>该项目是否与相关部门同类项目或者部门内部相关项目交叉重复，0.5分。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w:t>
      </w:r>
      <w:r>
        <w:rPr>
          <w:rFonts w:hint="eastAsia" w:cs="Times New Roman"/>
        </w:rPr>
        <w:t>统计各专业工作经费</w:t>
      </w:r>
      <w:r>
        <w:rPr>
          <w:rFonts w:cs="Times New Roman"/>
        </w:rPr>
        <w:t>”</w:t>
      </w:r>
      <w:r>
        <w:rPr>
          <w:rFonts w:hint="eastAsia" w:cs="Times New Roman"/>
        </w:rPr>
        <w:t>主要用于第七次全国人口普查、配合做好国家级和省级开发区综合评价等工作，</w:t>
      </w:r>
      <w:r>
        <w:rPr>
          <w:rFonts w:cs="Times New Roman"/>
        </w:rPr>
        <w:t>符合国家法律法规、地方相关规定，符合国民经济发展规划和相关政策要求，得0.5分；</w:t>
      </w:r>
    </w:p>
    <w:p>
      <w:pPr>
        <w:pStyle w:val="12"/>
        <w:ind w:firstLine="560"/>
        <w:rPr>
          <w:rFonts w:cs="Times New Roman"/>
        </w:rPr>
      </w:pPr>
      <w:r>
        <w:rPr>
          <w:rFonts w:hint="eastAsia" w:cs="Times New Roman"/>
        </w:rPr>
        <w:t>②统计各专业工作经费主要用于政府交办的统计工作，</w:t>
      </w:r>
      <w:r>
        <w:rPr>
          <w:rFonts w:cs="Times New Roman"/>
        </w:rPr>
        <w:t>符合行业发展规划和政策要求得0.5分；</w:t>
      </w:r>
    </w:p>
    <w:p>
      <w:pPr>
        <w:pStyle w:val="12"/>
        <w:ind w:firstLine="560"/>
        <w:rPr>
          <w:rFonts w:cs="Times New Roman"/>
        </w:rPr>
      </w:pPr>
      <w:r>
        <w:rPr>
          <w:rFonts w:hint="eastAsia" w:ascii="宋体" w:hAnsi="宋体" w:eastAsia="宋体" w:cs="宋体"/>
        </w:rPr>
        <w:t>③</w:t>
      </w:r>
      <w:r>
        <w:rPr>
          <w:rFonts w:hint="eastAsia" w:ascii="仿宋" w:hAnsi="仿宋" w:cs="仿宋"/>
        </w:rPr>
        <w:t>漯河经济技术开发区统计中心</w:t>
      </w:r>
      <w:r>
        <w:rPr>
          <w:rFonts w:hint="eastAsia" w:cs="Times New Roman"/>
        </w:rPr>
        <w:t>部门职能为“负责区内国民经济核算、工业、能源、农业、固定资产投资、建筑业、批零贸易、服务业、人口等统计工作；负责区内基本单位名录库管理、统计信息化建设和统计制度的规范和完善；负责辖区内各种统计调查工作的组织实施，以及辖区内单位统计业务的指导、监督和检查；负责商务部、商务厅有关国家级开发区和产业聚集区统计工作”。统计各专业工作</w:t>
      </w:r>
      <w:r>
        <w:rPr>
          <w:rFonts w:cs="Times New Roman"/>
        </w:rPr>
        <w:t>属于部门履职所需，得0.5分；</w:t>
      </w:r>
    </w:p>
    <w:p>
      <w:pPr>
        <w:pStyle w:val="12"/>
        <w:ind w:firstLine="560"/>
        <w:rPr>
          <w:rFonts w:cs="Times New Roman"/>
        </w:rPr>
      </w:pPr>
      <w:r>
        <w:rPr>
          <w:rFonts w:hint="eastAsia" w:ascii="宋体" w:hAnsi="宋体" w:eastAsia="宋体" w:cs="宋体"/>
        </w:rPr>
        <w:t>④</w:t>
      </w:r>
      <w:r>
        <w:rPr>
          <w:rFonts w:hint="eastAsia" w:ascii="仿宋" w:hAnsi="仿宋" w:cs="仿宋"/>
        </w:rPr>
        <w:t>严格按照国务院第七次全国人口普查领导小组办公室、财政部、人力资源和社会保障部、国家统计局四部门联合下发的文件要求</w:t>
      </w:r>
      <w:r>
        <w:rPr>
          <w:rFonts w:hint="eastAsia" w:cs="Times New Roman"/>
        </w:rPr>
        <w:t>，做好第七次全国人口普查两员报酬发放工作。</w:t>
      </w:r>
      <w:r>
        <w:rPr>
          <w:rFonts w:cs="Times New Roman"/>
        </w:rPr>
        <w:t>是财政部门贯彻落实党中央、国务院精神，坚持以人为本，支持加强基本公共服务的重要举措，是公共财政的重要职责，项目属于公共财政支持范围，符合中央、地方事权支出责任划分原则，得0.5分；</w:t>
      </w:r>
    </w:p>
    <w:p>
      <w:pPr>
        <w:pStyle w:val="12"/>
        <w:ind w:firstLine="560"/>
        <w:rPr>
          <w:rFonts w:cs="Times New Roman"/>
        </w:rPr>
      </w:pPr>
      <w:r>
        <w:rPr>
          <w:rFonts w:hint="eastAsia" w:ascii="宋体" w:hAnsi="宋体" w:eastAsia="宋体" w:cs="宋体"/>
        </w:rPr>
        <w:t>⑤</w:t>
      </w:r>
      <w:r>
        <w:rPr>
          <w:rFonts w:cs="Times New Roman"/>
        </w:rPr>
        <w:t>该项目由</w:t>
      </w:r>
      <w:r>
        <w:rPr>
          <w:rFonts w:hint="eastAsia" w:cs="Times New Roman"/>
        </w:rPr>
        <w:t>漯河经济技术开发区统计中心</w:t>
      </w:r>
      <w:r>
        <w:rPr>
          <w:rFonts w:cs="Times New Roman"/>
        </w:rPr>
        <w:t>独立立项项目，不存在与相关部门同类项目或者部门内部相关项目交叉重复交叉的情况，得0.5分。</w:t>
      </w:r>
    </w:p>
    <w:p>
      <w:pPr>
        <w:pStyle w:val="12"/>
        <w:ind w:firstLine="560"/>
        <w:rPr>
          <w:rFonts w:cs="Times New Roman"/>
        </w:rPr>
      </w:pPr>
      <w:r>
        <w:rPr>
          <w:rFonts w:cs="Times New Roman"/>
        </w:rPr>
        <w:t>（2）立项程序规范性（权重2.5，得分</w:t>
      </w:r>
      <w:r>
        <w:rPr>
          <w:rFonts w:hint="eastAsia" w:cs="Times New Roman"/>
        </w:rPr>
        <w:t>2</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项目是否按照规定的程序申请设立，0.75分；</w:t>
      </w:r>
    </w:p>
    <w:p>
      <w:pPr>
        <w:pStyle w:val="12"/>
        <w:ind w:firstLine="560"/>
        <w:rPr>
          <w:rFonts w:cs="Times New Roman"/>
        </w:rPr>
      </w:pPr>
      <w:r>
        <w:rPr>
          <w:rFonts w:hint="eastAsia" w:ascii="宋体" w:hAnsi="宋体" w:eastAsia="宋体" w:cs="宋体"/>
        </w:rPr>
        <w:t>②</w:t>
      </w:r>
      <w:r>
        <w:rPr>
          <w:rFonts w:cs="Times New Roman"/>
        </w:rPr>
        <w:t>审批文件、材料是否符合相关要求，0.75分；</w:t>
      </w:r>
    </w:p>
    <w:p>
      <w:pPr>
        <w:pStyle w:val="12"/>
        <w:ind w:firstLine="560"/>
        <w:rPr>
          <w:rFonts w:cs="Times New Roman"/>
        </w:rPr>
      </w:pPr>
      <w:r>
        <w:rPr>
          <w:rFonts w:hint="eastAsia" w:ascii="宋体" w:hAnsi="宋体" w:eastAsia="宋体" w:cs="宋体"/>
        </w:rPr>
        <w:t>③</w:t>
      </w:r>
      <w:r>
        <w:rPr>
          <w:rFonts w:cs="Times New Roman"/>
        </w:rPr>
        <w:t>事前是否已经过必要的可行性研究、专家论证、风险评估、集体决策等，1分。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严格按照国务院第七次全国人口普查领导小组办公室、财政部、人力资源和社会保障部、国家统计局四部门联合下发的文件要求</w:t>
      </w:r>
      <w:r>
        <w:rPr>
          <w:rFonts w:hint="eastAsia" w:cs="Times New Roman"/>
        </w:rPr>
        <w:t>，做好第七次全国人口普查两员报酬发放工作。</w:t>
      </w:r>
      <w:r>
        <w:rPr>
          <w:rFonts w:cs="Times New Roman"/>
        </w:rPr>
        <w:t>该资金预算申请按照有关程序和规定依法执行，并获得漯河经济技术开发区财政局批复</w:t>
      </w:r>
      <w:r>
        <w:rPr>
          <w:rFonts w:hint="eastAsia" w:cs="Times New Roman"/>
        </w:rPr>
        <w:t>，</w:t>
      </w:r>
      <w:r>
        <w:rPr>
          <w:rFonts w:cs="Times New Roman"/>
        </w:rPr>
        <w:t>项目符合按照规定的程序申请设立要求，得0.75分；</w:t>
      </w:r>
    </w:p>
    <w:p>
      <w:pPr>
        <w:pStyle w:val="12"/>
        <w:ind w:firstLine="560"/>
        <w:rPr>
          <w:rFonts w:cs="Times New Roman"/>
        </w:rPr>
      </w:pPr>
      <w:r>
        <w:rPr>
          <w:rFonts w:hint="eastAsia" w:ascii="宋体" w:hAnsi="宋体" w:eastAsia="宋体" w:cs="宋体"/>
        </w:rPr>
        <w:t>②</w:t>
      </w:r>
      <w:r>
        <w:rPr>
          <w:rFonts w:cs="Times New Roman"/>
        </w:rPr>
        <w:t>由上述</w:t>
      </w:r>
      <w:r>
        <w:rPr>
          <w:rFonts w:hint="eastAsia" w:ascii="宋体" w:hAnsi="宋体" w:eastAsia="宋体" w:cs="宋体"/>
        </w:rPr>
        <w:t>①</w:t>
      </w:r>
      <w:r>
        <w:rPr>
          <w:rFonts w:cs="Times New Roman"/>
        </w:rPr>
        <w:t>中内容可得出结论，项目立项申请及方案、批复文件均按照相关程序出具，审批文件、材料均符合相关要求，得0.75分；</w:t>
      </w:r>
    </w:p>
    <w:p>
      <w:pPr>
        <w:pStyle w:val="12"/>
        <w:ind w:firstLine="560"/>
        <w:rPr>
          <w:rFonts w:cs="Times New Roman"/>
        </w:rPr>
      </w:pPr>
      <w:r>
        <w:rPr>
          <w:rFonts w:hint="eastAsia" w:ascii="宋体" w:hAnsi="宋体" w:eastAsia="宋体" w:cs="宋体"/>
        </w:rPr>
        <w:t>③</w:t>
      </w:r>
      <w:r>
        <w:rPr>
          <w:rFonts w:hint="eastAsia" w:cs="Times New Roman"/>
        </w:rPr>
        <w:t>该</w:t>
      </w:r>
      <w:r>
        <w:rPr>
          <w:rFonts w:cs="Times New Roman"/>
        </w:rPr>
        <w:t>资金依据国家</w:t>
      </w:r>
      <w:r>
        <w:rPr>
          <w:rFonts w:hint="eastAsia" w:cs="Times New Roman"/>
        </w:rPr>
        <w:t>、</w:t>
      </w:r>
      <w:r>
        <w:rPr>
          <w:rFonts w:cs="Times New Roman"/>
        </w:rPr>
        <w:t>省</w:t>
      </w:r>
      <w:r>
        <w:rPr>
          <w:rFonts w:hint="eastAsia" w:cs="Times New Roman"/>
        </w:rPr>
        <w:t>、</w:t>
      </w:r>
      <w:r>
        <w:rPr>
          <w:rFonts w:cs="Times New Roman"/>
        </w:rPr>
        <w:t>市级相关文件规定进行申请，但根据资金投入情况来看</w:t>
      </w:r>
      <w:r>
        <w:rPr>
          <w:rFonts w:hint="eastAsia" w:cs="Times New Roman"/>
        </w:rPr>
        <w:t>，</w:t>
      </w:r>
      <w:r>
        <w:rPr>
          <w:rFonts w:cs="Times New Roman"/>
        </w:rPr>
        <w:t>该资金</w:t>
      </w:r>
      <w:r>
        <w:rPr>
          <w:rFonts w:hint="eastAsia" w:cs="Times New Roman"/>
        </w:rPr>
        <w:t>实际支出与预算存在差异，说明资金分配未进行详细充分的论证与测算，</w:t>
      </w:r>
      <w:r>
        <w:rPr>
          <w:rFonts w:cs="Times New Roman"/>
        </w:rPr>
        <w:t>得</w:t>
      </w:r>
      <w:r>
        <w:rPr>
          <w:rFonts w:hint="eastAsia" w:cs="Times New Roman"/>
        </w:rPr>
        <w:t>0.5</w:t>
      </w:r>
      <w:r>
        <w:rPr>
          <w:rFonts w:cs="Times New Roman"/>
        </w:rPr>
        <w:t>分。</w:t>
      </w:r>
    </w:p>
    <w:p>
      <w:pPr>
        <w:pStyle w:val="5"/>
        <w:ind w:firstLine="562"/>
        <w:rPr>
          <w:rFonts w:cs="Times New Roman"/>
        </w:rPr>
      </w:pPr>
      <w:bookmarkStart w:id="79" w:name="_Toc30844"/>
      <w:bookmarkStart w:id="80" w:name="_Toc18687"/>
      <w:bookmarkStart w:id="81" w:name="_Toc67315591"/>
      <w:r>
        <w:rPr>
          <w:rFonts w:cs="Times New Roman"/>
        </w:rPr>
        <w:t>2.绩效目标（权重5，得分</w:t>
      </w:r>
      <w:r>
        <w:rPr>
          <w:rFonts w:hint="eastAsia" w:cs="Times New Roman"/>
        </w:rPr>
        <w:t>3.75</w:t>
      </w:r>
      <w:r>
        <w:rPr>
          <w:rFonts w:cs="Times New Roman"/>
        </w:rPr>
        <w:t>）</w:t>
      </w:r>
      <w:bookmarkEnd w:id="79"/>
      <w:bookmarkEnd w:id="80"/>
      <w:bookmarkEnd w:id="81"/>
    </w:p>
    <w:p>
      <w:pPr>
        <w:pStyle w:val="12"/>
        <w:ind w:firstLine="560"/>
        <w:rPr>
          <w:rFonts w:cs="Times New Roman"/>
        </w:rPr>
      </w:pPr>
      <w:r>
        <w:rPr>
          <w:rFonts w:cs="Times New Roman"/>
        </w:rPr>
        <w:t>（1）绩效目标合理性（权重2.5，得分2.</w:t>
      </w:r>
      <w:r>
        <w:rPr>
          <w:rFonts w:hint="eastAsia" w:cs="Times New Roman"/>
        </w:rPr>
        <w:t>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项目是否有绩效目标，0.5分；</w:t>
      </w:r>
    </w:p>
    <w:p>
      <w:pPr>
        <w:pStyle w:val="12"/>
        <w:ind w:firstLine="560"/>
        <w:rPr>
          <w:rFonts w:cs="Times New Roman"/>
        </w:rPr>
      </w:pPr>
      <w:r>
        <w:rPr>
          <w:rFonts w:hint="eastAsia" w:ascii="宋体" w:hAnsi="宋体" w:eastAsia="宋体" w:cs="宋体"/>
        </w:rPr>
        <w:t>②</w:t>
      </w:r>
      <w:r>
        <w:rPr>
          <w:rFonts w:cs="Times New Roman"/>
        </w:rPr>
        <w:t>是否与项目实施单位或委托单位职责密切相关，0.5分；</w:t>
      </w:r>
    </w:p>
    <w:p>
      <w:pPr>
        <w:pStyle w:val="12"/>
        <w:ind w:firstLine="560"/>
        <w:rPr>
          <w:rFonts w:cs="Times New Roman"/>
        </w:rPr>
      </w:pPr>
      <w:r>
        <w:rPr>
          <w:rFonts w:hint="eastAsia" w:ascii="宋体" w:hAnsi="宋体" w:eastAsia="宋体" w:cs="宋体"/>
        </w:rPr>
        <w:t>③</w:t>
      </w:r>
      <w:r>
        <w:rPr>
          <w:rFonts w:cs="Times New Roman"/>
        </w:rPr>
        <w:t>项目预期产出和效果是否符合正常的业绩水平，0.5分；</w:t>
      </w:r>
    </w:p>
    <w:p>
      <w:pPr>
        <w:pStyle w:val="12"/>
        <w:ind w:firstLine="560"/>
        <w:rPr>
          <w:rFonts w:cs="Times New Roman"/>
        </w:rPr>
      </w:pPr>
      <w:r>
        <w:rPr>
          <w:rFonts w:hint="eastAsia" w:ascii="宋体" w:hAnsi="宋体" w:eastAsia="宋体" w:cs="宋体"/>
        </w:rPr>
        <w:t>④</w:t>
      </w:r>
      <w:r>
        <w:rPr>
          <w:rFonts w:cs="Times New Roman"/>
        </w:rPr>
        <w:t>是否符合国家相关法律法规、国民经济发展规划和党委政府决策，0.5分；</w:t>
      </w:r>
    </w:p>
    <w:p>
      <w:pPr>
        <w:pStyle w:val="12"/>
        <w:ind w:firstLine="560"/>
        <w:rPr>
          <w:rFonts w:cs="Times New Roman"/>
        </w:rPr>
      </w:pPr>
      <w:r>
        <w:rPr>
          <w:rFonts w:hint="eastAsia" w:ascii="宋体" w:hAnsi="宋体" w:eastAsia="宋体" w:cs="宋体"/>
        </w:rPr>
        <w:t>⑤</w:t>
      </w:r>
      <w:r>
        <w:rPr>
          <w:rFonts w:cs="Times New Roman"/>
        </w:rPr>
        <w:t>项目是否为促进事业发展所必需，0.5分。</w:t>
      </w:r>
    </w:p>
    <w:p>
      <w:pPr>
        <w:pStyle w:val="12"/>
        <w:ind w:firstLine="560"/>
        <w:rPr>
          <w:rFonts w:cs="Times New Roman"/>
        </w:rPr>
      </w:pPr>
      <w:r>
        <w:rPr>
          <w:rFonts w:ascii="Segoe UI Symbol" w:hAnsi="Segoe UI Symbol" w:cs="Segoe UI Symbol"/>
        </w:rPr>
        <w:t>★</w:t>
      </w:r>
      <w:r>
        <w:rPr>
          <w:rFonts w:cs="Times New Roman"/>
        </w:rPr>
        <w:t>如未要求制定预算绩效目标，也可考核其他工作任务目标。</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项目的整体绩效目标：</w:t>
      </w:r>
      <w:r>
        <w:rPr>
          <w:rFonts w:hint="eastAsia" w:cs="Times New Roman"/>
        </w:rPr>
        <w:t>做好第七次全国人口普查两员报酬发放等相关工作</w:t>
      </w:r>
      <w:r>
        <w:rPr>
          <w:rFonts w:cs="Times New Roman"/>
        </w:rPr>
        <w:t>，有绩效目标得0.5分；</w:t>
      </w:r>
    </w:p>
    <w:p>
      <w:pPr>
        <w:pStyle w:val="12"/>
        <w:ind w:firstLine="560"/>
        <w:rPr>
          <w:rFonts w:cs="Times New Roman"/>
        </w:rPr>
      </w:pPr>
      <w:r>
        <w:rPr>
          <w:rFonts w:hint="eastAsia" w:ascii="宋体" w:hAnsi="宋体" w:eastAsia="宋体" w:cs="宋体"/>
        </w:rPr>
        <w:t>②</w:t>
      </w:r>
      <w:r>
        <w:rPr>
          <w:rFonts w:cs="Times New Roman"/>
        </w:rPr>
        <w:t>该项目主要是为了</w:t>
      </w:r>
      <w:r>
        <w:rPr>
          <w:rFonts w:hint="eastAsia" w:cs="Times New Roman"/>
        </w:rPr>
        <w:t>做好第七次全国人口普查两员报酬发放等相关工作，</w:t>
      </w:r>
      <w:r>
        <w:rPr>
          <w:rFonts w:cs="Times New Roman"/>
        </w:rPr>
        <w:t>与</w:t>
      </w:r>
      <w:r>
        <w:rPr>
          <w:rFonts w:hint="eastAsia" w:cs="Times New Roman"/>
        </w:rPr>
        <w:t>漯河经济技术开发区统计中心</w:t>
      </w:r>
      <w:r>
        <w:rPr>
          <w:rFonts w:cs="Times New Roman"/>
        </w:rPr>
        <w:t>部门职责密切相关，得0.5分；</w:t>
      </w:r>
    </w:p>
    <w:p>
      <w:pPr>
        <w:pStyle w:val="12"/>
        <w:ind w:firstLine="560"/>
        <w:rPr>
          <w:rFonts w:cs="Times New Roman"/>
        </w:rPr>
      </w:pPr>
      <w:r>
        <w:rPr>
          <w:rFonts w:hint="eastAsia" w:ascii="宋体" w:hAnsi="宋体" w:eastAsia="宋体" w:cs="宋体"/>
        </w:rPr>
        <w:t>③</w:t>
      </w:r>
      <w:r>
        <w:rPr>
          <w:rFonts w:hint="eastAsia" w:ascii="仿宋" w:hAnsi="仿宋" w:cs="仿宋"/>
        </w:rPr>
        <w:t>漯河经济技术开发区</w:t>
      </w:r>
      <w:r>
        <w:rPr>
          <w:rFonts w:hint="eastAsia" w:cs="Times New Roman"/>
        </w:rPr>
        <w:t>统计中心</w:t>
      </w:r>
      <w:r>
        <w:rPr>
          <w:rFonts w:hint="eastAsia" w:ascii="仿宋" w:hAnsi="仿宋" w:cs="仿宋"/>
        </w:rPr>
        <w:t>提</w:t>
      </w:r>
      <w:r>
        <w:rPr>
          <w:rFonts w:cs="Times New Roman"/>
        </w:rPr>
        <w:t>供的《</w:t>
      </w:r>
      <w:r>
        <w:rPr>
          <w:rFonts w:hint="eastAsia" w:cs="Times New Roman"/>
        </w:rPr>
        <w:t>开发区财政资金支付申请表</w:t>
      </w:r>
      <w:r>
        <w:rPr>
          <w:rFonts w:cs="Times New Roman"/>
        </w:rPr>
        <w:t>》</w:t>
      </w:r>
      <w:r>
        <w:rPr>
          <w:rFonts w:hint="eastAsia" w:cs="Times New Roman"/>
        </w:rPr>
        <w:t>及费用请示</w:t>
      </w:r>
      <w:r>
        <w:rPr>
          <w:rFonts w:cs="Times New Roman"/>
        </w:rPr>
        <w:t>，对202</w:t>
      </w:r>
      <w:r>
        <w:rPr>
          <w:rFonts w:hint="eastAsia" w:cs="Times New Roman"/>
        </w:rPr>
        <w:t>1</w:t>
      </w:r>
      <w:r>
        <w:rPr>
          <w:rFonts w:cs="Times New Roman"/>
        </w:rPr>
        <w:t>年度</w:t>
      </w:r>
      <w:r>
        <w:rPr>
          <w:rFonts w:hint="eastAsia" w:cs="Times New Roman"/>
        </w:rPr>
        <w:t>漯河经济技术开发区统计中心</w:t>
      </w:r>
      <w:r>
        <w:rPr>
          <w:rFonts w:cs="Times New Roman"/>
        </w:rPr>
        <w:t>预算支出做出了说明，但资金的实际支付与预算存在差额</w:t>
      </w:r>
      <w:r>
        <w:rPr>
          <w:rFonts w:hint="eastAsia" w:cs="Times New Roman"/>
        </w:rPr>
        <w:t>，</w:t>
      </w:r>
      <w:r>
        <w:rPr>
          <w:rFonts w:cs="Times New Roman"/>
          <w:szCs w:val="40"/>
        </w:rPr>
        <w:t>相关活动和项目的开展未全部按照计划和</w:t>
      </w:r>
      <w:r>
        <w:rPr>
          <w:rFonts w:hint="eastAsia" w:cs="Times New Roman"/>
          <w:szCs w:val="40"/>
          <w:lang w:eastAsia="zh-CN"/>
        </w:rPr>
        <w:t>拨付</w:t>
      </w:r>
      <w:r>
        <w:rPr>
          <w:rFonts w:cs="Times New Roman"/>
          <w:szCs w:val="40"/>
        </w:rPr>
        <w:t>完成，</w:t>
      </w:r>
      <w:r>
        <w:rPr>
          <w:rFonts w:cs="Times New Roman"/>
        </w:rPr>
        <w:t>预期产出和效果</w:t>
      </w:r>
      <w:r>
        <w:rPr>
          <w:rFonts w:hint="eastAsia" w:cs="Times New Roman"/>
        </w:rPr>
        <w:t>与</w:t>
      </w:r>
      <w:r>
        <w:rPr>
          <w:rFonts w:cs="Times New Roman"/>
        </w:rPr>
        <w:t>实际产出和效果存在差异，得0.</w:t>
      </w:r>
      <w:r>
        <w:rPr>
          <w:rFonts w:hint="eastAsia" w:cs="Times New Roman"/>
        </w:rPr>
        <w:t>25</w:t>
      </w:r>
      <w:r>
        <w:rPr>
          <w:rFonts w:cs="Times New Roman"/>
        </w:rPr>
        <w:t>分；</w:t>
      </w:r>
    </w:p>
    <w:p>
      <w:pPr>
        <w:pStyle w:val="12"/>
        <w:ind w:firstLine="560"/>
        <w:rPr>
          <w:rFonts w:cs="Times New Roman"/>
        </w:rPr>
      </w:pPr>
      <w:r>
        <w:rPr>
          <w:rFonts w:hint="eastAsia" w:ascii="宋体" w:hAnsi="宋体" w:eastAsia="宋体" w:cs="宋体"/>
        </w:rPr>
        <w:t>④</w:t>
      </w:r>
      <w:r>
        <w:rPr>
          <w:rFonts w:cs="Times New Roman"/>
        </w:rPr>
        <w:t>项目绩效根据全国第七次人口普查相关文件要求</w:t>
      </w:r>
      <w:r>
        <w:rPr>
          <w:rFonts w:hint="eastAsia" w:cs="Times New Roman"/>
        </w:rPr>
        <w:t>及</w:t>
      </w:r>
      <w:r>
        <w:rPr>
          <w:rFonts w:cs="Times New Roman"/>
        </w:rPr>
        <w:t>经开区部门责任目标内容制定</w:t>
      </w:r>
      <w:r>
        <w:rPr>
          <w:rFonts w:hint="eastAsia" w:cs="Times New Roman"/>
        </w:rPr>
        <w:t>，</w:t>
      </w:r>
      <w:r>
        <w:rPr>
          <w:rFonts w:cs="Times New Roman"/>
        </w:rPr>
        <w:t>符合国家相关法律法规、国民经济发展规划和党委政府决策，得0.5分；</w:t>
      </w:r>
    </w:p>
    <w:p>
      <w:pPr>
        <w:pStyle w:val="12"/>
        <w:ind w:firstLine="560"/>
        <w:rPr>
          <w:rFonts w:cs="Times New Roman"/>
        </w:rPr>
      </w:pPr>
      <w:r>
        <w:rPr>
          <w:rFonts w:hint="eastAsia" w:ascii="宋体" w:hAnsi="宋体" w:eastAsia="宋体" w:cs="宋体"/>
        </w:rPr>
        <w:t>⑤</w:t>
      </w:r>
      <w:r>
        <w:rPr>
          <w:rFonts w:cs="Times New Roman"/>
        </w:rPr>
        <w:t>该项目的实施有效提高</w:t>
      </w:r>
      <w:r>
        <w:rPr>
          <w:rFonts w:hint="eastAsia" w:cs="Times New Roman"/>
        </w:rPr>
        <w:t>开发区的知名度，实现经济</w:t>
      </w:r>
      <w:r>
        <w:rPr>
          <w:rFonts w:cs="Times New Roman"/>
        </w:rPr>
        <w:t>的可持续开展。项目为促进</w:t>
      </w:r>
      <w:r>
        <w:rPr>
          <w:rFonts w:hint="eastAsia" w:cs="Times New Roman"/>
        </w:rPr>
        <w:t>城市</w:t>
      </w:r>
      <w:r>
        <w:rPr>
          <w:rFonts w:cs="Times New Roman"/>
        </w:rPr>
        <w:t>发展所必需，得0.5分。</w:t>
      </w:r>
    </w:p>
    <w:p>
      <w:pPr>
        <w:pStyle w:val="12"/>
        <w:ind w:firstLine="560"/>
        <w:rPr>
          <w:rFonts w:cs="Times New Roman"/>
        </w:rPr>
      </w:pPr>
      <w:r>
        <w:rPr>
          <w:rFonts w:cs="Times New Roman"/>
        </w:rPr>
        <w:t>（2）绩效指标明确性（权重2.5，得分</w:t>
      </w:r>
      <w:r>
        <w:rPr>
          <w:rFonts w:hint="eastAsia" w:cs="Times New Roman"/>
        </w:rPr>
        <w:t>1.5</w:t>
      </w:r>
      <w:r>
        <w:rPr>
          <w:rFonts w:cs="Times New Roman"/>
        </w:rPr>
        <w:t>分）</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是否将项目绩效目标细化分解为具体的绩效指标，1分；</w:t>
      </w:r>
    </w:p>
    <w:p>
      <w:pPr>
        <w:pStyle w:val="12"/>
        <w:ind w:firstLine="560"/>
        <w:rPr>
          <w:rFonts w:cs="Times New Roman"/>
        </w:rPr>
      </w:pPr>
      <w:r>
        <w:rPr>
          <w:rFonts w:hint="eastAsia" w:ascii="宋体" w:hAnsi="宋体" w:eastAsia="宋体" w:cs="宋体"/>
        </w:rPr>
        <w:t>②</w:t>
      </w:r>
      <w:r>
        <w:rPr>
          <w:rFonts w:cs="Times New Roman"/>
        </w:rPr>
        <w:t>是否通过清晰、可衡量的指标值予以体现，0.5分；</w:t>
      </w:r>
    </w:p>
    <w:p>
      <w:pPr>
        <w:pStyle w:val="12"/>
        <w:ind w:firstLine="560"/>
        <w:rPr>
          <w:rFonts w:cs="Times New Roman"/>
        </w:rPr>
      </w:pPr>
      <w:r>
        <w:rPr>
          <w:rFonts w:hint="eastAsia" w:ascii="宋体" w:hAnsi="宋体" w:eastAsia="宋体" w:cs="宋体"/>
        </w:rPr>
        <w:t>③</w:t>
      </w:r>
      <w:r>
        <w:rPr>
          <w:rFonts w:cs="Times New Roman"/>
        </w:rPr>
        <w:t>是否与项目目标任务数或计划数相对应，0.5分；</w:t>
      </w:r>
    </w:p>
    <w:p>
      <w:pPr>
        <w:pStyle w:val="12"/>
        <w:ind w:firstLine="560"/>
        <w:rPr>
          <w:rFonts w:cs="Times New Roman"/>
        </w:rPr>
      </w:pPr>
      <w:r>
        <w:rPr>
          <w:rFonts w:hint="eastAsia" w:ascii="宋体" w:hAnsi="宋体" w:eastAsia="宋体" w:cs="宋体"/>
        </w:rPr>
        <w:t>④</w:t>
      </w:r>
      <w:r>
        <w:rPr>
          <w:rFonts w:cs="Times New Roman"/>
        </w:rPr>
        <w:t>是否与预算确定的项目投资额或资金量相匹配，0.5分。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项目绩效目标进行了细化分解，细分为</w:t>
      </w:r>
      <w:r>
        <w:rPr>
          <w:rFonts w:hint="eastAsia" w:cs="Times New Roman"/>
        </w:rPr>
        <w:t>完成工业、贸易、投资等专业报表上报，第七次全国人口普查两员报酬</w:t>
      </w:r>
      <w:r>
        <w:rPr>
          <w:rFonts w:cs="Times New Roman"/>
        </w:rPr>
        <w:t>等目标，</w:t>
      </w:r>
      <w:r>
        <w:rPr>
          <w:rFonts w:hint="eastAsia" w:ascii="仿宋" w:hAnsi="仿宋" w:cs="仿宋"/>
          <w:bCs/>
          <w:color w:val="000000"/>
          <w:kern w:val="0"/>
          <w:sz w:val="30"/>
          <w:szCs w:val="30"/>
          <w:shd w:val="clear" w:color="auto" w:fill="FFFFFF"/>
        </w:rPr>
        <w:t>但未将统计中心的全部重点工作进行分解，无法与各专业工作经费完全匹配，</w:t>
      </w:r>
      <w:r>
        <w:rPr>
          <w:rFonts w:cs="Times New Roman"/>
        </w:rPr>
        <w:t>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上述绩效目标的指标值分别为：</w:t>
      </w:r>
      <w:r>
        <w:rPr>
          <w:rFonts w:hint="eastAsia" w:cs="Times New Roman"/>
        </w:rPr>
        <w:t>完成工业、贸易、投资等专业报表上报工作10次；人口普查两员报酬发放498人；</w:t>
      </w:r>
      <w:r>
        <w:rPr>
          <w:rFonts w:hint="eastAsia" w:ascii="仿宋" w:hAnsi="仿宋" w:cs="仿宋"/>
          <w:bCs/>
          <w:color w:val="000000"/>
          <w:kern w:val="0"/>
          <w:sz w:val="30"/>
          <w:szCs w:val="30"/>
          <w:shd w:val="clear" w:color="auto" w:fill="FFFFFF"/>
        </w:rPr>
        <w:t>配合做好争创全省优秀产业集聚区12项考核工作；配合做好国家级和省级开发区综合评价50项工作。但该指标未体现统计中心的全部重点工作与计划，无法与各专业工作经费完全匹配，</w:t>
      </w:r>
      <w:r>
        <w:rPr>
          <w:rFonts w:cs="Times New Roman"/>
        </w:rPr>
        <w:t>得0.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③</w:t>
      </w:r>
      <w:r>
        <w:rPr>
          <w:rFonts w:cs="Times New Roman"/>
        </w:rPr>
        <w:t>绩效目标与项目年度任务数相对应，得0.5分；</w:t>
      </w:r>
    </w:p>
    <w:p>
      <w:pPr>
        <w:pStyle w:val="12"/>
        <w:ind w:firstLine="560"/>
        <w:rPr>
          <w:rFonts w:eastAsia="楷体_GB2312" w:cs="Times New Roman"/>
        </w:rPr>
      </w:pPr>
      <w:r>
        <w:rPr>
          <w:rFonts w:hint="eastAsia" w:cs="Times New Roman"/>
        </w:rPr>
        <w:t>④做好第七次全国人口普查两员报酬发放等工作，申请预算为1685000元，</w:t>
      </w:r>
      <w:r>
        <w:rPr>
          <w:rFonts w:cs="Times New Roman"/>
        </w:rPr>
        <w:t>实际总支出为</w:t>
      </w:r>
      <w:r>
        <w:rPr>
          <w:rFonts w:hint="eastAsia" w:cs="Times New Roman"/>
        </w:rPr>
        <w:t>1628433.1</w:t>
      </w:r>
      <w:r>
        <w:rPr>
          <w:rFonts w:cs="Times New Roman"/>
        </w:rPr>
        <w:t>元</w:t>
      </w:r>
      <w:r>
        <w:rPr>
          <w:rFonts w:hint="eastAsia" w:cs="Times New Roman"/>
        </w:rPr>
        <w:t>，</w:t>
      </w:r>
      <w:r>
        <w:rPr>
          <w:rFonts w:cs="Times New Roman"/>
        </w:rPr>
        <w:t>实际支出额比预算确定的项目支出</w:t>
      </w:r>
      <w:r>
        <w:rPr>
          <w:rFonts w:hint="eastAsia" w:cs="Times New Roman"/>
        </w:rPr>
        <w:t>少56566.9</w:t>
      </w:r>
      <w:r>
        <w:rPr>
          <w:rFonts w:cs="Times New Roman"/>
        </w:rPr>
        <w:t>元，实际支出</w:t>
      </w:r>
      <w:r>
        <w:rPr>
          <w:rFonts w:hint="eastAsia" w:cs="Times New Roman"/>
        </w:rPr>
        <w:t>小于</w:t>
      </w:r>
      <w:r>
        <w:rPr>
          <w:rFonts w:cs="Times New Roman"/>
        </w:rPr>
        <w:t>预算金额</w:t>
      </w:r>
      <w:r>
        <w:rPr>
          <w:rFonts w:hint="eastAsia" w:cs="Times New Roman"/>
        </w:rPr>
        <w:t>，</w:t>
      </w:r>
      <w:r>
        <w:rPr>
          <w:rFonts w:cs="Times New Roman"/>
        </w:rPr>
        <w:t>得0.</w:t>
      </w:r>
      <w:r>
        <w:rPr>
          <w:rFonts w:hint="eastAsia" w:cs="Times New Roman"/>
        </w:rPr>
        <w:t>25</w:t>
      </w:r>
      <w:r>
        <w:rPr>
          <w:rFonts w:cs="Times New Roman"/>
        </w:rPr>
        <w:t>分。</w:t>
      </w:r>
    </w:p>
    <w:p>
      <w:pPr>
        <w:pStyle w:val="5"/>
        <w:ind w:firstLine="562"/>
        <w:rPr>
          <w:rFonts w:cs="Times New Roman"/>
        </w:rPr>
      </w:pPr>
      <w:bookmarkStart w:id="82" w:name="_Toc67315592"/>
      <w:bookmarkStart w:id="83" w:name="_Toc25223"/>
      <w:bookmarkStart w:id="84" w:name="_Toc8138"/>
      <w:r>
        <w:rPr>
          <w:rFonts w:cs="Times New Roman"/>
        </w:rPr>
        <w:t>3.资金安排（权重5，得分</w:t>
      </w:r>
      <w:r>
        <w:rPr>
          <w:rFonts w:hint="eastAsia" w:cs="Times New Roman"/>
        </w:rPr>
        <w:t>2.5</w:t>
      </w:r>
      <w:r>
        <w:rPr>
          <w:rFonts w:cs="Times New Roman"/>
        </w:rPr>
        <w:t>）</w:t>
      </w:r>
      <w:bookmarkEnd w:id="82"/>
      <w:bookmarkEnd w:id="83"/>
      <w:bookmarkEnd w:id="84"/>
    </w:p>
    <w:p>
      <w:pPr>
        <w:pStyle w:val="12"/>
        <w:ind w:firstLine="560"/>
        <w:rPr>
          <w:rFonts w:cs="Times New Roman"/>
        </w:rPr>
      </w:pPr>
      <w:r>
        <w:rPr>
          <w:rFonts w:cs="Times New Roman"/>
        </w:rPr>
        <w:t>（1）预算编制合理性（权重3，得分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预算编制是否经过论证，0.75分；</w:t>
      </w:r>
    </w:p>
    <w:p>
      <w:pPr>
        <w:pStyle w:val="12"/>
        <w:ind w:firstLine="560"/>
        <w:rPr>
          <w:rFonts w:cs="Times New Roman"/>
        </w:rPr>
      </w:pPr>
      <w:r>
        <w:rPr>
          <w:rFonts w:hint="eastAsia" w:ascii="宋体" w:hAnsi="宋体" w:eastAsia="宋体" w:cs="宋体"/>
        </w:rPr>
        <w:t>②</w:t>
      </w:r>
      <w:r>
        <w:rPr>
          <w:rFonts w:cs="Times New Roman"/>
        </w:rPr>
        <w:t>预算内容与项目实际内容是否匹配，0.75分；</w:t>
      </w:r>
    </w:p>
    <w:p>
      <w:pPr>
        <w:pStyle w:val="12"/>
        <w:ind w:firstLine="560"/>
        <w:rPr>
          <w:rFonts w:cs="Times New Roman"/>
        </w:rPr>
      </w:pPr>
      <w:r>
        <w:rPr>
          <w:rFonts w:hint="eastAsia" w:ascii="宋体" w:hAnsi="宋体" w:eastAsia="宋体" w:cs="宋体"/>
        </w:rPr>
        <w:t>③</w:t>
      </w:r>
      <w:r>
        <w:rPr>
          <w:rFonts w:cs="Times New Roman"/>
        </w:rPr>
        <w:t>预算额度测算依据是否充分，是否按标准编制，0.75分；</w:t>
      </w:r>
    </w:p>
    <w:p>
      <w:pPr>
        <w:pStyle w:val="12"/>
        <w:ind w:firstLine="560"/>
        <w:rPr>
          <w:rFonts w:cs="Times New Roman"/>
        </w:rPr>
      </w:pPr>
      <w:r>
        <w:rPr>
          <w:rFonts w:hint="eastAsia" w:ascii="宋体" w:hAnsi="宋体" w:eastAsia="宋体" w:cs="宋体"/>
        </w:rPr>
        <w:t>④</w:t>
      </w:r>
      <w:r>
        <w:rPr>
          <w:rFonts w:cs="Times New Roman"/>
        </w:rPr>
        <w:t>预算确定的项目投资额或资金量是否与年度工作任务相匹配，0.75分。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仿宋" w:hAnsi="仿宋" w:cs="仿宋"/>
        </w:rPr>
        <w:t>①漯河经济技术开发区统计中心虽然</w:t>
      </w:r>
      <w:r>
        <w:rPr>
          <w:rFonts w:hint="eastAsia" w:cs="Times New Roman"/>
        </w:rPr>
        <w:t>提供了《漯河经济技术开发区财政局关于批复2021年部门预算的通知》（漯开财【2021】15号）文件，但</w:t>
      </w:r>
      <w:r>
        <w:rPr>
          <w:rFonts w:hint="eastAsia" w:cs="Times New Roman"/>
          <w:lang w:eastAsia="zh-CN"/>
        </w:rPr>
        <w:t>未提供</w:t>
      </w:r>
      <w:r>
        <w:rPr>
          <w:rFonts w:hint="eastAsia" w:cs="Times New Roman"/>
        </w:rPr>
        <w:t>预算</w:t>
      </w:r>
      <w:r>
        <w:rPr>
          <w:rFonts w:hint="eastAsia" w:cs="Times New Roman"/>
          <w:lang w:eastAsia="zh-CN"/>
        </w:rPr>
        <w:t>调剂相关资料</w:t>
      </w:r>
      <w:r>
        <w:rPr>
          <w:rFonts w:hint="eastAsia" w:cs="Times New Roman"/>
        </w:rPr>
        <w:t>，</w:t>
      </w:r>
      <w:r>
        <w:rPr>
          <w:rFonts w:cs="Times New Roman"/>
        </w:rPr>
        <w:t>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漯河经济技术开发区统计中心统计各专业工作经费</w:t>
      </w:r>
      <w:r>
        <w:rPr>
          <w:rFonts w:hint="eastAsia" w:cs="Times New Roman"/>
        </w:rPr>
        <w:t>，</w:t>
      </w:r>
      <w:r>
        <w:rPr>
          <w:rFonts w:cs="Times New Roman"/>
        </w:rPr>
        <w:t>预算资金</w:t>
      </w:r>
      <w:r>
        <w:rPr>
          <w:rFonts w:hint="eastAsia" w:cs="Times New Roman"/>
        </w:rPr>
        <w:t>1685000.00</w:t>
      </w:r>
      <w:r>
        <w:rPr>
          <w:rFonts w:cs="Times New Roman"/>
        </w:rPr>
        <w:t>元</w:t>
      </w:r>
      <w:r>
        <w:rPr>
          <w:rFonts w:hint="eastAsia" w:cs="Times New Roman"/>
        </w:rPr>
        <w:t>，</w:t>
      </w:r>
      <w:r>
        <w:rPr>
          <w:rFonts w:cs="Times New Roman"/>
        </w:rPr>
        <w:t>实际总支出为</w:t>
      </w:r>
      <w:r>
        <w:rPr>
          <w:rFonts w:hint="eastAsia" w:cs="Times New Roman"/>
        </w:rPr>
        <w:t>1628433.1</w:t>
      </w:r>
      <w:r>
        <w:rPr>
          <w:rFonts w:cs="Times New Roman"/>
        </w:rPr>
        <w:t>元，存在误差，</w:t>
      </w:r>
      <w:r>
        <w:rPr>
          <w:rFonts w:hint="eastAsia" w:cs="Times New Roman"/>
        </w:rPr>
        <w:t>具体</w:t>
      </w:r>
      <w:r>
        <w:rPr>
          <w:rFonts w:cs="Times New Roman"/>
        </w:rPr>
        <w:t>表现</w:t>
      </w:r>
      <w:r>
        <w:rPr>
          <w:rFonts w:hint="eastAsia" w:cs="Times New Roman"/>
        </w:rPr>
        <w:t>如下</w:t>
      </w:r>
      <w:r>
        <w:rPr>
          <w:rFonts w:cs="Times New Roman"/>
        </w:rPr>
        <w:t>：</w:t>
      </w:r>
    </w:p>
    <w:tbl>
      <w:tblPr>
        <w:tblStyle w:val="2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99"/>
        <w:gridCol w:w="1918"/>
        <w:gridCol w:w="214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1</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劳务费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1160000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1153700</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2</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办公费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20000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20809.7</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3</w:t>
            </w:r>
          </w:p>
        </w:tc>
        <w:tc>
          <w:tcPr>
            <w:tcW w:w="2099" w:type="dxa"/>
            <w:vAlign w:val="bottom"/>
          </w:tcPr>
          <w:p>
            <w:pPr>
              <w:widowControl/>
              <w:spacing w:line="240" w:lineRule="auto"/>
              <w:ind w:right="320"/>
              <w:jc w:val="center"/>
              <w:textAlignment w:val="bottom"/>
              <w:rPr>
                <w:rFonts w:ascii="仿宋" w:hAnsi="仿宋" w:eastAsia="仿宋" w:cs="仿宋"/>
                <w:sz w:val="24"/>
              </w:rPr>
            </w:pPr>
            <w:r>
              <w:rPr>
                <w:rFonts w:hint="eastAsia" w:ascii="仿宋" w:hAnsi="仿宋" w:eastAsia="仿宋" w:cs="仿宋"/>
                <w:color w:val="000000"/>
                <w:kern w:val="0"/>
                <w:sz w:val="24"/>
              </w:rPr>
              <w:t>其他工资福利支出</w:t>
            </w:r>
          </w:p>
        </w:tc>
        <w:tc>
          <w:tcPr>
            <w:tcW w:w="1918" w:type="dxa"/>
            <w:vAlign w:val="center"/>
          </w:tcPr>
          <w:p>
            <w:pPr>
              <w:widowControl/>
              <w:ind w:left="0" w:leftChars="0" w:right="320"/>
              <w:jc w:val="center"/>
              <w:textAlignment w:val="bottom"/>
              <w:rPr>
                <w:rFonts w:ascii="仿宋" w:hAnsi="仿宋" w:eastAsia="仿宋" w:cs="仿宋"/>
                <w:sz w:val="24"/>
              </w:rPr>
            </w:pPr>
            <w:r>
              <w:rPr>
                <w:rFonts w:hint="eastAsia" w:ascii="仿宋" w:hAnsi="仿宋" w:eastAsia="仿宋" w:cs="仿宋"/>
                <w:color w:val="000000"/>
                <w:kern w:val="0"/>
                <w:sz w:val="24"/>
              </w:rPr>
              <w:t xml:space="preserve">  140000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91000</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4</w:t>
            </w:r>
          </w:p>
        </w:tc>
        <w:tc>
          <w:tcPr>
            <w:tcW w:w="2099" w:type="dxa"/>
            <w:vAlign w:val="center"/>
          </w:tcPr>
          <w:p>
            <w:pPr>
              <w:widowControl/>
              <w:spacing w:line="400" w:lineRule="exact"/>
              <w:ind w:right="320"/>
              <w:jc w:val="center"/>
              <w:textAlignment w:val="center"/>
              <w:rPr>
                <w:rFonts w:ascii="仿宋" w:hAnsi="仿宋" w:eastAsia="仿宋" w:cs="仿宋"/>
                <w:sz w:val="24"/>
              </w:rPr>
            </w:pPr>
            <w:r>
              <w:rPr>
                <w:rFonts w:hint="eastAsia" w:ascii="仿宋" w:hAnsi="仿宋" w:eastAsia="仿宋" w:cs="仿宋"/>
                <w:color w:val="000000"/>
                <w:kern w:val="0"/>
                <w:sz w:val="24"/>
              </w:rPr>
              <w:t>其他商品和服务支出</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240000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203677</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84.87%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5</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维修费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29920</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299.20%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6</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印刷费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100000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112838</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7</w:t>
            </w:r>
          </w:p>
        </w:tc>
        <w:tc>
          <w:tcPr>
            <w:tcW w:w="209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邮电费</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15000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16488.4</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gridSpan w:val="2"/>
            <w:vAlign w:val="center"/>
          </w:tcPr>
          <w:p>
            <w:pPr>
              <w:widowControl/>
              <w:ind w:right="320"/>
              <w:jc w:val="center"/>
              <w:textAlignment w:val="center"/>
              <w:rPr>
                <w:rFonts w:ascii="仿宋" w:hAnsi="仿宋" w:eastAsia="仿宋" w:cs="仿宋"/>
                <w:color w:val="000000"/>
                <w:kern w:val="0"/>
                <w:sz w:val="24"/>
              </w:rPr>
            </w:pPr>
            <w:r>
              <w:rPr>
                <w:rFonts w:hint="eastAsia" w:ascii="仿宋" w:hAnsi="仿宋" w:eastAsia="仿宋" w:cs="仿宋"/>
                <w:sz w:val="24"/>
              </w:rPr>
              <w:t>合  计</w:t>
            </w:r>
          </w:p>
        </w:tc>
        <w:tc>
          <w:tcPr>
            <w:tcW w:w="1918"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1685000</w:t>
            </w:r>
          </w:p>
        </w:tc>
        <w:tc>
          <w:tcPr>
            <w:tcW w:w="2149"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szCs w:val="24"/>
              </w:rPr>
              <w:t>1628433.1</w:t>
            </w:r>
          </w:p>
        </w:tc>
        <w:tc>
          <w:tcPr>
            <w:tcW w:w="1746"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color w:val="000000"/>
                <w:kern w:val="0"/>
                <w:sz w:val="24"/>
              </w:rPr>
              <w:t>96.64%</w:t>
            </w:r>
          </w:p>
        </w:tc>
      </w:tr>
    </w:tbl>
    <w:p>
      <w:pPr>
        <w:pStyle w:val="12"/>
        <w:ind w:firstLine="560"/>
        <w:rPr>
          <w:rFonts w:cs="Times New Roman"/>
        </w:rPr>
      </w:pPr>
      <w:r>
        <w:rPr>
          <w:rFonts w:cs="Times New Roman"/>
        </w:rPr>
        <w:t>主要原因是</w:t>
      </w:r>
      <w:r>
        <w:rPr>
          <w:rFonts w:hint="eastAsia" w:ascii="仿宋" w:hAnsi="仿宋" w:cs="仿宋"/>
          <w:szCs w:val="28"/>
        </w:rPr>
        <w:t>工作经费</w:t>
      </w:r>
      <w:r>
        <w:rPr>
          <w:rFonts w:cs="Times New Roman"/>
        </w:rPr>
        <w:t>实际使用情况与预算存在差异，得0.5分；</w:t>
      </w:r>
    </w:p>
    <w:p>
      <w:pPr>
        <w:pStyle w:val="12"/>
        <w:ind w:firstLine="560"/>
        <w:rPr>
          <w:rFonts w:cs="Times New Roman"/>
        </w:rPr>
      </w:pPr>
      <w:r>
        <w:rPr>
          <w:rFonts w:hint="eastAsia" w:ascii="宋体" w:hAnsi="宋体" w:eastAsia="宋体" w:cs="宋体"/>
        </w:rPr>
        <w:t>③</w:t>
      </w:r>
      <w:r>
        <w:rPr>
          <w:rFonts w:cs="Times New Roman"/>
        </w:rPr>
        <w:t>预算额度测算依据</w:t>
      </w:r>
      <w:r>
        <w:rPr>
          <w:rFonts w:hint="eastAsia" w:ascii="仿宋" w:hAnsi="仿宋" w:cs="仿宋"/>
        </w:rPr>
        <w:t>资料，得0分；</w:t>
      </w:r>
    </w:p>
    <w:p>
      <w:pPr>
        <w:pStyle w:val="12"/>
        <w:ind w:firstLine="560"/>
        <w:rPr>
          <w:rFonts w:cs="Times New Roman"/>
        </w:rPr>
      </w:pPr>
      <w:r>
        <w:rPr>
          <w:rFonts w:hint="eastAsia" w:ascii="宋体" w:hAnsi="宋体" w:eastAsia="宋体" w:cs="宋体"/>
        </w:rPr>
        <w:t>④</w:t>
      </w:r>
      <w:r>
        <w:rPr>
          <w:rFonts w:hint="eastAsia" w:ascii="仿宋" w:hAnsi="仿宋" w:cs="仿宋"/>
        </w:rPr>
        <w:t>漯河经济技术开发区统计中心2021年预算</w:t>
      </w:r>
      <w:r>
        <w:rPr>
          <w:rFonts w:cs="Times New Roman"/>
        </w:rPr>
        <w:t>数为</w:t>
      </w:r>
      <w:r>
        <w:rPr>
          <w:rFonts w:hint="eastAsia" w:cs="Times New Roman"/>
        </w:rPr>
        <w:t>1685000</w:t>
      </w:r>
      <w:r>
        <w:rPr>
          <w:rFonts w:cs="Times New Roman"/>
        </w:rPr>
        <w:t>元，全年项目支出执行数</w:t>
      </w:r>
      <w:r>
        <w:rPr>
          <w:rFonts w:hint="eastAsia" w:cs="Times New Roman"/>
        </w:rPr>
        <w:t>1628433.1</w:t>
      </w:r>
      <w:r>
        <w:rPr>
          <w:rFonts w:cs="Times New Roman"/>
        </w:rPr>
        <w:t>元，预算确定的项目支出额与年度工作任务</w:t>
      </w:r>
      <w:r>
        <w:rPr>
          <w:rFonts w:hint="eastAsia" w:cs="Times New Roman"/>
        </w:rPr>
        <w:t>有</w:t>
      </w:r>
      <w:r>
        <w:rPr>
          <w:rFonts w:cs="Times New Roman"/>
        </w:rPr>
        <w:t>差异，得0.5分。</w:t>
      </w:r>
    </w:p>
    <w:p>
      <w:pPr>
        <w:pStyle w:val="12"/>
        <w:ind w:firstLine="560"/>
        <w:rPr>
          <w:rFonts w:cs="Times New Roman"/>
        </w:rPr>
      </w:pPr>
      <w:r>
        <w:rPr>
          <w:rFonts w:cs="Times New Roman"/>
        </w:rPr>
        <w:t>（2）资金分配合理性（权重2，得分</w:t>
      </w:r>
      <w:r>
        <w:rPr>
          <w:rFonts w:hint="eastAsia" w:cs="Times New Roman"/>
        </w:rPr>
        <w:t>1</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预算资金分配依据是否充分，1分；</w:t>
      </w:r>
    </w:p>
    <w:p>
      <w:pPr>
        <w:pStyle w:val="12"/>
        <w:ind w:firstLine="560"/>
        <w:rPr>
          <w:rFonts w:cs="Times New Roman"/>
        </w:rPr>
      </w:pPr>
      <w:r>
        <w:rPr>
          <w:rFonts w:hint="eastAsia" w:ascii="宋体" w:hAnsi="宋体" w:eastAsia="宋体" w:cs="宋体"/>
        </w:rPr>
        <w:t>②</w:t>
      </w:r>
      <w:r>
        <w:rPr>
          <w:rFonts w:cs="Times New Roman"/>
        </w:rPr>
        <w:t>资金分配额度是否合理，与补助单位或地方实际是否相适应，1分。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根据</w:t>
      </w:r>
      <w:r>
        <w:rPr>
          <w:rFonts w:hint="eastAsia" w:cs="Times New Roman"/>
        </w:rPr>
        <w:t>漯河经济技术开发区统计中心</w:t>
      </w:r>
      <w:r>
        <w:rPr>
          <w:rFonts w:cs="Times New Roman"/>
        </w:rPr>
        <w:t>日常运营和项目开展情况，项目资金主要运用于</w:t>
      </w:r>
      <w:r>
        <w:rPr>
          <w:rFonts w:hint="eastAsia" w:cs="Times New Roman"/>
        </w:rPr>
        <w:t>劳务费、邮电费、维修费</w:t>
      </w:r>
      <w:r>
        <w:rPr>
          <w:rFonts w:cs="Times New Roman"/>
        </w:rPr>
        <w:t>等，该项目制定了详细的</w:t>
      </w:r>
      <w:r>
        <w:rPr>
          <w:rFonts w:hint="eastAsia" w:cs="Times New Roman"/>
        </w:rPr>
        <w:t>费用</w:t>
      </w:r>
      <w:r>
        <w:rPr>
          <w:rFonts w:cs="Times New Roman"/>
        </w:rPr>
        <w:t>清单</w:t>
      </w:r>
      <w:r>
        <w:rPr>
          <w:rFonts w:hint="eastAsia" w:cs="Times New Roman"/>
        </w:rPr>
        <w:t>，但实际支出费用与预算费用存在一定误差，例如其他工资福利支出和其他商品和服务支出实际支付低于预算值，而其他费用的实际支出高于预算值，预算资金分配依据不充分，</w:t>
      </w:r>
      <w:r>
        <w:rPr>
          <w:rFonts w:cs="Times New Roman"/>
        </w:rPr>
        <w:t>得0.5分；</w:t>
      </w:r>
    </w:p>
    <w:p>
      <w:pPr>
        <w:pStyle w:val="12"/>
        <w:ind w:firstLine="560"/>
        <w:rPr>
          <w:rFonts w:cs="Times New Roman"/>
        </w:rPr>
      </w:pPr>
      <w:r>
        <w:rPr>
          <w:rFonts w:hint="eastAsia" w:ascii="宋体" w:hAnsi="宋体" w:eastAsia="宋体" w:cs="宋体"/>
        </w:rPr>
        <w:t>②</w:t>
      </w:r>
      <w:r>
        <w:rPr>
          <w:rFonts w:hint="eastAsia" w:ascii="仿宋" w:hAnsi="仿宋" w:cs="仿宋"/>
        </w:rPr>
        <w:t>统计各专业工作经费</w:t>
      </w:r>
      <w:r>
        <w:rPr>
          <w:rFonts w:cs="Times New Roman"/>
        </w:rPr>
        <w:t>资金根据国家法律法规、地方相关规定和</w:t>
      </w:r>
      <w:r>
        <w:rPr>
          <w:rFonts w:hint="eastAsia" w:cs="Times New Roman"/>
        </w:rPr>
        <w:t>漯河经济技术开发区统计中心</w:t>
      </w:r>
      <w:r>
        <w:rPr>
          <w:rFonts w:cs="Times New Roman"/>
        </w:rPr>
        <w:t>实际</w:t>
      </w:r>
      <w:r>
        <w:rPr>
          <w:rFonts w:hint="eastAsia" w:cs="Times New Roman"/>
        </w:rPr>
        <w:t>支出</w:t>
      </w:r>
      <w:r>
        <w:rPr>
          <w:rFonts w:cs="Times New Roman"/>
        </w:rPr>
        <w:t>进行分配，与地方实际相适应，但</w:t>
      </w:r>
      <w:r>
        <w:rPr>
          <w:rFonts w:hint="eastAsia" w:cs="Times New Roman"/>
        </w:rPr>
        <w:t>工作经费的实际支出与预算存在差异</w:t>
      </w:r>
      <w:r>
        <w:rPr>
          <w:rFonts w:cs="Times New Roman"/>
        </w:rPr>
        <w:t>，资金分配额度存在一定误差，得0.5分。</w:t>
      </w:r>
    </w:p>
    <w:p>
      <w:pPr>
        <w:pStyle w:val="4"/>
        <w:ind w:firstLine="602"/>
        <w:rPr>
          <w:rFonts w:eastAsia="仿宋_GB2312" w:cs="Times New Roman"/>
        </w:rPr>
      </w:pPr>
      <w:bookmarkStart w:id="85" w:name="_Toc21734"/>
      <w:bookmarkStart w:id="86" w:name="_Toc27475"/>
      <w:bookmarkStart w:id="87" w:name="_Toc67315593"/>
      <w:r>
        <w:rPr>
          <w:rFonts w:cs="Times New Roman"/>
        </w:rPr>
        <w:t>（二）项目过程情况（权重</w:t>
      </w:r>
      <w:r>
        <w:rPr>
          <w:rFonts w:cs="Times New Roman"/>
          <w:color w:val="000000" w:themeColor="text1"/>
        </w:rPr>
        <w:t>25，得分</w:t>
      </w:r>
      <w:r>
        <w:rPr>
          <w:rFonts w:hint="eastAsia" w:cs="Times New Roman"/>
          <w:color w:val="000000" w:themeColor="text1"/>
          <w:lang w:val="en-US" w:eastAsia="zh-CN"/>
        </w:rPr>
        <w:t>16.5</w:t>
      </w:r>
      <w:r>
        <w:rPr>
          <w:rFonts w:cs="Times New Roman"/>
          <w:color w:val="000000" w:themeColor="text1"/>
        </w:rPr>
        <w:t>）</w:t>
      </w:r>
      <w:bookmarkEnd w:id="85"/>
      <w:bookmarkEnd w:id="86"/>
      <w:bookmarkEnd w:id="87"/>
    </w:p>
    <w:p>
      <w:pPr>
        <w:pStyle w:val="5"/>
        <w:ind w:firstLine="562"/>
        <w:rPr>
          <w:rFonts w:cs="Times New Roman"/>
        </w:rPr>
      </w:pPr>
      <w:bookmarkStart w:id="88" w:name="_Toc18742"/>
      <w:bookmarkStart w:id="89" w:name="_Toc67315594"/>
      <w:bookmarkStart w:id="90" w:name="_Toc6891"/>
      <w:r>
        <w:rPr>
          <w:rFonts w:cs="Times New Roman"/>
        </w:rPr>
        <w:t>1.业务管理（权重10，得分</w:t>
      </w:r>
      <w:r>
        <w:rPr>
          <w:rFonts w:hint="eastAsia" w:cs="Times New Roman"/>
        </w:rPr>
        <w:t>6</w:t>
      </w:r>
      <w:r>
        <w:rPr>
          <w:rFonts w:cs="Times New Roman"/>
        </w:rPr>
        <w:t>）</w:t>
      </w:r>
      <w:bookmarkEnd w:id="88"/>
      <w:bookmarkEnd w:id="89"/>
      <w:bookmarkEnd w:id="90"/>
    </w:p>
    <w:p>
      <w:pPr>
        <w:pStyle w:val="12"/>
        <w:ind w:firstLine="560"/>
        <w:rPr>
          <w:rFonts w:cs="Times New Roman"/>
        </w:rPr>
      </w:pPr>
      <w:r>
        <w:rPr>
          <w:rFonts w:cs="Times New Roman"/>
        </w:rPr>
        <w:t>（1）管理制度健全性（权重2，得分</w:t>
      </w:r>
      <w:r>
        <w:rPr>
          <w:rFonts w:hint="eastAsia" w:cs="Times New Roman"/>
        </w:rPr>
        <w:t>1</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是否已制定或具有相应的业务管理制度,1分；</w:t>
      </w:r>
    </w:p>
    <w:p>
      <w:pPr>
        <w:pStyle w:val="12"/>
        <w:ind w:firstLine="560"/>
        <w:rPr>
          <w:rFonts w:cs="Times New Roman"/>
        </w:rPr>
      </w:pPr>
      <w:r>
        <w:rPr>
          <w:rFonts w:hint="eastAsia" w:ascii="宋体" w:hAnsi="宋体" w:eastAsia="宋体" w:cs="宋体"/>
        </w:rPr>
        <w:t>②</w:t>
      </w:r>
      <w:r>
        <w:rPr>
          <w:rFonts w:cs="Times New Roman"/>
        </w:rPr>
        <w:t>业务管理制度是否合法、合规、完整,1分。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为</w:t>
      </w:r>
      <w:r>
        <w:rPr>
          <w:rFonts w:hint="eastAsia" w:cs="Times New Roman"/>
        </w:rPr>
        <w:t>保证相关业务的开展和工作经费的使用，漯河经济技术开发区经济发展局制定了相关管理制度，如《统计中心经费管理制度》、《统计中心财务管理制度》等</w:t>
      </w:r>
      <w:r>
        <w:rPr>
          <w:rFonts w:cs="Times New Roman"/>
        </w:rPr>
        <w:t>，但未根据工作开展制定相应的业务管理制度</w:t>
      </w:r>
      <w:r>
        <w:rPr>
          <w:rFonts w:hint="eastAsia" w:cs="Times New Roman"/>
        </w:rPr>
        <w:t>，</w:t>
      </w:r>
      <w:r>
        <w:rPr>
          <w:rFonts w:cs="Times New Roman"/>
        </w:rPr>
        <w:t>得</w:t>
      </w:r>
      <w:r>
        <w:rPr>
          <w:rFonts w:hint="eastAsia" w:cs="Times New Roman"/>
        </w:rPr>
        <w:t>0.5</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漯河经济技术开发区统计中心仅提供经费管理和财务管理制度，未提供</w:t>
      </w:r>
      <w:r>
        <w:rPr>
          <w:rFonts w:cs="Times New Roman"/>
        </w:rPr>
        <w:t>相关业务管理制度,得</w:t>
      </w:r>
      <w:r>
        <w:rPr>
          <w:rFonts w:hint="eastAsia" w:cs="Times New Roman"/>
        </w:rPr>
        <w:t>0.5</w:t>
      </w:r>
      <w:r>
        <w:rPr>
          <w:rFonts w:cs="Times New Roman"/>
        </w:rPr>
        <w:t>分。</w:t>
      </w:r>
    </w:p>
    <w:p>
      <w:pPr>
        <w:pStyle w:val="12"/>
        <w:ind w:firstLine="560"/>
        <w:rPr>
          <w:rFonts w:eastAsia="楷体_GB2312" w:cs="Times New Roman"/>
        </w:rPr>
      </w:pPr>
      <w:r>
        <w:rPr>
          <w:rFonts w:cs="Times New Roman"/>
        </w:rPr>
        <w:t>（2）制度执行有效性（权重3，得分2.25）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是否遵守相关法律法规和业务管理规定,0.75分；</w:t>
      </w:r>
    </w:p>
    <w:p>
      <w:pPr>
        <w:pStyle w:val="12"/>
        <w:ind w:firstLine="560"/>
        <w:rPr>
          <w:rFonts w:cs="Times New Roman"/>
        </w:rPr>
      </w:pPr>
      <w:r>
        <w:rPr>
          <w:rFonts w:hint="eastAsia" w:ascii="宋体" w:hAnsi="宋体" w:eastAsia="宋体" w:cs="宋体"/>
        </w:rPr>
        <w:t>②</w:t>
      </w:r>
      <w:r>
        <w:rPr>
          <w:rFonts w:cs="Times New Roman"/>
        </w:rPr>
        <w:t>项目调整及支出调整手续是否完备，0.75分；</w:t>
      </w:r>
    </w:p>
    <w:p>
      <w:pPr>
        <w:pStyle w:val="12"/>
        <w:ind w:firstLine="560"/>
        <w:rPr>
          <w:rFonts w:cs="Times New Roman"/>
        </w:rPr>
      </w:pPr>
      <w:r>
        <w:rPr>
          <w:rFonts w:hint="eastAsia" w:ascii="宋体" w:hAnsi="宋体" w:eastAsia="宋体" w:cs="宋体"/>
        </w:rPr>
        <w:t>③</w:t>
      </w:r>
      <w:r>
        <w:rPr>
          <w:rFonts w:cs="Times New Roman"/>
        </w:rPr>
        <w:t>项目合同书、确认书、协议书等资料是否齐全并及时归档，0.75分；</w:t>
      </w:r>
    </w:p>
    <w:p>
      <w:pPr>
        <w:pStyle w:val="12"/>
        <w:ind w:firstLine="560"/>
        <w:rPr>
          <w:rFonts w:cs="Times New Roman"/>
        </w:rPr>
      </w:pPr>
      <w:r>
        <w:rPr>
          <w:rFonts w:hint="eastAsia" w:ascii="宋体" w:hAnsi="宋体" w:eastAsia="宋体" w:cs="宋体"/>
        </w:rPr>
        <w:t>④</w:t>
      </w:r>
      <w:r>
        <w:rPr>
          <w:rFonts w:cs="Times New Roman"/>
        </w:rPr>
        <w:t>项目实施的人员条件、场地设备、信息支撑等是否落实到位，0.75分。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在“</w:t>
      </w:r>
      <w:r>
        <w:rPr>
          <w:rFonts w:hint="eastAsia" w:cs="Times New Roman"/>
        </w:rPr>
        <w:t>统计各专业工作经费</w:t>
      </w:r>
      <w:r>
        <w:rPr>
          <w:rFonts w:cs="Times New Roman"/>
        </w:rPr>
        <w:t>”实施和执行过程中，</w:t>
      </w:r>
      <w:r>
        <w:rPr>
          <w:rFonts w:hint="eastAsia" w:cs="Times New Roman"/>
        </w:rPr>
        <w:t>漯河经济技术开发区统计中心</w:t>
      </w:r>
      <w:r>
        <w:rPr>
          <w:rFonts w:cs="Times New Roman"/>
        </w:rPr>
        <w:t>均能按照相关法律法规及规章制度履行相关手续，得</w:t>
      </w:r>
      <w:r>
        <w:rPr>
          <w:rFonts w:hint="eastAsia" w:cs="Times New Roman"/>
        </w:rPr>
        <w:t>0.75</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highlight w:val="none"/>
        </w:rPr>
        <w:t>统计各专业工作经费项目预算发生变更，但</w:t>
      </w:r>
      <w:r>
        <w:rPr>
          <w:rFonts w:hint="eastAsia" w:cs="Times New Roman"/>
          <w:highlight w:val="none"/>
          <w:lang w:eastAsia="zh-CN"/>
        </w:rPr>
        <w:t>未提供预算调剂</w:t>
      </w:r>
      <w:r>
        <w:rPr>
          <w:rFonts w:hint="eastAsia" w:cs="Times New Roman"/>
          <w:highlight w:val="none"/>
        </w:rPr>
        <w:t>的</w:t>
      </w:r>
      <w:r>
        <w:rPr>
          <w:rFonts w:hint="eastAsia" w:cs="Times New Roman"/>
          <w:highlight w:val="none"/>
          <w:lang w:eastAsia="zh-CN"/>
        </w:rPr>
        <w:t>相关资料</w:t>
      </w:r>
      <w:r>
        <w:rPr>
          <w:rFonts w:cs="Times New Roman"/>
          <w:highlight w:val="none"/>
        </w:rPr>
        <w:t>，得0分</w:t>
      </w:r>
      <w:r>
        <w:rPr>
          <w:rFonts w:cs="Times New Roman"/>
        </w:rPr>
        <w:t>；</w:t>
      </w:r>
    </w:p>
    <w:p>
      <w:pPr>
        <w:pStyle w:val="12"/>
        <w:ind w:firstLine="560"/>
        <w:rPr>
          <w:rFonts w:cs="Times New Roman"/>
        </w:rPr>
      </w:pPr>
      <w:r>
        <w:rPr>
          <w:rFonts w:hint="eastAsia" w:ascii="宋体" w:hAnsi="宋体" w:eastAsia="宋体" w:cs="宋体"/>
        </w:rPr>
        <w:t>③</w:t>
      </w:r>
      <w:r>
        <w:rPr>
          <w:rFonts w:hint="eastAsia" w:cs="Times New Roman"/>
        </w:rPr>
        <w:t>漯河经济技术开发区统计中心</w:t>
      </w:r>
      <w:r>
        <w:rPr>
          <w:rFonts w:cs="Times New Roman"/>
        </w:rPr>
        <w:t>按照相关法律法规要求开展相关工作，项目合同书等资料能及时归档，得0.</w:t>
      </w:r>
      <w:r>
        <w:rPr>
          <w:rFonts w:hint="eastAsia" w:cs="Times New Roman"/>
        </w:rPr>
        <w:t>7</w:t>
      </w:r>
      <w:r>
        <w:rPr>
          <w:rFonts w:cs="Times New Roman"/>
        </w:rPr>
        <w:t>5分；</w:t>
      </w:r>
    </w:p>
    <w:p>
      <w:pPr>
        <w:pStyle w:val="12"/>
        <w:ind w:firstLine="560"/>
        <w:rPr>
          <w:rFonts w:eastAsia="楷体_GB2312" w:cs="Times New Roman"/>
        </w:rPr>
      </w:pPr>
      <w:r>
        <w:rPr>
          <w:rFonts w:hint="eastAsia" w:ascii="宋体" w:hAnsi="宋体" w:eastAsia="宋体" w:cs="宋体"/>
        </w:rPr>
        <w:t>④</w:t>
      </w:r>
      <w:r>
        <w:rPr>
          <w:rFonts w:cs="Times New Roman"/>
        </w:rPr>
        <w:t>经与</w:t>
      </w:r>
      <w:r>
        <w:rPr>
          <w:rFonts w:hint="eastAsia" w:cs="Times New Roman"/>
        </w:rPr>
        <w:t>漯河经济技术开发区统计中心</w:t>
      </w:r>
      <w:r>
        <w:rPr>
          <w:rFonts w:cs="Times New Roman"/>
        </w:rPr>
        <w:t>相关负责人访谈及现场专访和调查，该项目由专人专管，项目实施的人员条件、场地设备、信息支撑等落实到位，得0.75分。</w:t>
      </w:r>
    </w:p>
    <w:p>
      <w:pPr>
        <w:pStyle w:val="12"/>
        <w:ind w:firstLine="560"/>
        <w:rPr>
          <w:rFonts w:eastAsia="楷体_GB2312" w:cs="Times New Roman"/>
        </w:rPr>
      </w:pPr>
      <w:r>
        <w:rPr>
          <w:rFonts w:cs="Times New Roman"/>
        </w:rPr>
        <w:t>（3）档案管理规范性（权重2，得分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是否指定专人负责项目档案专门管理，1分；</w:t>
      </w:r>
    </w:p>
    <w:p>
      <w:pPr>
        <w:pStyle w:val="12"/>
        <w:ind w:firstLine="560"/>
        <w:rPr>
          <w:rFonts w:cs="Times New Roman"/>
        </w:rPr>
      </w:pPr>
      <w:r>
        <w:rPr>
          <w:rFonts w:hint="eastAsia" w:ascii="宋体" w:hAnsi="宋体" w:eastAsia="宋体" w:cs="宋体"/>
        </w:rPr>
        <w:t>②</w:t>
      </w:r>
      <w:r>
        <w:rPr>
          <w:rFonts w:cs="Times New Roman"/>
        </w:rPr>
        <w:t>项目档案资料是否完整、齐全、规范，1分。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cs="Times New Roman"/>
        </w:rPr>
        <w:t>为加强档案管理规范性，</w:t>
      </w:r>
      <w:r>
        <w:rPr>
          <w:rFonts w:hint="eastAsia" w:cs="Times New Roman"/>
        </w:rPr>
        <w:t>漯河经济技术开发区统计中心</w:t>
      </w:r>
      <w:r>
        <w:rPr>
          <w:rFonts w:cs="Times New Roman"/>
        </w:rPr>
        <w:t>指定专人负责项目档案专门管理，其档案管理参照《</w:t>
      </w:r>
      <w:r>
        <w:rPr>
          <w:rFonts w:hint="eastAsia" w:cs="Times New Roman"/>
        </w:rPr>
        <w:t>漯河</w:t>
      </w:r>
      <w:r>
        <w:rPr>
          <w:rFonts w:cs="Times New Roman"/>
        </w:rPr>
        <w:t>市档案管理办法》，得</w:t>
      </w:r>
      <w:r>
        <w:rPr>
          <w:rFonts w:hint="eastAsia" w:cs="Times New Roman"/>
        </w:rPr>
        <w:t>1</w:t>
      </w:r>
      <w:r>
        <w:rPr>
          <w:rFonts w:cs="Times New Roman"/>
        </w:rPr>
        <w:t>分；</w:t>
      </w:r>
    </w:p>
    <w:p>
      <w:pPr>
        <w:pStyle w:val="12"/>
        <w:ind w:firstLine="560"/>
        <w:rPr>
          <w:rFonts w:cs="Times New Roman"/>
          <w:highlight w:val="none"/>
        </w:rPr>
      </w:pPr>
      <w:r>
        <w:rPr>
          <w:rFonts w:hint="eastAsia" w:ascii="宋体" w:hAnsi="宋体" w:eastAsia="宋体" w:cs="宋体"/>
          <w:highlight w:val="none"/>
        </w:rPr>
        <w:t>②</w:t>
      </w:r>
      <w:r>
        <w:rPr>
          <w:rFonts w:cs="Times New Roman"/>
          <w:highlight w:val="none"/>
        </w:rPr>
        <w:t>经现场走访和档案资料调查查阅情况来看，</w:t>
      </w:r>
      <w:r>
        <w:rPr>
          <w:rFonts w:hint="eastAsia" w:cs="Times New Roman"/>
          <w:highlight w:val="none"/>
          <w:lang w:eastAsia="zh-CN"/>
        </w:rPr>
        <w:t>除预算调剂相关资料外，</w:t>
      </w:r>
      <w:r>
        <w:rPr>
          <w:rFonts w:cs="Times New Roman"/>
          <w:highlight w:val="none"/>
        </w:rPr>
        <w:t>对本次调研所需档案，</w:t>
      </w:r>
      <w:r>
        <w:rPr>
          <w:rFonts w:hint="eastAsia" w:cs="Times New Roman"/>
          <w:highlight w:val="none"/>
        </w:rPr>
        <w:t>漯河经济技术开发区统计中心</w:t>
      </w:r>
      <w:r>
        <w:rPr>
          <w:rFonts w:cs="Times New Roman"/>
          <w:highlight w:val="none"/>
        </w:rPr>
        <w:t>均能及时、全面的提供，项目档案资料</w:t>
      </w:r>
      <w:r>
        <w:rPr>
          <w:rFonts w:hint="eastAsia" w:cs="Times New Roman"/>
          <w:highlight w:val="none"/>
          <w:lang w:eastAsia="zh-CN"/>
        </w:rPr>
        <w:t>需加强</w:t>
      </w:r>
      <w:r>
        <w:rPr>
          <w:rFonts w:cs="Times New Roman"/>
          <w:highlight w:val="none"/>
        </w:rPr>
        <w:t>规范管理</w:t>
      </w:r>
      <w:r>
        <w:rPr>
          <w:rFonts w:hint="eastAsia" w:cs="Times New Roman"/>
          <w:highlight w:val="none"/>
        </w:rPr>
        <w:t>，</w:t>
      </w:r>
      <w:r>
        <w:rPr>
          <w:rFonts w:cs="Times New Roman"/>
          <w:highlight w:val="none"/>
        </w:rPr>
        <w:t>得</w:t>
      </w:r>
      <w:r>
        <w:rPr>
          <w:rFonts w:hint="eastAsia" w:cs="Times New Roman"/>
          <w:highlight w:val="none"/>
        </w:rPr>
        <w:t>0.5</w:t>
      </w:r>
      <w:r>
        <w:rPr>
          <w:rFonts w:cs="Times New Roman"/>
          <w:highlight w:val="none"/>
        </w:rPr>
        <w:t>分。</w:t>
      </w:r>
    </w:p>
    <w:p>
      <w:pPr>
        <w:pStyle w:val="12"/>
        <w:ind w:firstLine="560"/>
        <w:rPr>
          <w:rFonts w:eastAsia="楷体_GB2312" w:cs="Times New Roman"/>
        </w:rPr>
      </w:pPr>
      <w:r>
        <w:rPr>
          <w:rFonts w:cs="Times New Roman"/>
        </w:rPr>
        <w:t>（4）项目质量可控性（权重3，得分</w:t>
      </w:r>
      <w:r>
        <w:rPr>
          <w:rFonts w:hint="eastAsia" w:cs="Times New Roman"/>
        </w:rPr>
        <w:t>1.25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是否已制定或具有相应的项目质量要求或标准，1.5分；</w:t>
      </w:r>
    </w:p>
    <w:p>
      <w:pPr>
        <w:pStyle w:val="12"/>
        <w:ind w:firstLine="560"/>
        <w:rPr>
          <w:rFonts w:cs="Times New Roman"/>
        </w:rPr>
      </w:pPr>
      <w:r>
        <w:rPr>
          <w:rFonts w:hint="eastAsia" w:ascii="宋体" w:hAnsi="宋体" w:eastAsia="宋体" w:cs="宋体"/>
        </w:rPr>
        <w:t>②</w:t>
      </w:r>
      <w:r>
        <w:rPr>
          <w:rFonts w:cs="Times New Roman"/>
        </w:rPr>
        <w:t>是否采取了相应的项目质量检查、验收等必需的控制措施或手段，1.5分。</w:t>
      </w:r>
    </w:p>
    <w:p>
      <w:pPr>
        <w:pStyle w:val="12"/>
        <w:ind w:firstLine="562"/>
        <w:rPr>
          <w:rFonts w:cs="Times New Roman"/>
          <w:b/>
        </w:rPr>
      </w:pPr>
      <w:r>
        <w:rPr>
          <w:rFonts w:cs="Times New Roman"/>
          <w:b/>
        </w:rPr>
        <w:t>得分：</w:t>
      </w:r>
    </w:p>
    <w:p>
      <w:pPr>
        <w:pStyle w:val="12"/>
        <w:ind w:firstLine="560"/>
        <w:rPr>
          <w:rFonts w:ascii="仿宋" w:hAnsi="仿宋" w:cs="Times New Roman"/>
        </w:rPr>
      </w:pPr>
      <w:r>
        <w:rPr>
          <w:rFonts w:hint="eastAsia" w:ascii="仿宋" w:hAnsi="仿宋" w:cs="Times New Roman"/>
        </w:rPr>
        <w:t>该部分在资料搜集和评判工作，主要从保证招商信息质量的措施，保证全区经济运行目标检测、分析工作质量的措施，保证省产业集聚区年度考核评价指标的检测、统计分析牵头工作质量的措施，保证国家级和省级开发区综合评价质量的措施，保证统计名录库建设、“四上”企业入库工作质量的措施，保证第七次人口普查工作质量的措施，保证培训管理工作质量的措施，保证“四城同建”等工作目标完成质量的措施，保证上级、党工委、管委会等交办的其他重点工作完成质量的措施等方面进行。</w:t>
      </w:r>
    </w:p>
    <w:p>
      <w:pPr>
        <w:pStyle w:val="12"/>
        <w:ind w:firstLine="560"/>
        <w:rPr>
          <w:rFonts w:cs="Times New Roman"/>
        </w:rPr>
      </w:pPr>
      <w:r>
        <w:rPr>
          <w:rFonts w:hint="eastAsia" w:ascii="仿宋" w:hAnsi="仿宋" w:cs="Times New Roman"/>
        </w:rPr>
        <w:t>①</w:t>
      </w:r>
      <w:r>
        <w:rPr>
          <w:rFonts w:hint="eastAsia" w:cs="Times New Roman"/>
        </w:rPr>
        <w:t>为保证招商信息、全区经济运行目标检测与分析工作、第七次人口普查工作等九项工作的质量，漯河经济技术开发区统计中心制定了《统计岗位职责》、《周例会制度》、《预警提醒制度》等工作制度，但缺少对“两员”工作绩效评价的标准，</w:t>
      </w:r>
      <w:r>
        <w:rPr>
          <w:rFonts w:cs="Times New Roman"/>
        </w:rPr>
        <w:t>得</w:t>
      </w:r>
      <w:r>
        <w:rPr>
          <w:rFonts w:hint="eastAsia" w:cs="Times New Roman"/>
        </w:rPr>
        <w:t>0.75</w:t>
      </w:r>
      <w:r>
        <w:rPr>
          <w:rFonts w:cs="Times New Roman"/>
        </w:rPr>
        <w:t>分；</w:t>
      </w:r>
    </w:p>
    <w:p>
      <w:pPr>
        <w:pStyle w:val="12"/>
        <w:ind w:firstLine="560"/>
        <w:rPr>
          <w:rFonts w:eastAsia="楷体_GB2312" w:cs="Times New Roman"/>
        </w:rPr>
      </w:pPr>
      <w:r>
        <w:rPr>
          <w:rFonts w:hint="eastAsia" w:ascii="宋体" w:hAnsi="宋体" w:eastAsia="宋体" w:cs="宋体"/>
        </w:rPr>
        <w:t>②</w:t>
      </w:r>
      <w:r>
        <w:rPr>
          <w:rFonts w:cs="Times New Roman"/>
        </w:rPr>
        <w:t>在</w:t>
      </w:r>
      <w:r>
        <w:rPr>
          <w:rFonts w:hint="eastAsia" w:cs="Times New Roman"/>
        </w:rPr>
        <w:t>工作</w:t>
      </w:r>
      <w:r>
        <w:rPr>
          <w:rFonts w:cs="Times New Roman"/>
        </w:rPr>
        <w:t>开展过程中</w:t>
      </w:r>
      <w:r>
        <w:rPr>
          <w:rFonts w:hint="eastAsia" w:cs="Times New Roman"/>
        </w:rPr>
        <w:t>，除相关财务管理、资金管理及工作管理制度外，漯河经济技术开发区统计中心未根据工作开展制定业务管理制度，且</w:t>
      </w:r>
      <w:r>
        <w:rPr>
          <w:rFonts w:cs="Times New Roman"/>
        </w:rPr>
        <w:t>在提供的资料里缺少对</w:t>
      </w:r>
      <w:r>
        <w:rPr>
          <w:rFonts w:hint="eastAsia" w:cs="Times New Roman"/>
        </w:rPr>
        <w:t>“</w:t>
      </w:r>
      <w:r>
        <w:rPr>
          <w:rFonts w:cs="Times New Roman"/>
        </w:rPr>
        <w:t>两员</w:t>
      </w:r>
      <w:r>
        <w:rPr>
          <w:rFonts w:hint="eastAsia" w:cs="Times New Roman"/>
        </w:rPr>
        <w:t>”</w:t>
      </w:r>
      <w:r>
        <w:rPr>
          <w:rFonts w:cs="Times New Roman"/>
        </w:rPr>
        <w:t>工作绩效评价的标准</w:t>
      </w:r>
      <w:r>
        <w:rPr>
          <w:rFonts w:hint="eastAsia" w:cs="Times New Roman"/>
        </w:rPr>
        <w:t>，缺少保障工作质量</w:t>
      </w:r>
      <w:r>
        <w:rPr>
          <w:rFonts w:cs="Times New Roman"/>
        </w:rPr>
        <w:t>必需的控制措施或手段，</w:t>
      </w:r>
      <w:r>
        <w:rPr>
          <w:rFonts w:hint="eastAsia" w:cs="Times New Roman"/>
        </w:rPr>
        <w:t>0.5</w:t>
      </w:r>
      <w:r>
        <w:rPr>
          <w:rFonts w:cs="Times New Roman"/>
        </w:rPr>
        <w:t>分。</w:t>
      </w:r>
    </w:p>
    <w:p>
      <w:pPr>
        <w:pStyle w:val="5"/>
        <w:ind w:firstLine="562"/>
        <w:rPr>
          <w:rFonts w:cs="Times New Roman"/>
        </w:rPr>
      </w:pPr>
      <w:bookmarkStart w:id="91" w:name="_Toc7531"/>
      <w:bookmarkStart w:id="92" w:name="_Toc67315595"/>
      <w:bookmarkStart w:id="93" w:name="_Toc9595"/>
      <w:r>
        <w:rPr>
          <w:rFonts w:cs="Times New Roman"/>
        </w:rPr>
        <w:t>2.预算管理（权重15，得分</w:t>
      </w:r>
      <w:r>
        <w:rPr>
          <w:rFonts w:hint="eastAsia" w:cs="Times New Roman"/>
        </w:rPr>
        <w:t>1</w:t>
      </w:r>
      <w:r>
        <w:rPr>
          <w:rFonts w:hint="eastAsia" w:cs="Times New Roman"/>
          <w:lang w:val="en-US" w:eastAsia="zh-CN"/>
        </w:rPr>
        <w:t>0.5</w:t>
      </w:r>
      <w:r>
        <w:rPr>
          <w:rFonts w:cs="Times New Roman"/>
        </w:rPr>
        <w:t>）</w:t>
      </w:r>
      <w:bookmarkEnd w:id="91"/>
      <w:bookmarkEnd w:id="92"/>
      <w:bookmarkEnd w:id="93"/>
    </w:p>
    <w:p>
      <w:pPr>
        <w:pStyle w:val="12"/>
        <w:ind w:firstLine="560"/>
        <w:rPr>
          <w:rFonts w:cs="Times New Roman"/>
        </w:rPr>
      </w:pPr>
      <w:r>
        <w:rPr>
          <w:rFonts w:cs="Times New Roman"/>
        </w:rPr>
        <w:t>（1）资金</w:t>
      </w:r>
      <w:r>
        <w:rPr>
          <w:rFonts w:hint="eastAsia" w:cs="Times New Roman"/>
          <w:lang w:val="en-US" w:eastAsia="zh-CN"/>
        </w:rPr>
        <w:t>拨付</w:t>
      </w:r>
      <w:r>
        <w:rPr>
          <w:rFonts w:cs="Times New Roman"/>
        </w:rPr>
        <w:t>率（权重2.5，得分</w:t>
      </w:r>
      <w:r>
        <w:rPr>
          <w:rFonts w:hint="eastAsia" w:cs="Times New Roman"/>
          <w:lang w:val="en-US" w:eastAsia="zh-CN"/>
        </w:rPr>
        <w:t>1.625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bCs/>
        </w:rPr>
      </w:pPr>
      <w:r>
        <w:rPr>
          <w:rFonts w:hint="eastAsia" w:cs="Times New Roman"/>
          <w:bCs/>
        </w:rPr>
        <w:t>①劳务费资金</w:t>
      </w:r>
      <w:r>
        <w:rPr>
          <w:rFonts w:hint="eastAsia" w:cs="Times New Roman"/>
          <w:bCs/>
          <w:lang w:eastAsia="zh-CN"/>
        </w:rPr>
        <w:t>拨付</w:t>
      </w:r>
      <w:r>
        <w:rPr>
          <w:rFonts w:hint="eastAsia" w:cs="Times New Roman"/>
          <w:bCs/>
        </w:rPr>
        <w:t>率；</w:t>
      </w:r>
    </w:p>
    <w:p>
      <w:pPr>
        <w:pStyle w:val="12"/>
        <w:ind w:firstLine="560"/>
        <w:rPr>
          <w:rFonts w:cs="Times New Roman"/>
          <w:bCs/>
        </w:rPr>
      </w:pPr>
      <w:r>
        <w:rPr>
          <w:rFonts w:hint="eastAsia" w:cs="Times New Roman"/>
          <w:bCs/>
        </w:rPr>
        <w:t>②办公费资金</w:t>
      </w:r>
      <w:r>
        <w:rPr>
          <w:rFonts w:hint="eastAsia" w:cs="Times New Roman"/>
          <w:bCs/>
          <w:lang w:eastAsia="zh-CN"/>
        </w:rPr>
        <w:t>拨付</w:t>
      </w:r>
      <w:r>
        <w:rPr>
          <w:rFonts w:hint="eastAsia" w:cs="Times New Roman"/>
          <w:bCs/>
        </w:rPr>
        <w:t>率；</w:t>
      </w:r>
    </w:p>
    <w:p>
      <w:pPr>
        <w:pStyle w:val="12"/>
        <w:ind w:firstLine="560"/>
        <w:rPr>
          <w:rFonts w:cs="Times New Roman"/>
          <w:bCs/>
        </w:rPr>
      </w:pPr>
      <w:r>
        <w:rPr>
          <w:rFonts w:hint="eastAsia" w:cs="Times New Roman"/>
          <w:bCs/>
        </w:rPr>
        <w:t>③其他工资福利支出资金</w:t>
      </w:r>
      <w:r>
        <w:rPr>
          <w:rFonts w:hint="eastAsia" w:cs="Times New Roman"/>
          <w:bCs/>
          <w:lang w:eastAsia="zh-CN"/>
        </w:rPr>
        <w:t>拨付</w:t>
      </w:r>
      <w:r>
        <w:rPr>
          <w:rFonts w:hint="eastAsia" w:cs="Times New Roman"/>
          <w:bCs/>
        </w:rPr>
        <w:t>率；</w:t>
      </w:r>
    </w:p>
    <w:p>
      <w:pPr>
        <w:pStyle w:val="12"/>
        <w:ind w:firstLine="560"/>
        <w:rPr>
          <w:rFonts w:cs="Times New Roman"/>
          <w:bCs/>
        </w:rPr>
      </w:pPr>
      <w:r>
        <w:rPr>
          <w:rFonts w:hint="eastAsia" w:cs="Times New Roman"/>
          <w:bCs/>
        </w:rPr>
        <w:t>④其他商品和服务支出资金</w:t>
      </w:r>
      <w:r>
        <w:rPr>
          <w:rFonts w:hint="eastAsia" w:cs="Times New Roman"/>
          <w:bCs/>
          <w:lang w:eastAsia="zh-CN"/>
        </w:rPr>
        <w:t>拨付</w:t>
      </w:r>
      <w:r>
        <w:rPr>
          <w:rFonts w:hint="eastAsia" w:cs="Times New Roman"/>
          <w:bCs/>
        </w:rPr>
        <w:t>率；</w:t>
      </w:r>
    </w:p>
    <w:p>
      <w:pPr>
        <w:pStyle w:val="12"/>
        <w:ind w:firstLine="560"/>
        <w:rPr>
          <w:rFonts w:cs="Times New Roman"/>
          <w:bCs/>
        </w:rPr>
      </w:pPr>
      <w:r>
        <w:rPr>
          <w:rFonts w:hint="eastAsia" w:cs="Times New Roman"/>
          <w:bCs/>
        </w:rPr>
        <w:t>⑤维修费资金</w:t>
      </w:r>
      <w:r>
        <w:rPr>
          <w:rFonts w:hint="eastAsia" w:cs="Times New Roman"/>
          <w:bCs/>
          <w:lang w:eastAsia="zh-CN"/>
        </w:rPr>
        <w:t>拨付</w:t>
      </w:r>
      <w:r>
        <w:rPr>
          <w:rFonts w:hint="eastAsia" w:cs="Times New Roman"/>
          <w:bCs/>
        </w:rPr>
        <w:t>率；</w:t>
      </w:r>
    </w:p>
    <w:p>
      <w:pPr>
        <w:pStyle w:val="12"/>
        <w:ind w:firstLine="560"/>
        <w:rPr>
          <w:rFonts w:cs="Times New Roman"/>
          <w:bCs/>
        </w:rPr>
      </w:pPr>
      <w:r>
        <w:rPr>
          <w:rFonts w:hint="eastAsia" w:cs="Times New Roman"/>
          <w:bCs/>
        </w:rPr>
        <w:t>⑥印刷费资金</w:t>
      </w:r>
      <w:r>
        <w:rPr>
          <w:rFonts w:hint="eastAsia" w:cs="Times New Roman"/>
          <w:bCs/>
          <w:lang w:eastAsia="zh-CN"/>
        </w:rPr>
        <w:t>拨付</w:t>
      </w:r>
      <w:r>
        <w:rPr>
          <w:rFonts w:hint="eastAsia" w:cs="Times New Roman"/>
          <w:bCs/>
        </w:rPr>
        <w:t>率；</w:t>
      </w:r>
    </w:p>
    <w:p>
      <w:pPr>
        <w:pStyle w:val="12"/>
        <w:ind w:firstLine="560"/>
        <w:rPr>
          <w:rFonts w:cs="Times New Roman"/>
        </w:rPr>
      </w:pPr>
      <w:r>
        <w:rPr>
          <w:rFonts w:hint="eastAsia" w:cs="Times New Roman"/>
          <w:bCs/>
        </w:rPr>
        <w:t>⑦邮电费资金</w:t>
      </w:r>
      <w:r>
        <w:rPr>
          <w:rFonts w:hint="eastAsia" w:cs="Times New Roman"/>
          <w:bCs/>
          <w:lang w:eastAsia="zh-CN"/>
        </w:rPr>
        <w:t>拨付</w:t>
      </w:r>
      <w:r>
        <w:rPr>
          <w:rFonts w:hint="eastAsia" w:cs="Times New Roman"/>
          <w:bCs/>
        </w:rPr>
        <w:t>率。</w:t>
      </w:r>
    </w:p>
    <w:p>
      <w:pPr>
        <w:pStyle w:val="12"/>
        <w:ind w:firstLine="560"/>
        <w:rPr>
          <w:rFonts w:cs="Times New Roman"/>
        </w:rPr>
      </w:pPr>
      <w:r>
        <w:rPr>
          <w:rFonts w:cs="Times New Roman"/>
        </w:rPr>
        <w:t>资金</w:t>
      </w:r>
      <w:r>
        <w:rPr>
          <w:rFonts w:hint="eastAsia" w:cs="Times New Roman"/>
          <w:lang w:val="en-US" w:eastAsia="zh-CN"/>
        </w:rPr>
        <w:t>拨付</w:t>
      </w:r>
      <w:r>
        <w:rPr>
          <w:rFonts w:cs="Times New Roman"/>
        </w:rPr>
        <w:t>率=（实际</w:t>
      </w:r>
      <w:r>
        <w:rPr>
          <w:rFonts w:hint="eastAsia" w:cs="Times New Roman"/>
          <w:lang w:val="en-US" w:eastAsia="zh-CN"/>
        </w:rPr>
        <w:t>拨付</w:t>
      </w:r>
      <w:r>
        <w:rPr>
          <w:rFonts w:cs="Times New Roman"/>
        </w:rPr>
        <w:t>资金/计划投入资金）×100%。</w:t>
      </w:r>
    </w:p>
    <w:p>
      <w:pPr>
        <w:pStyle w:val="12"/>
        <w:ind w:firstLine="560"/>
        <w:rPr>
          <w:rFonts w:cs="Times New Roman"/>
        </w:rPr>
      </w:pPr>
      <w:r>
        <w:rPr>
          <w:rFonts w:hint="eastAsia" w:ascii="宋体" w:hAnsi="宋体" w:eastAsia="宋体" w:cs="宋体"/>
        </w:rPr>
        <w:t>①</w:t>
      </w:r>
      <w:r>
        <w:rPr>
          <w:rFonts w:cs="Times New Roman"/>
        </w:rPr>
        <w:t>实际</w:t>
      </w:r>
      <w:r>
        <w:rPr>
          <w:rFonts w:hint="eastAsia" w:cs="Times New Roman"/>
          <w:lang w:val="en-US" w:eastAsia="zh-CN"/>
        </w:rPr>
        <w:t>拨付</w:t>
      </w:r>
      <w:r>
        <w:rPr>
          <w:rFonts w:cs="Times New Roman"/>
        </w:rPr>
        <w:t>资金：一定时期（本年度或项目期）内实际落实到具体项目的资金。</w:t>
      </w:r>
    </w:p>
    <w:p>
      <w:pPr>
        <w:pStyle w:val="12"/>
        <w:ind w:firstLine="560"/>
        <w:rPr>
          <w:rFonts w:cs="Times New Roman"/>
        </w:rPr>
      </w:pPr>
      <w:r>
        <w:rPr>
          <w:rFonts w:hint="eastAsia" w:ascii="宋体" w:hAnsi="宋体" w:eastAsia="宋体" w:cs="宋体"/>
        </w:rPr>
        <w:t>②</w:t>
      </w:r>
      <w:r>
        <w:rPr>
          <w:rFonts w:cs="Times New Roman"/>
        </w:rPr>
        <w:t>计划投入资金：一定时期（本年度或项目期）内计划投入到具体项目的资金。</w:t>
      </w:r>
    </w:p>
    <w:p>
      <w:pPr>
        <w:pStyle w:val="12"/>
        <w:ind w:firstLine="560"/>
        <w:rPr>
          <w:rFonts w:cs="Times New Roman"/>
        </w:rPr>
      </w:pPr>
      <w:r>
        <w:rPr>
          <w:rFonts w:cs="Times New Roman"/>
        </w:rPr>
        <w:t>实际得分=资金</w:t>
      </w:r>
      <w:r>
        <w:rPr>
          <w:rFonts w:hint="eastAsia" w:cs="Times New Roman"/>
          <w:lang w:val="en-US" w:eastAsia="zh-CN"/>
        </w:rPr>
        <w:t>拨付</w:t>
      </w:r>
      <w:r>
        <w:rPr>
          <w:rFonts w:cs="Times New Roman"/>
        </w:rPr>
        <w:t>率</w:t>
      </w:r>
      <w:r>
        <w:rPr>
          <w:rFonts w:hint="eastAsia" w:cs="Times New Roman"/>
          <w:lang w:eastAsia="zh-CN"/>
        </w:rPr>
        <w:t>（</w:t>
      </w:r>
      <w:r>
        <w:rPr>
          <w:rFonts w:hint="eastAsia" w:cs="Times New Roman"/>
          <w:lang w:val="en-US" w:eastAsia="zh-CN"/>
        </w:rPr>
        <w:t>最低</w:t>
      </w:r>
      <w:r>
        <w:rPr>
          <w:rFonts w:hint="eastAsia" w:cs="Times New Roman"/>
          <w:lang w:eastAsia="zh-CN"/>
        </w:rPr>
        <w:t>）</w:t>
      </w:r>
      <w:r>
        <w:rPr>
          <w:rFonts w:cs="Times New Roman"/>
        </w:rPr>
        <w:t>×2.5。</w:t>
      </w:r>
    </w:p>
    <w:p>
      <w:pPr>
        <w:pStyle w:val="12"/>
        <w:ind w:firstLine="562"/>
        <w:rPr>
          <w:rFonts w:cs="Times New Roman"/>
          <w:b/>
        </w:rPr>
      </w:pPr>
      <w:r>
        <w:rPr>
          <w:rFonts w:cs="Times New Roman"/>
          <w:b/>
        </w:rPr>
        <w:t>得分：</w:t>
      </w:r>
    </w:p>
    <w:p>
      <w:pPr>
        <w:pStyle w:val="12"/>
        <w:ind w:firstLine="560"/>
        <w:rPr>
          <w:rFonts w:hint="eastAsia" w:cs="Times New Roman"/>
          <w:bCs/>
        </w:rPr>
      </w:pPr>
      <w:r>
        <w:rPr>
          <w:rFonts w:hint="eastAsia" w:cs="Times New Roman"/>
          <w:lang w:val="en-US" w:eastAsia="zh-CN"/>
        </w:rPr>
        <w:t>由“一、（一）5.资金投入及使用情况”得知，实际得分</w:t>
      </w:r>
      <w:r>
        <w:rPr>
          <w:rFonts w:cs="Times New Roman"/>
        </w:rPr>
        <w:t>=</w:t>
      </w:r>
      <w:r>
        <w:rPr>
          <w:rFonts w:hint="eastAsia" w:cs="Times New Roman"/>
          <w:lang w:val="en-US" w:eastAsia="zh-CN"/>
        </w:rPr>
        <w:t>65</w:t>
      </w:r>
      <w:r>
        <w:rPr>
          <w:rFonts w:cs="Times New Roman"/>
        </w:rPr>
        <w:t>%×</w:t>
      </w:r>
      <w:r>
        <w:rPr>
          <w:rFonts w:hint="eastAsia" w:cs="Times New Roman"/>
        </w:rPr>
        <w:t>2.5=</w:t>
      </w:r>
      <w:r>
        <w:rPr>
          <w:rFonts w:hint="eastAsia" w:cs="Times New Roman"/>
          <w:lang w:val="en-US" w:eastAsia="zh-CN"/>
        </w:rPr>
        <w:t>1.625</w:t>
      </w:r>
      <w:r>
        <w:rPr>
          <w:rFonts w:hint="eastAsia" w:cs="Times New Roman"/>
        </w:rPr>
        <w:t>，</w:t>
      </w:r>
      <w:r>
        <w:rPr>
          <w:rFonts w:cs="Times New Roman"/>
        </w:rPr>
        <w:t>得</w:t>
      </w:r>
      <w:r>
        <w:rPr>
          <w:rFonts w:hint="eastAsia" w:cs="Times New Roman"/>
          <w:lang w:val="en-US" w:eastAsia="zh-CN"/>
        </w:rPr>
        <w:t>1.625</w:t>
      </w:r>
      <w:r>
        <w:rPr>
          <w:rFonts w:cs="Times New Roman"/>
        </w:rPr>
        <w:t>分。</w:t>
      </w:r>
    </w:p>
    <w:p>
      <w:pPr>
        <w:pStyle w:val="12"/>
        <w:ind w:firstLine="560"/>
        <w:rPr>
          <w:rFonts w:cs="Times New Roman"/>
        </w:rPr>
      </w:pPr>
      <w:r>
        <w:rPr>
          <w:rFonts w:cs="Times New Roman"/>
        </w:rPr>
        <w:t>（2）</w:t>
      </w:r>
      <w:r>
        <w:rPr>
          <w:rFonts w:hint="eastAsia" w:cs="Times New Roman"/>
          <w:bCs/>
          <w:lang w:eastAsia="zh-CN"/>
        </w:rPr>
        <w:t>拨付</w:t>
      </w:r>
      <w:r>
        <w:rPr>
          <w:rFonts w:cs="Times New Roman"/>
        </w:rPr>
        <w:t>及时率（权重2.5，得分2.5）</w:t>
      </w:r>
    </w:p>
    <w:p>
      <w:pPr>
        <w:pStyle w:val="12"/>
        <w:ind w:firstLine="562"/>
        <w:rPr>
          <w:rFonts w:cs="Times New Roman"/>
          <w:b/>
        </w:rPr>
      </w:pPr>
      <w:r>
        <w:rPr>
          <w:rFonts w:cs="Times New Roman"/>
          <w:b/>
        </w:rPr>
        <w:t>评分标准：</w:t>
      </w:r>
    </w:p>
    <w:p>
      <w:pPr>
        <w:pStyle w:val="12"/>
        <w:ind w:firstLine="560"/>
        <w:rPr>
          <w:rFonts w:cs="Times New Roman"/>
          <w:bCs/>
        </w:rPr>
      </w:pPr>
      <w:r>
        <w:rPr>
          <w:rFonts w:hint="eastAsia" w:cs="Times New Roman"/>
          <w:bCs/>
        </w:rPr>
        <w:t>①劳务费资金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bCs/>
        </w:rPr>
      </w:pPr>
      <w:r>
        <w:rPr>
          <w:rFonts w:hint="eastAsia" w:cs="Times New Roman"/>
          <w:bCs/>
        </w:rPr>
        <w:t>②办公费资金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bCs/>
        </w:rPr>
      </w:pPr>
      <w:r>
        <w:rPr>
          <w:rFonts w:hint="eastAsia" w:cs="Times New Roman"/>
          <w:bCs/>
        </w:rPr>
        <w:t>③其他工资福利支出资金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bCs/>
        </w:rPr>
      </w:pPr>
      <w:r>
        <w:rPr>
          <w:rFonts w:hint="eastAsia" w:cs="Times New Roman"/>
          <w:bCs/>
        </w:rPr>
        <w:t>④其他商品和服务支出资金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bCs/>
        </w:rPr>
      </w:pPr>
      <w:r>
        <w:rPr>
          <w:rFonts w:hint="eastAsia" w:cs="Times New Roman"/>
          <w:bCs/>
        </w:rPr>
        <w:t>⑤维修费资金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bCs/>
        </w:rPr>
      </w:pPr>
      <w:r>
        <w:rPr>
          <w:rFonts w:hint="eastAsia" w:cs="Times New Roman"/>
          <w:bCs/>
        </w:rPr>
        <w:t>⑥印刷费资金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rPr>
      </w:pPr>
      <w:r>
        <w:rPr>
          <w:rFonts w:hint="eastAsia" w:cs="Times New Roman"/>
          <w:bCs/>
        </w:rPr>
        <w:t>⑦邮电费资金</w:t>
      </w:r>
      <w:r>
        <w:rPr>
          <w:rFonts w:hint="eastAsia" w:cs="Times New Roman"/>
          <w:bCs/>
          <w:lang w:eastAsia="zh-CN"/>
        </w:rPr>
        <w:t>拨付</w:t>
      </w:r>
      <w:r>
        <w:rPr>
          <w:rFonts w:cs="Times New Roman"/>
        </w:rPr>
        <w:t>及时</w:t>
      </w:r>
      <w:r>
        <w:rPr>
          <w:rFonts w:hint="eastAsia" w:cs="Times New Roman"/>
          <w:bCs/>
        </w:rPr>
        <w:t>率。</w:t>
      </w:r>
    </w:p>
    <w:p>
      <w:pPr>
        <w:pStyle w:val="12"/>
        <w:ind w:firstLine="560"/>
        <w:rPr>
          <w:rFonts w:cs="Times New Roman"/>
        </w:rPr>
      </w:pPr>
      <w:r>
        <w:rPr>
          <w:rFonts w:hint="eastAsia" w:cs="Times New Roman"/>
          <w:bCs/>
          <w:lang w:eastAsia="zh-CN"/>
        </w:rPr>
        <w:t>拨付</w:t>
      </w:r>
      <w:r>
        <w:rPr>
          <w:rFonts w:cs="Times New Roman"/>
        </w:rPr>
        <w:t>及时率=（及时</w:t>
      </w:r>
      <w:r>
        <w:rPr>
          <w:rFonts w:hint="eastAsia" w:cs="Times New Roman"/>
          <w:lang w:val="en-US" w:eastAsia="zh-CN"/>
        </w:rPr>
        <w:t>拨付</w:t>
      </w:r>
      <w:r>
        <w:rPr>
          <w:rFonts w:cs="Times New Roman"/>
        </w:rPr>
        <w:t>资金/应</w:t>
      </w:r>
      <w:r>
        <w:rPr>
          <w:rFonts w:hint="eastAsia" w:cs="Times New Roman"/>
          <w:lang w:val="en-US" w:eastAsia="zh-CN"/>
        </w:rPr>
        <w:t>拨付</w:t>
      </w:r>
      <w:r>
        <w:rPr>
          <w:rFonts w:cs="Times New Roman"/>
        </w:rPr>
        <w:t>资金）×100%。</w:t>
      </w:r>
    </w:p>
    <w:p>
      <w:pPr>
        <w:pStyle w:val="12"/>
        <w:ind w:firstLine="560"/>
        <w:rPr>
          <w:rFonts w:cs="Times New Roman"/>
        </w:rPr>
      </w:pPr>
      <w:r>
        <w:rPr>
          <w:rFonts w:cs="Times New Roman"/>
        </w:rPr>
        <w:t>应</w:t>
      </w:r>
      <w:r>
        <w:rPr>
          <w:rFonts w:hint="eastAsia" w:cs="Times New Roman"/>
          <w:bCs/>
          <w:lang w:eastAsia="zh-CN"/>
        </w:rPr>
        <w:t>拨付</w:t>
      </w:r>
      <w:r>
        <w:rPr>
          <w:rFonts w:cs="Times New Roman"/>
        </w:rPr>
        <w:t>资金：按照绩效办法、合同或项目进度要求截至规定时点应落实到具体项目的资金。</w:t>
      </w:r>
    </w:p>
    <w:p>
      <w:pPr>
        <w:pStyle w:val="12"/>
        <w:ind w:firstLine="560"/>
        <w:rPr>
          <w:rFonts w:cs="Times New Roman"/>
        </w:rPr>
      </w:pPr>
      <w:r>
        <w:rPr>
          <w:rFonts w:cs="Times New Roman"/>
        </w:rPr>
        <w:t>实际得分=</w:t>
      </w:r>
      <w:r>
        <w:rPr>
          <w:rFonts w:hint="eastAsia" w:cs="Times New Roman"/>
          <w:bCs/>
          <w:lang w:eastAsia="zh-CN"/>
        </w:rPr>
        <w:t>拨付</w:t>
      </w:r>
      <w:r>
        <w:rPr>
          <w:rFonts w:cs="Times New Roman"/>
        </w:rPr>
        <w:t>及时率</w:t>
      </w:r>
      <w:r>
        <w:rPr>
          <w:rFonts w:hint="eastAsia" w:cs="Times New Roman"/>
          <w:lang w:eastAsia="zh-CN"/>
        </w:rPr>
        <w:t>（</w:t>
      </w:r>
      <w:r>
        <w:rPr>
          <w:rFonts w:hint="eastAsia" w:cs="Times New Roman"/>
          <w:lang w:val="en-US" w:eastAsia="zh-CN"/>
        </w:rPr>
        <w:t>最低</w:t>
      </w:r>
      <w:r>
        <w:rPr>
          <w:rFonts w:hint="eastAsia" w:cs="Times New Roman"/>
          <w:lang w:eastAsia="zh-CN"/>
        </w:rPr>
        <w:t>）</w:t>
      </w:r>
      <w:r>
        <w:rPr>
          <w:rFonts w:cs="Times New Roman"/>
        </w:rPr>
        <w:t>×2.5。</w:t>
      </w:r>
    </w:p>
    <w:p>
      <w:pPr>
        <w:pStyle w:val="12"/>
        <w:ind w:firstLine="562"/>
        <w:rPr>
          <w:rFonts w:cs="Times New Roman"/>
          <w:b/>
        </w:rPr>
      </w:pPr>
      <w:r>
        <w:rPr>
          <w:rFonts w:cs="Times New Roman"/>
          <w:b/>
        </w:rPr>
        <w:t>得分：</w:t>
      </w:r>
    </w:p>
    <w:p>
      <w:pPr>
        <w:pStyle w:val="12"/>
        <w:ind w:firstLine="560"/>
        <w:rPr>
          <w:rFonts w:cs="Times New Roman"/>
          <w:bCs/>
        </w:rPr>
      </w:pPr>
      <w:r>
        <w:rPr>
          <w:rFonts w:hint="eastAsia" w:cs="Times New Roman"/>
          <w:bCs/>
        </w:rPr>
        <w:t>①劳务费资金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1153700</w:t>
      </w:r>
      <w:r>
        <w:rPr>
          <w:rFonts w:hint="eastAsia" w:cs="Times New Roman"/>
          <w:lang w:val="en-US" w:eastAsia="zh-CN"/>
        </w:rPr>
        <w:t>元/</w:t>
      </w:r>
      <w:r>
        <w:rPr>
          <w:rFonts w:hint="default" w:cs="Times New Roman"/>
          <w:lang w:val="en-US"/>
        </w:rPr>
        <w:t>1153700</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cs="Times New Roman"/>
          <w:bCs/>
        </w:rPr>
      </w:pPr>
      <w:r>
        <w:rPr>
          <w:rFonts w:hint="eastAsia" w:cs="Times New Roman"/>
          <w:bCs/>
        </w:rPr>
        <w:t>②办公费资金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20809.7</w:t>
      </w:r>
      <w:r>
        <w:rPr>
          <w:rFonts w:hint="eastAsia" w:cs="Times New Roman"/>
          <w:lang w:val="en-US" w:eastAsia="zh-CN"/>
        </w:rPr>
        <w:t>元/</w:t>
      </w:r>
      <w:r>
        <w:rPr>
          <w:rFonts w:hint="default" w:cs="Times New Roman"/>
          <w:lang w:val="en-US"/>
        </w:rPr>
        <w:t>20809.7</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cs="Times New Roman"/>
          <w:bCs/>
        </w:rPr>
      </w:pPr>
      <w:r>
        <w:rPr>
          <w:rFonts w:hint="eastAsia" w:cs="Times New Roman"/>
          <w:bCs/>
        </w:rPr>
        <w:t>③其他工资福利支出资金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91000</w:t>
      </w:r>
      <w:r>
        <w:rPr>
          <w:rFonts w:hint="eastAsia" w:cs="Times New Roman"/>
          <w:lang w:val="en-US" w:eastAsia="zh-CN"/>
        </w:rPr>
        <w:t>元/</w:t>
      </w:r>
      <w:r>
        <w:rPr>
          <w:rFonts w:hint="default" w:cs="Times New Roman"/>
          <w:lang w:val="en-US"/>
        </w:rPr>
        <w:t>91000</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cs="Times New Roman"/>
          <w:bCs/>
        </w:rPr>
      </w:pPr>
      <w:r>
        <w:rPr>
          <w:rFonts w:hint="eastAsia" w:cs="Times New Roman"/>
          <w:bCs/>
        </w:rPr>
        <w:t>④其他商品和服务支出资金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203677</w:t>
      </w:r>
      <w:r>
        <w:rPr>
          <w:rFonts w:hint="eastAsia" w:cs="Times New Roman"/>
          <w:lang w:val="en-US" w:eastAsia="zh-CN"/>
        </w:rPr>
        <w:t>元/</w:t>
      </w:r>
      <w:r>
        <w:rPr>
          <w:rFonts w:hint="default" w:cs="Times New Roman"/>
          <w:lang w:val="en-US"/>
        </w:rPr>
        <w:t>203677</w:t>
      </w:r>
      <w:r>
        <w:rPr>
          <w:rFonts w:hint="eastAsia" w:cs="Times New Roman"/>
          <w:lang w:val="en-US" w:eastAsia="zh-CN"/>
        </w:rPr>
        <w:t>元</w:t>
      </w:r>
      <w:r>
        <w:rPr>
          <w:rFonts w:cs="Times New Roman"/>
        </w:rPr>
        <w:t>×</w:t>
      </w:r>
      <w:r>
        <w:rPr>
          <w:rFonts w:hint="eastAsia" w:cs="Times New Roman"/>
          <w:lang w:val="en-US" w:eastAsia="zh-CN"/>
        </w:rPr>
        <w:t>100% =100%</w:t>
      </w:r>
      <w:r>
        <w:rPr>
          <w:rFonts w:hint="eastAsia" w:cs="Times New Roman"/>
          <w:bCs/>
        </w:rPr>
        <w:t>；</w:t>
      </w:r>
    </w:p>
    <w:p>
      <w:pPr>
        <w:pStyle w:val="12"/>
        <w:ind w:firstLine="560"/>
        <w:rPr>
          <w:rFonts w:cs="Times New Roman"/>
          <w:bCs/>
        </w:rPr>
      </w:pPr>
      <w:r>
        <w:rPr>
          <w:rFonts w:hint="eastAsia" w:cs="Times New Roman"/>
          <w:bCs/>
        </w:rPr>
        <w:t>⑤维修费资金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29920</w:t>
      </w:r>
      <w:r>
        <w:rPr>
          <w:rFonts w:hint="eastAsia" w:cs="Times New Roman"/>
          <w:lang w:val="en-US" w:eastAsia="zh-CN"/>
        </w:rPr>
        <w:t>元/</w:t>
      </w:r>
      <w:r>
        <w:rPr>
          <w:rFonts w:hint="default" w:cs="Times New Roman"/>
          <w:lang w:val="en-US"/>
        </w:rPr>
        <w:t>29920</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cs="Times New Roman"/>
          <w:bCs/>
        </w:rPr>
      </w:pPr>
      <w:r>
        <w:rPr>
          <w:rFonts w:hint="eastAsia" w:cs="Times New Roman"/>
          <w:bCs/>
        </w:rPr>
        <w:t>⑥印刷费资金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112838</w:t>
      </w:r>
      <w:r>
        <w:rPr>
          <w:rFonts w:hint="eastAsia" w:cs="Times New Roman"/>
          <w:lang w:val="en-US" w:eastAsia="zh-CN"/>
        </w:rPr>
        <w:t>元/</w:t>
      </w:r>
      <w:r>
        <w:rPr>
          <w:rFonts w:hint="default" w:cs="Times New Roman"/>
          <w:lang w:val="en-US"/>
        </w:rPr>
        <w:t>112838</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hint="eastAsia" w:cs="Times New Roman"/>
          <w:bCs/>
        </w:rPr>
      </w:pPr>
      <w:r>
        <w:rPr>
          <w:rFonts w:hint="eastAsia" w:cs="Times New Roman"/>
          <w:bCs/>
        </w:rPr>
        <w:t>⑦邮电费资金</w:t>
      </w:r>
      <w:r>
        <w:rPr>
          <w:rFonts w:hint="eastAsia" w:cs="Times New Roman"/>
          <w:bCs/>
          <w:lang w:eastAsia="zh-CN"/>
        </w:rPr>
        <w:t>拨付</w:t>
      </w:r>
      <w:r>
        <w:rPr>
          <w:rFonts w:cs="Times New Roman"/>
        </w:rPr>
        <w:t>及时</w:t>
      </w:r>
      <w:r>
        <w:rPr>
          <w:rFonts w:hint="eastAsia" w:cs="Times New Roman"/>
          <w:bCs/>
        </w:rPr>
        <w:t>率</w:t>
      </w:r>
      <w:r>
        <w:rPr>
          <w:rFonts w:hint="eastAsia" w:cs="Times New Roman"/>
          <w:bCs/>
          <w:lang w:val="en-US" w:eastAsia="zh-CN"/>
        </w:rPr>
        <w:t>=</w:t>
      </w:r>
      <w:r>
        <w:rPr>
          <w:rFonts w:hint="default" w:cs="Times New Roman"/>
          <w:lang w:val="en-US"/>
        </w:rPr>
        <w:t>16488.4</w:t>
      </w:r>
      <w:r>
        <w:rPr>
          <w:rFonts w:hint="eastAsia" w:cs="Times New Roman"/>
          <w:lang w:val="en-US" w:eastAsia="zh-CN"/>
        </w:rPr>
        <w:t>元/</w:t>
      </w:r>
      <w:r>
        <w:rPr>
          <w:rFonts w:hint="default" w:cs="Times New Roman"/>
          <w:lang w:val="en-US"/>
        </w:rPr>
        <w:t>16488.4</w:t>
      </w:r>
      <w:r>
        <w:rPr>
          <w:rFonts w:hint="eastAsia" w:cs="Times New Roman"/>
          <w:lang w:val="en-US" w:eastAsia="zh-CN"/>
        </w:rPr>
        <w:t>元</w:t>
      </w:r>
      <w:r>
        <w:rPr>
          <w:rFonts w:cs="Times New Roman"/>
        </w:rPr>
        <w:t>×</w:t>
      </w:r>
      <w:r>
        <w:rPr>
          <w:rFonts w:hint="eastAsia" w:cs="Times New Roman"/>
          <w:lang w:val="en-US" w:eastAsia="zh-CN"/>
        </w:rPr>
        <w:t>100%=100%</w:t>
      </w:r>
      <w:r>
        <w:rPr>
          <w:rFonts w:hint="eastAsia" w:cs="Times New Roman"/>
          <w:bCs/>
        </w:rPr>
        <w:t>。</w:t>
      </w:r>
    </w:p>
    <w:p>
      <w:pPr>
        <w:pStyle w:val="12"/>
        <w:ind w:firstLine="560"/>
        <w:rPr>
          <w:rFonts w:cs="Times New Roman"/>
        </w:rPr>
      </w:pPr>
      <w:r>
        <w:rPr>
          <w:rFonts w:hint="eastAsia" w:cs="Times New Roman"/>
          <w:lang w:val="en-US" w:eastAsia="zh-CN"/>
        </w:rPr>
        <w:t>综上所述，实际得分</w:t>
      </w:r>
      <w:r>
        <w:rPr>
          <w:rFonts w:cs="Times New Roman"/>
        </w:rPr>
        <w:t>=</w:t>
      </w:r>
      <w:r>
        <w:rPr>
          <w:rFonts w:hint="eastAsia" w:cs="Times New Roman"/>
          <w:lang w:val="en-US" w:eastAsia="zh-CN"/>
        </w:rPr>
        <w:t>100</w:t>
      </w:r>
      <w:r>
        <w:rPr>
          <w:rFonts w:cs="Times New Roman"/>
        </w:rPr>
        <w:t>%×</w:t>
      </w:r>
      <w:r>
        <w:rPr>
          <w:rFonts w:hint="eastAsia" w:cs="Times New Roman"/>
        </w:rPr>
        <w:t>2.5=</w:t>
      </w:r>
      <w:r>
        <w:rPr>
          <w:rFonts w:hint="eastAsia" w:cs="Times New Roman"/>
          <w:lang w:val="en-US" w:eastAsia="zh-CN"/>
        </w:rPr>
        <w:t>2.5</w:t>
      </w:r>
      <w:r>
        <w:rPr>
          <w:rFonts w:hint="eastAsia" w:cs="Times New Roman"/>
        </w:rPr>
        <w:t>，</w:t>
      </w:r>
      <w:r>
        <w:rPr>
          <w:rFonts w:cs="Times New Roman"/>
        </w:rPr>
        <w:t>得</w:t>
      </w:r>
      <w:r>
        <w:rPr>
          <w:rFonts w:hint="eastAsia" w:cs="Times New Roman"/>
        </w:rPr>
        <w:t>2.</w:t>
      </w:r>
      <w:r>
        <w:rPr>
          <w:rFonts w:hint="eastAsia" w:cs="Times New Roman"/>
          <w:lang w:val="en-US" w:eastAsia="zh-CN"/>
        </w:rPr>
        <w:t>5</w:t>
      </w:r>
      <w:r>
        <w:rPr>
          <w:rFonts w:cs="Times New Roman"/>
        </w:rPr>
        <w:t>分。</w:t>
      </w:r>
    </w:p>
    <w:p>
      <w:pPr>
        <w:pStyle w:val="12"/>
        <w:ind w:firstLine="560"/>
        <w:rPr>
          <w:rFonts w:eastAsia="楷体_GB2312" w:cs="Times New Roman"/>
        </w:rPr>
      </w:pPr>
      <w:r>
        <w:rPr>
          <w:rFonts w:cs="Times New Roman"/>
        </w:rPr>
        <w:t>（3）预算执行率（权重2.5，得分</w:t>
      </w:r>
      <w:r>
        <w:rPr>
          <w:rFonts w:hint="eastAsia" w:cs="Times New Roman"/>
        </w:rPr>
        <w:t>1.625</w:t>
      </w:r>
      <w:r>
        <w:rPr>
          <w:rFonts w:cs="Times New Roman"/>
        </w:rPr>
        <w:t>）</w:t>
      </w:r>
    </w:p>
    <w:p>
      <w:pPr>
        <w:pStyle w:val="12"/>
        <w:ind w:firstLine="560"/>
        <w:rPr>
          <w:rFonts w:cs="Times New Roman"/>
          <w:bCs/>
        </w:rPr>
      </w:pPr>
      <w:r>
        <w:rPr>
          <w:rFonts w:hint="eastAsia" w:cs="Times New Roman"/>
          <w:bCs/>
        </w:rPr>
        <w:t>①劳务费资金预算执行率；</w:t>
      </w:r>
    </w:p>
    <w:p>
      <w:pPr>
        <w:pStyle w:val="12"/>
        <w:ind w:firstLine="560"/>
        <w:rPr>
          <w:rFonts w:cs="Times New Roman"/>
          <w:bCs/>
        </w:rPr>
      </w:pPr>
      <w:r>
        <w:rPr>
          <w:rFonts w:hint="eastAsia" w:cs="Times New Roman"/>
          <w:bCs/>
        </w:rPr>
        <w:t>②办公费资金预算执行率；</w:t>
      </w:r>
    </w:p>
    <w:p>
      <w:pPr>
        <w:pStyle w:val="12"/>
        <w:ind w:firstLine="560"/>
        <w:rPr>
          <w:rFonts w:cs="Times New Roman"/>
          <w:bCs/>
        </w:rPr>
      </w:pPr>
      <w:r>
        <w:rPr>
          <w:rFonts w:hint="eastAsia" w:cs="Times New Roman"/>
          <w:bCs/>
        </w:rPr>
        <w:t>③其他工资福利支出资金预算执行率；</w:t>
      </w:r>
    </w:p>
    <w:p>
      <w:pPr>
        <w:pStyle w:val="12"/>
        <w:ind w:firstLine="560"/>
        <w:rPr>
          <w:rFonts w:cs="Times New Roman"/>
          <w:bCs/>
        </w:rPr>
      </w:pPr>
      <w:r>
        <w:rPr>
          <w:rFonts w:hint="eastAsia" w:cs="Times New Roman"/>
          <w:bCs/>
        </w:rPr>
        <w:t>④其他商品和服务支出资金预算执行率；</w:t>
      </w:r>
    </w:p>
    <w:p>
      <w:pPr>
        <w:pStyle w:val="12"/>
        <w:ind w:firstLine="560"/>
        <w:rPr>
          <w:rFonts w:cs="Times New Roman"/>
          <w:bCs/>
        </w:rPr>
      </w:pPr>
      <w:r>
        <w:rPr>
          <w:rFonts w:hint="eastAsia" w:cs="Times New Roman"/>
          <w:bCs/>
        </w:rPr>
        <w:t>⑤维修费资金预算执行率；</w:t>
      </w:r>
    </w:p>
    <w:p>
      <w:pPr>
        <w:pStyle w:val="12"/>
        <w:ind w:firstLine="560"/>
        <w:rPr>
          <w:rFonts w:cs="Times New Roman"/>
          <w:bCs/>
        </w:rPr>
      </w:pPr>
      <w:r>
        <w:rPr>
          <w:rFonts w:hint="eastAsia" w:cs="Times New Roman"/>
          <w:bCs/>
        </w:rPr>
        <w:t>⑥印刷费资金预算执行率；</w:t>
      </w:r>
    </w:p>
    <w:p>
      <w:pPr>
        <w:pStyle w:val="12"/>
        <w:ind w:firstLine="560"/>
        <w:rPr>
          <w:rFonts w:cs="Times New Roman"/>
          <w:bCs/>
        </w:rPr>
      </w:pPr>
      <w:r>
        <w:rPr>
          <w:rFonts w:hint="eastAsia" w:cs="Times New Roman"/>
          <w:bCs/>
        </w:rPr>
        <w:t>⑦邮电费资金预算执行率。</w:t>
      </w:r>
    </w:p>
    <w:p>
      <w:pPr>
        <w:pStyle w:val="12"/>
        <w:ind w:firstLine="562"/>
        <w:rPr>
          <w:rFonts w:cs="Times New Roman"/>
          <w:b/>
        </w:rPr>
      </w:pPr>
      <w:r>
        <w:rPr>
          <w:rFonts w:cs="Times New Roman"/>
          <w:b/>
        </w:rPr>
        <w:t>评分标准：</w:t>
      </w:r>
    </w:p>
    <w:p>
      <w:pPr>
        <w:pStyle w:val="12"/>
        <w:ind w:firstLine="560"/>
        <w:rPr>
          <w:rFonts w:cs="Times New Roman"/>
        </w:rPr>
      </w:pPr>
      <w:r>
        <w:rPr>
          <w:rFonts w:cs="Times New Roman"/>
        </w:rPr>
        <w:t>预算执行率=（实际支出资金/实际到位资金）×100%。</w:t>
      </w:r>
    </w:p>
    <w:p>
      <w:pPr>
        <w:pStyle w:val="12"/>
        <w:ind w:firstLine="560"/>
        <w:rPr>
          <w:rFonts w:cs="Times New Roman"/>
        </w:rPr>
      </w:pPr>
      <w:r>
        <w:rPr>
          <w:rFonts w:hint="eastAsia" w:ascii="宋体" w:hAnsi="宋体" w:eastAsia="宋体" w:cs="宋体"/>
        </w:rPr>
        <w:t>①</w:t>
      </w:r>
      <w:r>
        <w:rPr>
          <w:rFonts w:cs="Times New Roman"/>
        </w:rPr>
        <w:t>实际支出资金：一定时期（本年度或项目期）内项目实际拨付的资金；</w:t>
      </w:r>
    </w:p>
    <w:p>
      <w:pPr>
        <w:pStyle w:val="12"/>
        <w:ind w:firstLine="560"/>
        <w:rPr>
          <w:rFonts w:cs="Times New Roman"/>
        </w:rPr>
      </w:pPr>
      <w:r>
        <w:rPr>
          <w:rFonts w:hint="eastAsia" w:ascii="宋体" w:hAnsi="宋体" w:eastAsia="宋体" w:cs="宋体"/>
        </w:rPr>
        <w:t>②</w:t>
      </w:r>
      <w:r>
        <w:rPr>
          <w:rFonts w:cs="Times New Roman"/>
        </w:rPr>
        <w:t>实际到位资金：一定时期（本年度或项目期）内实际落实到具体项目的资金。</w:t>
      </w:r>
    </w:p>
    <w:p>
      <w:pPr>
        <w:pStyle w:val="12"/>
        <w:ind w:firstLine="560"/>
        <w:rPr>
          <w:rFonts w:cs="Times New Roman"/>
        </w:rPr>
      </w:pPr>
      <w:r>
        <w:rPr>
          <w:rFonts w:cs="Times New Roman"/>
        </w:rPr>
        <w:t>实际得分=预算执行率</w:t>
      </w:r>
      <w:r>
        <w:rPr>
          <w:rFonts w:hint="eastAsia" w:cs="Times New Roman"/>
        </w:rPr>
        <w:t>（最低）</w:t>
      </w:r>
      <w:r>
        <w:rPr>
          <w:rFonts w:cs="Times New Roman"/>
        </w:rPr>
        <w:t>×2.5。</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由</w:t>
      </w:r>
      <w:r>
        <w:rPr>
          <w:rFonts w:hint="eastAsia" w:cs="Times New Roman"/>
        </w:rPr>
        <w:t>“</w:t>
      </w:r>
      <w:r>
        <w:rPr>
          <w:rFonts w:cs="Times New Roman"/>
        </w:rPr>
        <w:t>一</w:t>
      </w:r>
      <w:r>
        <w:rPr>
          <w:rFonts w:hint="eastAsia" w:cs="Times New Roman"/>
        </w:rPr>
        <w:t>、（</w:t>
      </w:r>
      <w:r>
        <w:rPr>
          <w:rFonts w:cs="Times New Roman"/>
        </w:rPr>
        <w:t>一</w:t>
      </w:r>
      <w:r>
        <w:rPr>
          <w:rFonts w:hint="eastAsia" w:cs="Times New Roman"/>
        </w:rPr>
        <w:t>）</w:t>
      </w:r>
      <w:r>
        <w:rPr>
          <w:rFonts w:cs="Times New Roman"/>
        </w:rPr>
        <w:t>5.资金投入及使用情况</w:t>
      </w:r>
      <w:r>
        <w:rPr>
          <w:rFonts w:hint="eastAsia" w:cs="Times New Roman"/>
        </w:rPr>
        <w:t>”</w:t>
      </w:r>
      <w:r>
        <w:rPr>
          <w:rFonts w:cs="Times New Roman"/>
        </w:rPr>
        <w:t>得知</w:t>
      </w:r>
      <w:r>
        <w:rPr>
          <w:rFonts w:hint="eastAsia" w:cs="Times New Roman"/>
        </w:rPr>
        <w:t>，实际</w:t>
      </w:r>
      <w:r>
        <w:rPr>
          <w:rFonts w:cs="Times New Roman"/>
        </w:rPr>
        <w:t>得分</w:t>
      </w:r>
      <w:r>
        <w:rPr>
          <w:rFonts w:hint="eastAsia" w:cs="Times New Roman"/>
        </w:rPr>
        <w:t>=65%</w:t>
      </w:r>
      <w:r>
        <w:rPr>
          <w:rFonts w:cs="Times New Roman"/>
        </w:rPr>
        <w:t>×</w:t>
      </w:r>
      <w:r>
        <w:rPr>
          <w:rFonts w:hint="eastAsia" w:cs="Times New Roman"/>
        </w:rPr>
        <w:t>2.5=1.625，</w:t>
      </w:r>
      <w:r>
        <w:rPr>
          <w:rFonts w:cs="Times New Roman"/>
        </w:rPr>
        <w:t>得</w:t>
      </w:r>
      <w:r>
        <w:rPr>
          <w:rFonts w:hint="eastAsia" w:cs="Times New Roman"/>
        </w:rPr>
        <w:t>1.625</w:t>
      </w:r>
      <w:r>
        <w:rPr>
          <w:rFonts w:cs="Times New Roman"/>
        </w:rPr>
        <w:t>分</w:t>
      </w:r>
      <w:r>
        <w:rPr>
          <w:rFonts w:hint="eastAsia" w:cs="Times New Roman"/>
        </w:rPr>
        <w:t>。</w:t>
      </w:r>
    </w:p>
    <w:p>
      <w:pPr>
        <w:pStyle w:val="12"/>
        <w:ind w:firstLine="560"/>
        <w:rPr>
          <w:rFonts w:eastAsia="楷体_GB2312" w:cs="Times New Roman"/>
        </w:rPr>
      </w:pPr>
      <w:r>
        <w:rPr>
          <w:rFonts w:cs="Times New Roman"/>
        </w:rPr>
        <w:t>（4）管理制度健全性（权重2.5，得分</w:t>
      </w:r>
      <w:r>
        <w:rPr>
          <w:rFonts w:hint="eastAsia" w:cs="Times New Roman"/>
        </w:rPr>
        <w:t>1.5</w:t>
      </w:r>
      <w:r>
        <w:rPr>
          <w:rFonts w:cs="Times New Roman"/>
        </w:rPr>
        <w:t>）</w:t>
      </w:r>
      <w:r>
        <w:rPr>
          <w:rFonts w:cs="Times New Roman"/>
        </w:rPr>
        <w:tab/>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是否已制定或具有相应项目资金管理办法，1分；</w:t>
      </w:r>
    </w:p>
    <w:p>
      <w:pPr>
        <w:pStyle w:val="12"/>
        <w:ind w:firstLine="560"/>
        <w:rPr>
          <w:rFonts w:cs="Times New Roman"/>
        </w:rPr>
      </w:pPr>
      <w:r>
        <w:rPr>
          <w:rFonts w:hint="eastAsia" w:ascii="宋体" w:hAnsi="宋体" w:eastAsia="宋体" w:cs="宋体"/>
        </w:rPr>
        <w:t>②</w:t>
      </w:r>
      <w:r>
        <w:rPr>
          <w:rFonts w:cs="Times New Roman"/>
        </w:rPr>
        <w:t>项目资金管理办法是否符合相关财务会计制度的规定，1分；</w:t>
      </w:r>
    </w:p>
    <w:p>
      <w:pPr>
        <w:pStyle w:val="12"/>
        <w:ind w:firstLine="560"/>
        <w:rPr>
          <w:rFonts w:cs="Times New Roman"/>
        </w:rPr>
      </w:pPr>
      <w:r>
        <w:rPr>
          <w:rFonts w:hint="eastAsia" w:ascii="宋体" w:hAnsi="宋体" w:eastAsia="宋体" w:cs="宋体"/>
        </w:rPr>
        <w:t>③</w:t>
      </w:r>
      <w:r>
        <w:rPr>
          <w:rFonts w:cs="Times New Roman"/>
        </w:rPr>
        <w:t>管理制度是否健全、完整，0.5分。</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①漯河经济技术开发区统计中心制度了《统计中心经费管理制度》、《统计中心财务管理制度》，但缺少</w:t>
      </w:r>
      <w:r>
        <w:rPr>
          <w:rFonts w:hint="eastAsia" w:cs="Times New Roman"/>
          <w:lang w:eastAsia="zh-CN"/>
        </w:rPr>
        <w:t>部门</w:t>
      </w:r>
      <w:r>
        <w:rPr>
          <w:rFonts w:hint="eastAsia" w:cs="Times New Roman"/>
        </w:rPr>
        <w:t>预算管理制度，</w:t>
      </w:r>
      <w:r>
        <w:rPr>
          <w:rFonts w:cs="Times New Roman"/>
        </w:rPr>
        <w:t>得</w:t>
      </w:r>
      <w:r>
        <w:rPr>
          <w:rFonts w:hint="eastAsia" w:cs="Times New Roman"/>
        </w:rPr>
        <w:t>0.6</w:t>
      </w:r>
      <w:r>
        <w:rPr>
          <w:rFonts w:cs="Times New Roman"/>
        </w:rPr>
        <w:t>分；</w:t>
      </w:r>
    </w:p>
    <w:p>
      <w:pPr>
        <w:pStyle w:val="12"/>
        <w:ind w:firstLine="560"/>
        <w:rPr>
          <w:rFonts w:cs="Times New Roman"/>
        </w:rPr>
      </w:pPr>
      <w:r>
        <w:rPr>
          <w:rFonts w:hint="eastAsia" w:cs="Times New Roman"/>
        </w:rPr>
        <w:t>②漯河经济技术开发区统计中心制度的《统计中心经费管理制度》、《统计中心财务管理制度》</w:t>
      </w:r>
      <w:r>
        <w:rPr>
          <w:rFonts w:cs="Times New Roman"/>
        </w:rPr>
        <w:t>符合相关财务会计制度的规定</w:t>
      </w:r>
      <w:r>
        <w:rPr>
          <w:rFonts w:hint="eastAsia" w:cs="Times New Roman"/>
        </w:rPr>
        <w:t>，</w:t>
      </w:r>
      <w:r>
        <w:rPr>
          <w:rFonts w:cs="Times New Roman"/>
        </w:rPr>
        <w:t>但缺少</w:t>
      </w:r>
      <w:r>
        <w:rPr>
          <w:rFonts w:hint="eastAsia" w:cs="Times New Roman"/>
          <w:lang w:eastAsia="zh-CN"/>
        </w:rPr>
        <w:t>部门</w:t>
      </w:r>
      <w:r>
        <w:rPr>
          <w:rFonts w:cs="Times New Roman"/>
        </w:rPr>
        <w:t>预算管理制度</w:t>
      </w:r>
      <w:r>
        <w:rPr>
          <w:rFonts w:hint="eastAsia" w:cs="Times New Roman"/>
        </w:rPr>
        <w:t>，</w:t>
      </w:r>
      <w:r>
        <w:rPr>
          <w:rFonts w:cs="Times New Roman"/>
        </w:rPr>
        <w:t>得</w:t>
      </w:r>
      <w:r>
        <w:rPr>
          <w:rFonts w:hint="eastAsia" w:cs="Times New Roman"/>
        </w:rPr>
        <w:t>0.6</w:t>
      </w:r>
      <w:r>
        <w:rPr>
          <w:rFonts w:cs="Times New Roman"/>
        </w:rPr>
        <w:t>分；</w:t>
      </w:r>
    </w:p>
    <w:p>
      <w:pPr>
        <w:pStyle w:val="12"/>
        <w:ind w:firstLine="560"/>
        <w:rPr>
          <w:rFonts w:cs="Times New Roman"/>
        </w:rPr>
      </w:pPr>
      <w:r>
        <w:rPr>
          <w:rFonts w:hint="eastAsia" w:cs="Times New Roman"/>
        </w:rPr>
        <w:t>③由①和②得该部门管理制度缺少</w:t>
      </w:r>
      <w:r>
        <w:rPr>
          <w:rFonts w:hint="eastAsia" w:cs="Times New Roman"/>
          <w:lang w:eastAsia="zh-CN"/>
        </w:rPr>
        <w:t>部门</w:t>
      </w:r>
      <w:r>
        <w:rPr>
          <w:rFonts w:hint="eastAsia" w:cs="Times New Roman"/>
        </w:rPr>
        <w:t>预算管理制度，制度健全性有待提高</w:t>
      </w:r>
      <w:r>
        <w:rPr>
          <w:rFonts w:cs="Times New Roman"/>
        </w:rPr>
        <w:t>，得</w:t>
      </w:r>
      <w:r>
        <w:rPr>
          <w:rFonts w:hint="eastAsia" w:cs="Times New Roman"/>
        </w:rPr>
        <w:t>0.3</w:t>
      </w:r>
      <w:r>
        <w:rPr>
          <w:rFonts w:cs="Times New Roman"/>
        </w:rPr>
        <w:t>分。</w:t>
      </w:r>
    </w:p>
    <w:p>
      <w:pPr>
        <w:pStyle w:val="12"/>
        <w:ind w:firstLine="560"/>
        <w:rPr>
          <w:rFonts w:eastAsia="楷体_GB2312" w:cs="Times New Roman"/>
        </w:rPr>
      </w:pPr>
      <w:r>
        <w:rPr>
          <w:rFonts w:cs="Times New Roman"/>
        </w:rPr>
        <w:t>（5）资金使用合规性（权重2.5，得分</w:t>
      </w:r>
      <w:r>
        <w:rPr>
          <w:rFonts w:hint="eastAsia" w:cs="Times New Roman"/>
        </w:rPr>
        <w:t>1.75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资金使用是否符合国家财经法规和财务管理制度以及有关专项资金管理办法的规定,0.5分；</w:t>
      </w:r>
    </w:p>
    <w:p>
      <w:pPr>
        <w:pStyle w:val="12"/>
        <w:ind w:firstLine="560"/>
        <w:rPr>
          <w:rFonts w:cs="Times New Roman"/>
        </w:rPr>
      </w:pPr>
      <w:r>
        <w:rPr>
          <w:rFonts w:hint="eastAsia" w:ascii="宋体" w:hAnsi="宋体" w:eastAsia="宋体" w:cs="宋体"/>
        </w:rPr>
        <w:t>②</w:t>
      </w:r>
      <w:r>
        <w:rPr>
          <w:rFonts w:cs="Times New Roman"/>
        </w:rPr>
        <w:t>资金的拨付是否有完整的审批程序和手续,0.5分；</w:t>
      </w:r>
    </w:p>
    <w:p>
      <w:pPr>
        <w:pStyle w:val="12"/>
        <w:ind w:firstLine="560"/>
        <w:rPr>
          <w:rFonts w:cs="Times New Roman"/>
        </w:rPr>
      </w:pPr>
      <w:r>
        <w:rPr>
          <w:rFonts w:hint="eastAsia" w:ascii="宋体" w:hAnsi="宋体" w:eastAsia="宋体" w:cs="宋体"/>
        </w:rPr>
        <w:t>③</w:t>
      </w:r>
      <w:r>
        <w:rPr>
          <w:rFonts w:cs="Times New Roman"/>
        </w:rPr>
        <w:t>项目的重大开支是否经过集体研究,0.5分；</w:t>
      </w:r>
    </w:p>
    <w:p>
      <w:pPr>
        <w:pStyle w:val="12"/>
        <w:ind w:firstLine="560"/>
        <w:rPr>
          <w:rFonts w:cs="Times New Roman"/>
        </w:rPr>
      </w:pPr>
      <w:r>
        <w:rPr>
          <w:rFonts w:hint="eastAsia" w:ascii="宋体" w:hAnsi="宋体" w:eastAsia="宋体" w:cs="宋体"/>
        </w:rPr>
        <w:t>④</w:t>
      </w:r>
      <w:r>
        <w:rPr>
          <w:rFonts w:cs="Times New Roman"/>
        </w:rPr>
        <w:t>资金使用是否符合项目预算批复或合同规定的用途,0.5分。</w:t>
      </w:r>
    </w:p>
    <w:p>
      <w:pPr>
        <w:pStyle w:val="12"/>
        <w:ind w:firstLine="560"/>
        <w:rPr>
          <w:rFonts w:cs="Times New Roman"/>
        </w:rPr>
      </w:pPr>
      <w:r>
        <w:rPr>
          <w:rFonts w:hint="eastAsia" w:ascii="宋体" w:hAnsi="宋体" w:eastAsia="宋体" w:cs="宋体"/>
        </w:rPr>
        <w:t>⑤</w:t>
      </w:r>
      <w:r>
        <w:rPr>
          <w:rFonts w:cs="Times New Roman"/>
        </w:rPr>
        <w:t>资金使用是否出现截留、挤占、挪用、虚列支出任何一种情况,0.5分。</w:t>
      </w:r>
    </w:p>
    <w:p>
      <w:pPr>
        <w:pStyle w:val="12"/>
        <w:ind w:firstLine="560"/>
        <w:rPr>
          <w:rFonts w:cs="Times New Roman"/>
        </w:rPr>
      </w:pPr>
      <w:r>
        <w:rPr>
          <w:rFonts w:ascii="Segoe UI Symbol" w:hAnsi="Segoe UI Symbol" w:cs="Segoe UI Symbol"/>
        </w:rPr>
        <w:t>★</w:t>
      </w:r>
      <w:r>
        <w:rPr>
          <w:rFonts w:cs="Times New Roman"/>
        </w:rPr>
        <w:t>出现</w:t>
      </w:r>
      <w:r>
        <w:rPr>
          <w:rFonts w:hint="eastAsia" w:ascii="宋体" w:hAnsi="宋体" w:eastAsia="宋体" w:cs="宋体"/>
        </w:rPr>
        <w:t>④</w:t>
      </w:r>
      <w:r>
        <w:rPr>
          <w:rFonts w:cs="Times New Roman"/>
        </w:rPr>
        <w:t>或</w:t>
      </w:r>
      <w:r>
        <w:rPr>
          <w:rFonts w:hint="eastAsia" w:ascii="宋体" w:hAnsi="宋体" w:eastAsia="宋体" w:cs="宋体"/>
        </w:rPr>
        <w:t>⑤</w:t>
      </w:r>
      <w:r>
        <w:rPr>
          <w:rFonts w:cs="Times New Roman"/>
        </w:rPr>
        <w:t>情况，本指标得分为0。</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本部分主要从</w:t>
      </w:r>
      <w:r>
        <w:rPr>
          <w:rFonts w:hint="eastAsia" w:cs="Times New Roman"/>
        </w:rPr>
        <w:t>劳务费资金使用合规性、办公费资金使用合规性、其他工资福利支出资金使用合规性、其他商品和服务支出资金使用合规性、维修费资金使用合规性、印刷费资金使用合规性、邮电费资金使用合规性等统计各专业工作经费</w:t>
      </w:r>
      <w:r>
        <w:rPr>
          <w:rFonts w:cs="Times New Roman"/>
        </w:rPr>
        <w:t>资金使用合规性进行分析。</w:t>
      </w:r>
    </w:p>
    <w:p>
      <w:pPr>
        <w:pStyle w:val="12"/>
        <w:ind w:firstLine="560"/>
        <w:rPr>
          <w:rFonts w:cs="Times New Roman"/>
        </w:rPr>
      </w:pPr>
      <w:r>
        <w:rPr>
          <w:rFonts w:hint="eastAsia" w:ascii="仿宋" w:hAnsi="仿宋" w:cs="Times New Roman"/>
        </w:rPr>
        <w:t>①</w:t>
      </w:r>
      <w:r>
        <w:rPr>
          <w:rFonts w:cs="Times New Roman"/>
        </w:rPr>
        <w:t>项目资金使用符合国家财经法规和财务管理制度规定，但未</w:t>
      </w:r>
      <w:r>
        <w:rPr>
          <w:rFonts w:hint="eastAsia" w:cs="Times New Roman"/>
          <w:lang w:eastAsia="zh-CN"/>
        </w:rPr>
        <w:t>提供预算调剂</w:t>
      </w:r>
      <w:r>
        <w:rPr>
          <w:rFonts w:cs="Times New Roman"/>
        </w:rPr>
        <w:t>的</w:t>
      </w:r>
      <w:r>
        <w:rPr>
          <w:rFonts w:hint="eastAsia" w:cs="Times New Roman"/>
          <w:lang w:eastAsia="zh-CN"/>
        </w:rPr>
        <w:t>相关资料</w:t>
      </w:r>
      <w:r>
        <w:rPr>
          <w:rFonts w:hint="eastAsia" w:cs="Times New Roman"/>
        </w:rPr>
        <w:t>，</w:t>
      </w:r>
      <w:r>
        <w:rPr>
          <w:rFonts w:cs="Times New Roman"/>
        </w:rPr>
        <w:t>得0.</w:t>
      </w:r>
      <w:r>
        <w:rPr>
          <w:rFonts w:hint="eastAsia" w:cs="Times New Roman"/>
        </w:rPr>
        <w:t>2</w:t>
      </w:r>
      <w:r>
        <w:rPr>
          <w:rFonts w:cs="Times New Roman"/>
        </w:rPr>
        <w:t>5分；</w:t>
      </w:r>
    </w:p>
    <w:p>
      <w:pPr>
        <w:pStyle w:val="12"/>
        <w:ind w:firstLine="560"/>
        <w:rPr>
          <w:rFonts w:cs="Times New Roman"/>
        </w:rPr>
      </w:pPr>
      <w:r>
        <w:rPr>
          <w:rFonts w:hint="eastAsia" w:cs="Times New Roman"/>
        </w:rPr>
        <w:t>②</w:t>
      </w:r>
      <w:r>
        <w:rPr>
          <w:rFonts w:cs="Times New Roman"/>
        </w:rPr>
        <w:t>项目资金按照相关拨付流程进行审批，履行申请、批复手续，经现场查验，该笔资金划拨记账凭证完善，</w:t>
      </w:r>
      <w:r>
        <w:rPr>
          <w:rFonts w:hint="eastAsia" w:cs="Times New Roman"/>
        </w:rPr>
        <w:t>报销</w:t>
      </w:r>
      <w:r>
        <w:rPr>
          <w:rFonts w:cs="Times New Roman"/>
        </w:rPr>
        <w:t>单据、相关合同、发票、会计凭证等均妥善保管，资金的拨付有完整的审批程序和手续</w:t>
      </w:r>
      <w:r>
        <w:rPr>
          <w:rFonts w:hint="eastAsia" w:cs="Times New Roman"/>
        </w:rPr>
        <w:t>，</w:t>
      </w:r>
      <w:r>
        <w:rPr>
          <w:rFonts w:cs="Times New Roman"/>
        </w:rPr>
        <w:t>但</w:t>
      </w:r>
      <w:r>
        <w:rPr>
          <w:rFonts w:hint="eastAsia" w:cs="Times New Roman"/>
          <w:lang w:eastAsia="zh-CN"/>
        </w:rPr>
        <w:t>未提供预算调剂</w:t>
      </w:r>
      <w:r>
        <w:rPr>
          <w:rFonts w:cs="Times New Roman"/>
        </w:rPr>
        <w:t>相关</w:t>
      </w:r>
      <w:r>
        <w:rPr>
          <w:rFonts w:hint="eastAsia" w:cs="Times New Roman"/>
          <w:lang w:eastAsia="zh-CN"/>
        </w:rPr>
        <w:t>资料</w:t>
      </w:r>
      <w:r>
        <w:rPr>
          <w:rFonts w:hint="eastAsia" w:cs="Times New Roman"/>
        </w:rPr>
        <w:t>，</w:t>
      </w:r>
      <w:r>
        <w:rPr>
          <w:rFonts w:cs="Times New Roman"/>
          <w:color w:val="000000" w:themeColor="text1"/>
        </w:rPr>
        <w:t>得</w:t>
      </w:r>
      <w:r>
        <w:rPr>
          <w:rFonts w:cs="Times New Roman"/>
        </w:rPr>
        <w:t>0.</w:t>
      </w:r>
      <w:r>
        <w:rPr>
          <w:rFonts w:hint="eastAsia" w:cs="Times New Roman"/>
        </w:rPr>
        <w:t>2</w:t>
      </w:r>
      <w:r>
        <w:rPr>
          <w:rFonts w:cs="Times New Roman"/>
        </w:rPr>
        <w:t>5分；</w:t>
      </w:r>
    </w:p>
    <w:p>
      <w:pPr>
        <w:pStyle w:val="12"/>
        <w:ind w:firstLine="560"/>
        <w:rPr>
          <w:rFonts w:eastAsia="宋体" w:cs="Times New Roman"/>
          <w:color w:val="FF0000"/>
        </w:rPr>
      </w:pPr>
      <w:r>
        <w:rPr>
          <w:rFonts w:hint="eastAsia" w:ascii="宋体" w:hAnsi="宋体" w:eastAsia="宋体" w:cs="宋体"/>
        </w:rPr>
        <w:t>③</w:t>
      </w:r>
      <w:r>
        <w:rPr>
          <w:rFonts w:hint="eastAsia" w:ascii="仿宋" w:hAnsi="仿宋" w:cs="仿宋"/>
        </w:rPr>
        <w:t>漯河经济技术开发区统计中心</w:t>
      </w:r>
      <w:r>
        <w:rPr>
          <w:rFonts w:cs="Times New Roman"/>
        </w:rPr>
        <w:t>的</w:t>
      </w:r>
      <w:r>
        <w:rPr>
          <w:rFonts w:hint="eastAsia" w:cs="Times New Roman"/>
        </w:rPr>
        <w:t>重大</w:t>
      </w:r>
      <w:r>
        <w:rPr>
          <w:rFonts w:cs="Times New Roman"/>
        </w:rPr>
        <w:t>项目履行内部讨论</w:t>
      </w:r>
      <w:r>
        <w:rPr>
          <w:rFonts w:hint="eastAsia" w:cs="Times New Roman"/>
        </w:rPr>
        <w:t>、集体研究后进行</w:t>
      </w:r>
      <w:r>
        <w:rPr>
          <w:rFonts w:cs="Times New Roman"/>
        </w:rPr>
        <w:t>申请</w:t>
      </w:r>
      <w:r>
        <w:rPr>
          <w:rFonts w:cs="Times New Roman"/>
          <w:color w:val="000000" w:themeColor="text1"/>
        </w:rPr>
        <w:t>，得0.5分；</w:t>
      </w:r>
    </w:p>
    <w:p>
      <w:pPr>
        <w:pStyle w:val="12"/>
        <w:ind w:firstLine="560"/>
        <w:rPr>
          <w:rFonts w:cs="Times New Roman"/>
        </w:rPr>
      </w:pPr>
      <w:r>
        <w:rPr>
          <w:rFonts w:hint="eastAsia" w:ascii="宋体" w:hAnsi="宋体" w:eastAsia="宋体" w:cs="宋体"/>
        </w:rPr>
        <w:t>④</w:t>
      </w:r>
      <w:r>
        <w:rPr>
          <w:rFonts w:cs="Times New Roman"/>
        </w:rPr>
        <w:t>资金使用均按照批复内容及招标文件内容</w:t>
      </w:r>
      <w:r>
        <w:rPr>
          <w:rFonts w:hint="eastAsia" w:cs="Times New Roman"/>
        </w:rPr>
        <w:t>，</w:t>
      </w:r>
      <w:r>
        <w:rPr>
          <w:rFonts w:cs="Times New Roman"/>
        </w:rPr>
        <w:t>符合项目预算批复和合同规定的用途</w:t>
      </w:r>
      <w:r>
        <w:rPr>
          <w:rFonts w:hint="eastAsia" w:cs="Times New Roman"/>
        </w:rPr>
        <w:t>，</w:t>
      </w:r>
      <w:r>
        <w:rPr>
          <w:rFonts w:cs="Times New Roman"/>
        </w:rPr>
        <w:t>但</w:t>
      </w:r>
      <w:r>
        <w:rPr>
          <w:rFonts w:hint="eastAsia" w:cs="Times New Roman"/>
          <w:lang w:eastAsia="zh-CN"/>
        </w:rPr>
        <w:t>未提供预算调剂</w:t>
      </w:r>
      <w:r>
        <w:rPr>
          <w:rFonts w:cs="Times New Roman"/>
        </w:rPr>
        <w:t>相关</w:t>
      </w:r>
      <w:r>
        <w:rPr>
          <w:rFonts w:hint="eastAsia" w:cs="Times New Roman"/>
          <w:lang w:eastAsia="zh-CN"/>
        </w:rPr>
        <w:t>资料</w:t>
      </w:r>
      <w:r>
        <w:rPr>
          <w:rFonts w:hint="eastAsia" w:cs="Times New Roman"/>
        </w:rPr>
        <w:t>，</w:t>
      </w:r>
      <w:r>
        <w:rPr>
          <w:rFonts w:cs="Times New Roman"/>
          <w:color w:val="000000" w:themeColor="text1"/>
        </w:rPr>
        <w:t>得</w:t>
      </w:r>
      <w:r>
        <w:rPr>
          <w:rFonts w:cs="Times New Roman"/>
        </w:rPr>
        <w:t>0.</w:t>
      </w:r>
      <w:r>
        <w:rPr>
          <w:rFonts w:hint="eastAsia" w:cs="Times New Roman"/>
        </w:rPr>
        <w:t>2</w:t>
      </w:r>
      <w:r>
        <w:rPr>
          <w:rFonts w:cs="Times New Roman"/>
        </w:rPr>
        <w:t>5分；</w:t>
      </w:r>
    </w:p>
    <w:p>
      <w:pPr>
        <w:pStyle w:val="12"/>
        <w:ind w:firstLine="560"/>
        <w:rPr>
          <w:rFonts w:cs="Times New Roman"/>
        </w:rPr>
      </w:pPr>
      <w:r>
        <w:rPr>
          <w:rFonts w:hint="eastAsia" w:ascii="宋体" w:hAnsi="宋体" w:eastAsia="宋体" w:cs="宋体"/>
        </w:rPr>
        <w:t>⑤</w:t>
      </w:r>
      <w:r>
        <w:rPr>
          <w:rFonts w:hint="eastAsia" w:ascii="仿宋" w:hAnsi="仿宋" w:cs="仿宋"/>
        </w:rPr>
        <w:t>漯河经济技术开发区统计中心</w:t>
      </w:r>
      <w:r>
        <w:rPr>
          <w:rFonts w:cs="Times New Roman"/>
        </w:rPr>
        <w:t>未出现截留、挤占、挪用、虚列支出的情况,得0.5分。</w:t>
      </w:r>
    </w:p>
    <w:p>
      <w:pPr>
        <w:pStyle w:val="12"/>
        <w:ind w:firstLine="560"/>
        <w:rPr>
          <w:rFonts w:eastAsia="楷体_GB2312" w:cs="Times New Roman"/>
        </w:rPr>
      </w:pPr>
      <w:r>
        <w:rPr>
          <w:rFonts w:cs="Times New Roman"/>
        </w:rPr>
        <w:t>（6）财务监控有效性（权重2.5，得分</w:t>
      </w:r>
      <w:r>
        <w:rPr>
          <w:rFonts w:hint="eastAsia" w:cs="Times New Roman"/>
        </w:rPr>
        <w:t>1.5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cs="Times New Roman"/>
        </w:rPr>
        <w:t>是否形成监督、检查、复核的监控机制，1分；</w:t>
      </w:r>
    </w:p>
    <w:p>
      <w:pPr>
        <w:pStyle w:val="12"/>
        <w:ind w:firstLine="560"/>
        <w:rPr>
          <w:rFonts w:cs="Times New Roman"/>
        </w:rPr>
      </w:pPr>
      <w:r>
        <w:rPr>
          <w:rFonts w:hint="eastAsia" w:ascii="宋体" w:hAnsi="宋体" w:eastAsia="宋体" w:cs="宋体"/>
        </w:rPr>
        <w:t>②</w:t>
      </w:r>
      <w:r>
        <w:rPr>
          <w:rFonts w:cs="Times New Roman"/>
        </w:rPr>
        <w:t>是否采取了相应的财务检查等必要的监控措施或手段，1分；</w:t>
      </w:r>
    </w:p>
    <w:p>
      <w:pPr>
        <w:pStyle w:val="12"/>
        <w:ind w:firstLine="560"/>
        <w:rPr>
          <w:rFonts w:cs="Times New Roman"/>
        </w:rPr>
      </w:pPr>
      <w:r>
        <w:rPr>
          <w:rFonts w:hint="eastAsia" w:ascii="宋体" w:hAnsi="宋体" w:eastAsia="宋体" w:cs="宋体"/>
        </w:rPr>
        <w:t>③</w:t>
      </w:r>
      <w:r>
        <w:rPr>
          <w:rFonts w:cs="Times New Roman"/>
        </w:rPr>
        <w:t>不相容职责是否分离，0.5分。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漯河经济技术开发区统计中心</w:t>
      </w:r>
      <w:r>
        <w:rPr>
          <w:rFonts w:cs="Times New Roman"/>
        </w:rPr>
        <w:t>按照</w:t>
      </w:r>
      <w:r>
        <w:rPr>
          <w:rFonts w:hint="eastAsia" w:cs="Times New Roman"/>
        </w:rPr>
        <w:t>《统计中心经费管理制度》、《统计中心财务管理制度》</w:t>
      </w:r>
      <w:r>
        <w:rPr>
          <w:rFonts w:cs="Times New Roman"/>
        </w:rPr>
        <w:t>，形成监督、检查、复核的监控机制，但分项超出预算部分未履行相关流程</w:t>
      </w:r>
      <w:r>
        <w:rPr>
          <w:rFonts w:hint="eastAsia" w:cs="Times New Roman"/>
        </w:rPr>
        <w:t>，</w:t>
      </w:r>
      <w:r>
        <w:rPr>
          <w:rFonts w:cs="Times New Roman"/>
        </w:rPr>
        <w:t>监控机制有漏洞</w:t>
      </w:r>
      <w:r>
        <w:rPr>
          <w:rFonts w:hint="eastAsia" w:cs="Times New Roman"/>
        </w:rPr>
        <w:t>，得0.5</w:t>
      </w:r>
      <w:r>
        <w:rPr>
          <w:rFonts w:cs="Times New Roman"/>
        </w:rPr>
        <w:t>分；</w:t>
      </w:r>
    </w:p>
    <w:p>
      <w:pPr>
        <w:pStyle w:val="12"/>
        <w:ind w:firstLine="560"/>
        <w:rPr>
          <w:rFonts w:cs="Times New Roman"/>
        </w:rPr>
      </w:pPr>
      <w:r>
        <w:rPr>
          <w:rFonts w:hint="eastAsia" w:ascii="宋体" w:hAnsi="宋体" w:eastAsia="宋体" w:cs="宋体"/>
        </w:rPr>
        <w:t>②</w:t>
      </w:r>
      <w:r>
        <w:rPr>
          <w:rFonts w:cs="Times New Roman"/>
        </w:rPr>
        <w:t>经过现场调研和专人访谈，经办人员均按照相关流程进行费用支出申请，费用支出单据完备、详尽，领导在审批时详细查看附件资料</w:t>
      </w:r>
      <w:r>
        <w:rPr>
          <w:rFonts w:hint="eastAsia" w:cs="Times New Roman"/>
        </w:rPr>
        <w:t>；</w:t>
      </w:r>
      <w:r>
        <w:rPr>
          <w:rFonts w:cs="Times New Roman"/>
        </w:rPr>
        <w:t>在费用支出上，</w:t>
      </w:r>
      <w:r>
        <w:rPr>
          <w:rFonts w:hint="eastAsia" w:cs="Times New Roman"/>
        </w:rPr>
        <w:t>漯河经济技术开发区统计中心</w:t>
      </w:r>
      <w:r>
        <w:rPr>
          <w:rFonts w:cs="Times New Roman"/>
        </w:rPr>
        <w:t>采取了相应的财务检查等必要的监控措施或手段，但分项超出预算部分</w:t>
      </w:r>
      <w:r>
        <w:rPr>
          <w:rFonts w:hint="eastAsia" w:cs="Times New Roman"/>
        </w:rPr>
        <w:t>，</w:t>
      </w:r>
      <w:r>
        <w:rPr>
          <w:rFonts w:hint="eastAsia" w:cs="Times New Roman"/>
          <w:lang w:eastAsia="zh-CN"/>
        </w:rPr>
        <w:t>未提供预算调剂</w:t>
      </w:r>
      <w:r>
        <w:rPr>
          <w:rFonts w:cs="Times New Roman"/>
        </w:rPr>
        <w:t>相关</w:t>
      </w:r>
      <w:r>
        <w:rPr>
          <w:rFonts w:hint="eastAsia" w:cs="Times New Roman"/>
          <w:lang w:eastAsia="zh-CN"/>
        </w:rPr>
        <w:t>资料</w:t>
      </w:r>
      <w:r>
        <w:rPr>
          <w:rFonts w:hint="eastAsia" w:cs="Times New Roman"/>
        </w:rPr>
        <w:t>，</w:t>
      </w:r>
      <w:r>
        <w:rPr>
          <w:rFonts w:cs="Times New Roman"/>
        </w:rPr>
        <w:t>得</w:t>
      </w:r>
      <w:r>
        <w:rPr>
          <w:rFonts w:hint="eastAsia" w:cs="Times New Roman"/>
        </w:rPr>
        <w:t>0.5</w:t>
      </w:r>
      <w:r>
        <w:rPr>
          <w:rFonts w:cs="Times New Roman"/>
        </w:rPr>
        <w:t>分；</w:t>
      </w:r>
    </w:p>
    <w:p>
      <w:pPr>
        <w:pStyle w:val="12"/>
        <w:ind w:firstLine="560"/>
        <w:rPr>
          <w:rFonts w:eastAsia="楷体_GB2312" w:cs="Times New Roman"/>
        </w:rPr>
      </w:pPr>
      <w:r>
        <w:rPr>
          <w:rFonts w:hint="eastAsia" w:ascii="宋体" w:hAnsi="宋体" w:eastAsia="宋体" w:cs="宋体"/>
        </w:rPr>
        <w:t>③</w:t>
      </w:r>
      <w:r>
        <w:rPr>
          <w:rFonts w:cs="Times New Roman"/>
        </w:rPr>
        <w:t>采取不相容职责分离，0.5分。</w:t>
      </w:r>
    </w:p>
    <w:p>
      <w:pPr>
        <w:pStyle w:val="4"/>
        <w:ind w:firstLine="602"/>
        <w:rPr>
          <w:rFonts w:cs="Times New Roman"/>
        </w:rPr>
      </w:pPr>
      <w:bookmarkStart w:id="94" w:name="_Toc4897"/>
      <w:bookmarkStart w:id="95" w:name="_Toc67315596"/>
      <w:bookmarkStart w:id="96" w:name="_Toc2531"/>
      <w:r>
        <w:rPr>
          <w:rFonts w:cs="Times New Roman"/>
        </w:rPr>
        <w:t>（三）项目产出情况（权重30，得分</w:t>
      </w:r>
      <w:r>
        <w:rPr>
          <w:rFonts w:hint="eastAsia" w:cs="Times New Roman"/>
        </w:rPr>
        <w:t>26</w:t>
      </w:r>
      <w:r>
        <w:rPr>
          <w:rFonts w:cs="Times New Roman"/>
        </w:rPr>
        <w:t>）</w:t>
      </w:r>
      <w:bookmarkEnd w:id="94"/>
      <w:bookmarkEnd w:id="95"/>
      <w:bookmarkEnd w:id="96"/>
    </w:p>
    <w:p>
      <w:pPr>
        <w:pStyle w:val="5"/>
        <w:ind w:firstLine="562"/>
        <w:rPr>
          <w:rFonts w:cs="Times New Roman"/>
        </w:rPr>
      </w:pPr>
      <w:bookmarkStart w:id="97" w:name="_Toc26415"/>
      <w:bookmarkStart w:id="98" w:name="_Toc67315597"/>
      <w:bookmarkStart w:id="99" w:name="_Toc17046"/>
      <w:r>
        <w:rPr>
          <w:rFonts w:cs="Times New Roman"/>
        </w:rPr>
        <w:t>1.产出数量（权重7.5，得分7.5）</w:t>
      </w:r>
      <w:bookmarkEnd w:id="97"/>
      <w:bookmarkEnd w:id="98"/>
      <w:bookmarkEnd w:id="99"/>
    </w:p>
    <w:p>
      <w:pPr>
        <w:pStyle w:val="12"/>
        <w:ind w:firstLine="560"/>
        <w:rPr>
          <w:rFonts w:cs="Times New Roman"/>
        </w:rPr>
      </w:pPr>
      <w:bookmarkStart w:id="100" w:name="_Toc67315598"/>
      <w:r>
        <w:rPr>
          <w:rFonts w:cs="Times New Roman"/>
        </w:rPr>
        <w:t>（1）实际完成率（权重7.5，得分7.5）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招商信息完成率；</w:t>
      </w:r>
    </w:p>
    <w:p>
      <w:pPr>
        <w:pStyle w:val="12"/>
        <w:ind w:firstLine="560"/>
        <w:rPr>
          <w:rFonts w:cs="Times New Roman"/>
        </w:rPr>
      </w:pPr>
      <w:r>
        <w:rPr>
          <w:rFonts w:hint="eastAsia" w:cs="Times New Roman"/>
        </w:rPr>
        <w:t>②全区经济运行目标检测、分析工作完成率；</w:t>
      </w:r>
    </w:p>
    <w:p>
      <w:pPr>
        <w:pStyle w:val="12"/>
        <w:ind w:firstLine="560"/>
        <w:rPr>
          <w:rFonts w:cs="Times New Roman"/>
        </w:rPr>
      </w:pPr>
      <w:r>
        <w:rPr>
          <w:rFonts w:hint="eastAsia" w:cs="Times New Roman"/>
        </w:rPr>
        <w:t>③省产业集聚区年度考核评价指标的检测、统计分析牵头工作完成率；</w:t>
      </w:r>
    </w:p>
    <w:p>
      <w:pPr>
        <w:pStyle w:val="12"/>
        <w:ind w:firstLine="560"/>
        <w:rPr>
          <w:rFonts w:cs="Times New Roman"/>
        </w:rPr>
      </w:pPr>
      <w:r>
        <w:rPr>
          <w:rFonts w:hint="eastAsia" w:cs="Times New Roman"/>
        </w:rPr>
        <w:t>④国家级和省级开发区综合评价完成率；</w:t>
      </w:r>
    </w:p>
    <w:p>
      <w:pPr>
        <w:pStyle w:val="12"/>
        <w:ind w:firstLine="560"/>
        <w:rPr>
          <w:rFonts w:cs="Times New Roman"/>
        </w:rPr>
      </w:pPr>
      <w:r>
        <w:rPr>
          <w:rFonts w:hint="eastAsia" w:cs="Times New Roman"/>
        </w:rPr>
        <w:t>⑤统计名录库建设、“四上”企业入库工作完成率；</w:t>
      </w:r>
    </w:p>
    <w:p>
      <w:pPr>
        <w:pStyle w:val="12"/>
        <w:ind w:firstLine="560"/>
        <w:rPr>
          <w:rFonts w:cs="Times New Roman"/>
        </w:rPr>
      </w:pPr>
      <w:r>
        <w:rPr>
          <w:rFonts w:hint="eastAsia" w:cs="Times New Roman"/>
        </w:rPr>
        <w:t>⑥第七次人口普查工作完成率；</w:t>
      </w:r>
    </w:p>
    <w:p>
      <w:pPr>
        <w:pStyle w:val="12"/>
        <w:ind w:firstLine="560"/>
        <w:rPr>
          <w:rFonts w:cs="Times New Roman"/>
        </w:rPr>
      </w:pPr>
      <w:r>
        <w:rPr>
          <w:rFonts w:hint="eastAsia" w:cs="Times New Roman"/>
        </w:rPr>
        <w:t>⑦培训管理工作完成率；</w:t>
      </w:r>
    </w:p>
    <w:p>
      <w:pPr>
        <w:pStyle w:val="12"/>
        <w:ind w:firstLine="560"/>
        <w:rPr>
          <w:rFonts w:cs="Times New Roman"/>
        </w:rPr>
      </w:pPr>
      <w:r>
        <w:rPr>
          <w:rFonts w:hint="eastAsia" w:cs="Times New Roman"/>
        </w:rPr>
        <w:t>⑧“四城同建”等工作目标完成完成率；</w:t>
      </w:r>
    </w:p>
    <w:p>
      <w:pPr>
        <w:pStyle w:val="12"/>
        <w:ind w:firstLine="560"/>
        <w:rPr>
          <w:rFonts w:cs="Times New Roman"/>
        </w:rPr>
      </w:pPr>
      <w:r>
        <w:rPr>
          <w:rFonts w:hint="eastAsia" w:cs="Times New Roman"/>
        </w:rPr>
        <w:t>⑨上级、党工委、管委会等交办的其他重点工作完成完成率；</w:t>
      </w:r>
    </w:p>
    <w:p>
      <w:pPr>
        <w:pStyle w:val="12"/>
        <w:ind w:firstLine="560"/>
        <w:rPr>
          <w:rFonts w:cs="Times New Roman"/>
        </w:rPr>
      </w:pPr>
      <w:r>
        <w:rPr>
          <w:rFonts w:cs="Times New Roman"/>
        </w:rPr>
        <w:t>实际完成率=（实际产出数/计划产出数）×100%。</w:t>
      </w:r>
    </w:p>
    <w:p>
      <w:pPr>
        <w:pStyle w:val="12"/>
        <w:ind w:firstLine="560"/>
        <w:rPr>
          <w:rFonts w:cs="Times New Roman"/>
        </w:rPr>
      </w:pPr>
      <w:r>
        <w:rPr>
          <w:rFonts w:hint="eastAsia" w:ascii="宋体" w:hAnsi="宋体" w:eastAsia="宋体" w:cs="宋体"/>
        </w:rPr>
        <w:t>①</w:t>
      </w:r>
      <w:r>
        <w:rPr>
          <w:rFonts w:cs="Times New Roman"/>
        </w:rPr>
        <w:t>实际产出数：一定时期（本年度或项目期）内项目实际产出的产品或提供的服务数量。</w:t>
      </w:r>
    </w:p>
    <w:p>
      <w:pPr>
        <w:pStyle w:val="12"/>
        <w:ind w:firstLine="560"/>
        <w:rPr>
          <w:rFonts w:cs="Times New Roman"/>
        </w:rPr>
      </w:pPr>
      <w:r>
        <w:rPr>
          <w:rFonts w:hint="eastAsia" w:ascii="宋体" w:hAnsi="宋体" w:eastAsia="宋体" w:cs="宋体"/>
        </w:rPr>
        <w:t>②</w:t>
      </w:r>
      <w:r>
        <w:rPr>
          <w:rFonts w:cs="Times New Roman"/>
        </w:rPr>
        <w:t>计划产出数：项目绩效目标确定的在一定时期(年度或项目期)内计划产出的产品或提供的服务数量</w:t>
      </w:r>
    </w:p>
    <w:p>
      <w:pPr>
        <w:pStyle w:val="12"/>
        <w:ind w:firstLine="560"/>
        <w:rPr>
          <w:rFonts w:cs="Times New Roman"/>
        </w:rPr>
      </w:pPr>
      <w:r>
        <w:rPr>
          <w:rFonts w:cs="Times New Roman"/>
        </w:rPr>
        <w:t>实际得分=实际完成率</w:t>
      </w:r>
      <w:r>
        <w:rPr>
          <w:rFonts w:hint="eastAsia" w:cs="Times New Roman"/>
        </w:rPr>
        <w:t>（最低）</w:t>
      </w:r>
      <w:r>
        <w:rPr>
          <w:rFonts w:cs="Times New Roman"/>
        </w:rPr>
        <w:t>×相关系数。</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cs="Times New Roman"/>
        </w:rPr>
        <w:t>招商信息完成率=2条/2条</w:t>
      </w:r>
      <w:r>
        <w:rPr>
          <w:rFonts w:cs="Times New Roman"/>
        </w:rPr>
        <w:t>×100%</w:t>
      </w:r>
      <w:r>
        <w:rPr>
          <w:rFonts w:hint="eastAsia" w:cs="Times New Roman"/>
        </w:rPr>
        <w:t>=100%；</w:t>
      </w:r>
    </w:p>
    <w:p>
      <w:pPr>
        <w:pStyle w:val="12"/>
        <w:ind w:firstLine="560"/>
        <w:rPr>
          <w:rFonts w:cs="Times New Roman"/>
          <w:highlight w:val="yellow"/>
        </w:rPr>
      </w:pPr>
      <w:r>
        <w:rPr>
          <w:rFonts w:hint="eastAsia" w:cs="Times New Roman"/>
        </w:rPr>
        <w:t>②全区经济运行目标检测、分析工作完成率=10次/10次</w:t>
      </w:r>
      <w:r>
        <w:rPr>
          <w:rFonts w:cs="Times New Roman"/>
        </w:rPr>
        <w:t>×100%</w:t>
      </w:r>
      <w:r>
        <w:rPr>
          <w:rFonts w:hint="eastAsia" w:cs="Times New Roman"/>
        </w:rPr>
        <w:t>=100%；</w:t>
      </w:r>
    </w:p>
    <w:p>
      <w:pPr>
        <w:pStyle w:val="12"/>
        <w:ind w:firstLine="560"/>
        <w:rPr>
          <w:rFonts w:cs="Times New Roman"/>
        </w:rPr>
      </w:pPr>
      <w:r>
        <w:rPr>
          <w:rFonts w:hint="eastAsia" w:cs="Times New Roman"/>
        </w:rPr>
        <w:t>③省产业集聚区年度考核评价指标的检测、统计分析牵头工作完成率=12项/12项</w:t>
      </w:r>
      <w:r>
        <w:rPr>
          <w:rFonts w:cs="Times New Roman"/>
        </w:rPr>
        <w:t>×100%</w:t>
      </w:r>
      <w:r>
        <w:rPr>
          <w:rFonts w:hint="eastAsia" w:cs="Times New Roman"/>
        </w:rPr>
        <w:t>=100%；</w:t>
      </w:r>
    </w:p>
    <w:p>
      <w:pPr>
        <w:pStyle w:val="12"/>
        <w:ind w:firstLine="560"/>
        <w:rPr>
          <w:rFonts w:cs="Times New Roman"/>
          <w:highlight w:val="yellow"/>
        </w:rPr>
      </w:pPr>
      <w:r>
        <w:rPr>
          <w:rFonts w:hint="eastAsia" w:cs="Times New Roman"/>
        </w:rPr>
        <w:t>④国家级和省级开发区综合评价完成率=50项/50项</w:t>
      </w:r>
      <w:r>
        <w:rPr>
          <w:rFonts w:cs="Times New Roman"/>
        </w:rPr>
        <w:t>×100%</w:t>
      </w:r>
      <w:r>
        <w:rPr>
          <w:rFonts w:hint="eastAsia" w:cs="Times New Roman"/>
        </w:rPr>
        <w:t>=100%；</w:t>
      </w:r>
    </w:p>
    <w:p>
      <w:pPr>
        <w:pStyle w:val="12"/>
        <w:ind w:firstLine="560"/>
        <w:rPr>
          <w:rFonts w:cs="Times New Roman"/>
          <w:highlight w:val="yellow"/>
        </w:rPr>
      </w:pPr>
      <w:r>
        <w:rPr>
          <w:rFonts w:hint="eastAsia" w:cs="Times New Roman"/>
        </w:rPr>
        <w:t>⑤统计名录库建设、“四上”企业入库工作完成率=20家/20家</w:t>
      </w:r>
      <w:r>
        <w:rPr>
          <w:rFonts w:cs="Times New Roman"/>
        </w:rPr>
        <w:t>×100%</w:t>
      </w:r>
      <w:r>
        <w:rPr>
          <w:rFonts w:hint="eastAsia" w:cs="Times New Roman"/>
        </w:rPr>
        <w:t>=100%；</w:t>
      </w:r>
    </w:p>
    <w:p>
      <w:pPr>
        <w:pStyle w:val="12"/>
        <w:ind w:firstLine="560"/>
        <w:rPr>
          <w:rFonts w:cs="Times New Roman"/>
        </w:rPr>
      </w:pPr>
      <w:r>
        <w:rPr>
          <w:rFonts w:hint="eastAsia" w:cs="Times New Roman"/>
        </w:rPr>
        <w:t>⑥第七次人口普查工作完成率=498人/498人</w:t>
      </w:r>
      <w:r>
        <w:rPr>
          <w:rFonts w:cs="Times New Roman"/>
        </w:rPr>
        <w:t>×100%</w:t>
      </w:r>
      <w:r>
        <w:rPr>
          <w:rFonts w:hint="eastAsia" w:cs="Times New Roman"/>
        </w:rPr>
        <w:t>=100%；</w:t>
      </w:r>
    </w:p>
    <w:p>
      <w:pPr>
        <w:pStyle w:val="12"/>
        <w:ind w:firstLine="560"/>
        <w:rPr>
          <w:rFonts w:cs="Times New Roman"/>
          <w:highlight w:val="yellow"/>
        </w:rPr>
      </w:pPr>
      <w:r>
        <w:rPr>
          <w:rFonts w:hint="eastAsia" w:cs="Times New Roman"/>
        </w:rPr>
        <w:t>⑦培训管理工作完成率=3次/2次</w:t>
      </w:r>
      <w:r>
        <w:rPr>
          <w:rFonts w:cs="Times New Roman"/>
        </w:rPr>
        <w:t>×100%</w:t>
      </w:r>
      <w:r>
        <w:rPr>
          <w:rFonts w:hint="eastAsia" w:cs="Times New Roman"/>
        </w:rPr>
        <w:t>=150%；</w:t>
      </w:r>
    </w:p>
    <w:p>
      <w:pPr>
        <w:pStyle w:val="12"/>
        <w:ind w:firstLine="560"/>
        <w:rPr>
          <w:rFonts w:hint="eastAsia" w:cs="Times New Roman"/>
          <w:highlight w:val="yellow"/>
        </w:rPr>
      </w:pPr>
      <w:r>
        <w:rPr>
          <w:rFonts w:hint="eastAsia" w:cs="Times New Roman"/>
        </w:rPr>
        <w:t>⑧“四城同建”等工作目标完成完成率=96个/96个</w:t>
      </w:r>
      <w:r>
        <w:rPr>
          <w:rFonts w:cs="Times New Roman"/>
        </w:rPr>
        <w:t>×100%</w:t>
      </w:r>
      <w:r>
        <w:rPr>
          <w:rFonts w:hint="eastAsia" w:cs="Times New Roman"/>
        </w:rPr>
        <w:t>=100%；</w:t>
      </w:r>
    </w:p>
    <w:p>
      <w:pPr>
        <w:pStyle w:val="12"/>
        <w:ind w:left="0" w:leftChars="0" w:firstLine="560" w:firstLineChars="0"/>
        <w:rPr>
          <w:rFonts w:cs="Times New Roman"/>
        </w:rPr>
      </w:pPr>
      <w:r>
        <w:rPr>
          <w:rFonts w:hint="eastAsia" w:cs="Times New Roman"/>
        </w:rPr>
        <w:t>⑨上级、党工委、管委会等交办的其他重点工作完成完成率=5个/5个</w:t>
      </w:r>
      <w:r>
        <w:rPr>
          <w:rFonts w:cs="Times New Roman"/>
        </w:rPr>
        <w:t>×100%</w:t>
      </w:r>
      <w:r>
        <w:rPr>
          <w:rFonts w:hint="eastAsia" w:cs="Times New Roman"/>
        </w:rPr>
        <w:t>=100%；</w:t>
      </w:r>
    </w:p>
    <w:p>
      <w:pPr>
        <w:pStyle w:val="12"/>
        <w:ind w:left="640" w:leftChars="200" w:firstLine="0" w:firstLineChars="0"/>
        <w:rPr>
          <w:rFonts w:cs="Times New Roman"/>
        </w:rPr>
      </w:pPr>
      <w:r>
        <w:rPr>
          <w:rFonts w:hint="eastAsia" w:cs="Times New Roman"/>
        </w:rPr>
        <w:t>综上所述，</w:t>
      </w:r>
      <w:r>
        <w:rPr>
          <w:rFonts w:cs="Times New Roman"/>
        </w:rPr>
        <w:t>实际得分</w:t>
      </w:r>
      <w:r>
        <w:rPr>
          <w:rFonts w:hint="eastAsia" w:cs="Times New Roman"/>
        </w:rPr>
        <w:t>=100%</w:t>
      </w:r>
      <w:r>
        <w:rPr>
          <w:rFonts w:cs="Times New Roman"/>
        </w:rPr>
        <w:t>×</w:t>
      </w:r>
      <w:r>
        <w:rPr>
          <w:rFonts w:hint="eastAsia" w:cs="Times New Roman"/>
        </w:rPr>
        <w:t>7.5=7.5，得7.5分。</w:t>
      </w:r>
    </w:p>
    <w:p>
      <w:pPr>
        <w:pStyle w:val="5"/>
        <w:ind w:firstLine="562"/>
        <w:rPr>
          <w:rFonts w:cs="Times New Roman"/>
        </w:rPr>
      </w:pPr>
      <w:bookmarkStart w:id="101" w:name="_Toc26340"/>
      <w:bookmarkStart w:id="102" w:name="_Toc20520"/>
      <w:r>
        <w:rPr>
          <w:rFonts w:cs="Times New Roman"/>
        </w:rPr>
        <w:t>2.产出时效（权重7.5，得分7.5）</w:t>
      </w:r>
      <w:bookmarkEnd w:id="100"/>
      <w:bookmarkEnd w:id="101"/>
      <w:bookmarkEnd w:id="102"/>
    </w:p>
    <w:p>
      <w:pPr>
        <w:pStyle w:val="12"/>
        <w:ind w:firstLine="560"/>
        <w:rPr>
          <w:rFonts w:eastAsia="楷体_GB2312" w:cs="Times New Roman"/>
        </w:rPr>
      </w:pPr>
      <w:r>
        <w:rPr>
          <w:rFonts w:cs="Times New Roman"/>
        </w:rPr>
        <w:t>（1）完成及时率（权重7.5，得分7.5）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②全区经济运行目标检测、分析工作完成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③省产业集聚区年度考核评价指标的检测、统计分析牵头工作完成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④国家级和省级开发区综合评价完成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⑤统计名录库建设、“四上”企业入库工作完成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⑥第七次人口普查工作完成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⑦培训管理工作完成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⑧“四城同建”等工作目标完成完成</w:t>
      </w:r>
      <w:r>
        <w:rPr>
          <w:rFonts w:hint="eastAsia" w:cs="Times New Roman"/>
          <w:lang w:eastAsia="zh-CN"/>
        </w:rPr>
        <w:t>及时</w:t>
      </w:r>
      <w:r>
        <w:rPr>
          <w:rFonts w:hint="eastAsia" w:cs="Times New Roman"/>
        </w:rPr>
        <w:t>率；</w:t>
      </w:r>
    </w:p>
    <w:p>
      <w:pPr>
        <w:pStyle w:val="12"/>
        <w:ind w:firstLine="560"/>
        <w:rPr>
          <w:rFonts w:cs="Times New Roman"/>
        </w:rPr>
      </w:pPr>
      <w:r>
        <w:rPr>
          <w:rFonts w:hint="eastAsia" w:cs="Times New Roman"/>
        </w:rPr>
        <w:t>⑨上级、党工委、管委会等交办的其他重点工作完成完成</w:t>
      </w:r>
      <w:r>
        <w:rPr>
          <w:rFonts w:hint="eastAsia" w:cs="Times New Roman"/>
          <w:lang w:eastAsia="zh-CN"/>
        </w:rPr>
        <w:t>及时</w:t>
      </w:r>
      <w:r>
        <w:rPr>
          <w:rFonts w:hint="eastAsia" w:cs="Times New Roman"/>
        </w:rPr>
        <w:t>率；</w:t>
      </w:r>
    </w:p>
    <w:p>
      <w:pPr>
        <w:pStyle w:val="12"/>
        <w:ind w:firstLine="560"/>
        <w:rPr>
          <w:rFonts w:hint="eastAsia" w:cs="Times New Roman"/>
        </w:rPr>
      </w:pPr>
      <w:r>
        <w:rPr>
          <w:rFonts w:hint="eastAsia" w:cs="Times New Roman"/>
        </w:rPr>
        <w:t xml:space="preserve">定量：完成及时率=[（计划完成时间-实际完成时间）/计划完成时间]×100%。 </w:t>
      </w:r>
    </w:p>
    <w:p>
      <w:pPr>
        <w:pStyle w:val="12"/>
        <w:ind w:firstLine="560"/>
        <w:rPr>
          <w:rFonts w:hint="eastAsia" w:cs="Times New Roman"/>
        </w:rPr>
      </w:pPr>
      <w:r>
        <w:rPr>
          <w:rFonts w:hint="eastAsia" w:cs="Times New Roman"/>
        </w:rPr>
        <w:t>①实际完成时间：项目实施单位完成该项目实际所耗用的时间。</w:t>
      </w:r>
    </w:p>
    <w:p>
      <w:pPr>
        <w:pStyle w:val="12"/>
        <w:ind w:firstLine="560"/>
        <w:rPr>
          <w:rFonts w:hint="eastAsia" w:cs="Times New Roman"/>
        </w:rPr>
      </w:pPr>
      <w:r>
        <w:rPr>
          <w:rFonts w:hint="eastAsia" w:cs="Times New Roman"/>
        </w:rPr>
        <w:t>②计划完成时间：按照项目实施计划或相关规定完成该项目所需的时间。</w:t>
      </w:r>
    </w:p>
    <w:p>
      <w:pPr>
        <w:pStyle w:val="12"/>
        <w:ind w:firstLine="560"/>
        <w:rPr>
          <w:rFonts w:hint="eastAsia" w:cs="Times New Roman"/>
        </w:rPr>
      </w:pPr>
      <w:r>
        <w:rPr>
          <w:rFonts w:hint="eastAsia" w:cs="Times New Roman"/>
        </w:rPr>
        <w:t>完成及时率（最低）≥0，得7.5分；</w:t>
      </w:r>
    </w:p>
    <w:p>
      <w:pPr>
        <w:pStyle w:val="12"/>
        <w:ind w:firstLine="560"/>
        <w:rPr>
          <w:rFonts w:hint="eastAsia" w:cs="Times New Roman"/>
        </w:rPr>
      </w:pPr>
      <w:r>
        <w:rPr>
          <w:rFonts w:hint="eastAsia" w:cs="Times New Roman"/>
        </w:rPr>
        <w:t>如该项分解四级指标，则每出现一个完成及时率&lt;0，减2分，直至扣完。</w:t>
      </w:r>
    </w:p>
    <w:p>
      <w:pPr>
        <w:pStyle w:val="12"/>
        <w:ind w:firstLine="560"/>
        <w:rPr>
          <w:rFonts w:cs="Times New Roman"/>
        </w:rPr>
      </w:pPr>
      <w:r>
        <w:rPr>
          <w:rFonts w:hint="eastAsia" w:cs="Times New Roman"/>
        </w:rPr>
        <w:t>定性：对于临时性或单项工作，可采取定性分析。</w:t>
      </w:r>
    </w:p>
    <w:p>
      <w:pPr>
        <w:pStyle w:val="12"/>
        <w:ind w:firstLine="562"/>
        <w:rPr>
          <w:rFonts w:cs="Times New Roman"/>
          <w:b/>
        </w:rPr>
      </w:pPr>
      <w:r>
        <w:rPr>
          <w:rFonts w:cs="Times New Roman"/>
          <w:b/>
        </w:rPr>
        <w:t>得分：</w:t>
      </w:r>
    </w:p>
    <w:p>
      <w:pPr>
        <w:pStyle w:val="12"/>
        <w:ind w:firstLine="560"/>
        <w:rPr>
          <w:rFonts w:hint="eastAsia" w:ascii="宋体" w:hAnsi="宋体" w:eastAsia="仿宋" w:cs="宋体"/>
          <w:lang w:val="en-US" w:eastAsia="zh-CN"/>
        </w:rPr>
      </w:pPr>
      <w:r>
        <w:rPr>
          <w:rFonts w:hint="eastAsia" w:ascii="仿宋" w:hAnsi="仿宋" w:eastAsia="仿宋" w:cs="仿宋"/>
          <w:lang w:eastAsia="zh-CN"/>
        </w:rPr>
        <w:t>根据统计各专项工作的工作性质，本次</w:t>
      </w:r>
      <w:r>
        <w:rPr>
          <w:rFonts w:hint="eastAsia" w:ascii="仿宋" w:hAnsi="仿宋" w:eastAsia="仿宋" w:cs="仿宋"/>
        </w:rPr>
        <w:t>①</w:t>
      </w:r>
      <w:r>
        <w:rPr>
          <w:rFonts w:hint="eastAsia" w:ascii="仿宋" w:hAnsi="仿宋" w:eastAsia="仿宋" w:cs="仿宋"/>
          <w:lang w:val="en-US" w:eastAsia="zh-CN"/>
        </w:rPr>
        <w:t>-</w:t>
      </w:r>
      <w:r>
        <w:rPr>
          <w:rFonts w:hint="eastAsia" w:ascii="仿宋" w:hAnsi="仿宋" w:eastAsia="仿宋" w:cs="仿宋"/>
        </w:rPr>
        <w:t>⑨</w:t>
      </w:r>
      <w:r>
        <w:rPr>
          <w:rFonts w:hint="eastAsia" w:ascii="仿宋" w:hAnsi="仿宋" w:eastAsia="仿宋" w:cs="仿宋"/>
          <w:lang w:eastAsia="zh-CN"/>
        </w:rPr>
        <w:t>项工</w:t>
      </w:r>
      <w:r>
        <w:rPr>
          <w:rFonts w:hint="eastAsia" w:cs="Times New Roman"/>
          <w:lang w:eastAsia="zh-CN"/>
        </w:rPr>
        <w:t>作的</w:t>
      </w:r>
      <w:r>
        <w:rPr>
          <w:rFonts w:cs="Times New Roman"/>
        </w:rPr>
        <w:t>完成及时率</w:t>
      </w:r>
      <w:r>
        <w:rPr>
          <w:rFonts w:hint="eastAsia" w:cs="Times New Roman"/>
          <w:lang w:eastAsia="zh-CN"/>
        </w:rPr>
        <w:t>采用定性分析。</w:t>
      </w:r>
    </w:p>
    <w:p>
      <w:pPr>
        <w:pStyle w:val="12"/>
        <w:ind w:firstLine="560"/>
        <w:rPr>
          <w:rFonts w:cs="Times New Roman"/>
        </w:rPr>
      </w:pPr>
      <w:r>
        <w:rPr>
          <w:rFonts w:hint="eastAsia" w:ascii="宋体" w:hAnsi="宋体" w:eastAsia="宋体" w:cs="宋体"/>
        </w:rPr>
        <w:t>①</w:t>
      </w:r>
      <w:r>
        <w:rPr>
          <w:rFonts w:hint="eastAsia" w:ascii="仿宋" w:hAnsi="仿宋" w:eastAsia="仿宋" w:cs="仿宋"/>
          <w:lang w:val="en-US" w:eastAsia="zh-CN"/>
        </w:rPr>
        <w:t>2021年度</w:t>
      </w:r>
      <w:r>
        <w:rPr>
          <w:rFonts w:hint="eastAsia" w:ascii="仿宋" w:hAnsi="仿宋" w:cs="仿宋"/>
          <w:lang w:val="en-US" w:eastAsia="zh-CN"/>
        </w:rPr>
        <w:t>提供了2条招商信息，成功</w:t>
      </w:r>
      <w:r>
        <w:rPr>
          <w:rFonts w:hint="eastAsia" w:ascii="仿宋" w:hAnsi="仿宋" w:eastAsia="仿宋" w:cs="仿宋"/>
        </w:rPr>
        <w:t>引进了新疆丝路国信信息科技有限公司</w:t>
      </w:r>
      <w:r>
        <w:rPr>
          <w:rFonts w:hint="eastAsia" w:ascii="仿宋" w:hAnsi="仿宋" w:cs="仿宋"/>
          <w:lang w:eastAsia="zh-CN"/>
        </w:rPr>
        <w:t>和</w:t>
      </w:r>
      <w:r>
        <w:rPr>
          <w:rFonts w:hint="eastAsia" w:ascii="仿宋" w:hAnsi="仿宋" w:eastAsia="仿宋" w:cs="仿宋"/>
        </w:rPr>
        <w:t>漯河乐佳食品科技有限公司年产3000吨香精香料3期生产项</w:t>
      </w:r>
      <w:r>
        <w:rPr>
          <w:rFonts w:hint="eastAsia" w:ascii="仿宋" w:hAnsi="仿宋" w:cs="仿宋"/>
          <w:lang w:eastAsia="zh-CN"/>
        </w:rPr>
        <w:t>目</w:t>
      </w:r>
      <w:r>
        <w:rPr>
          <w:rFonts w:hint="eastAsia" w:cs="Times New Roman"/>
        </w:rPr>
        <w:t>；</w:t>
      </w:r>
    </w:p>
    <w:p>
      <w:pPr>
        <w:pStyle w:val="12"/>
        <w:ind w:firstLine="560"/>
        <w:rPr>
          <w:rFonts w:cs="Times New Roman"/>
        </w:rPr>
      </w:pPr>
      <w:r>
        <w:rPr>
          <w:rFonts w:hint="eastAsia" w:cs="Times New Roman"/>
        </w:rPr>
        <w:t>②</w:t>
      </w:r>
      <w:r>
        <w:rPr>
          <w:rFonts w:hint="eastAsia" w:cs="Times New Roman"/>
          <w:lang w:val="en-US" w:eastAsia="zh-CN"/>
        </w:rPr>
        <w:t>2021年度统计中心</w:t>
      </w:r>
      <w:r>
        <w:rPr>
          <w:rFonts w:hint="eastAsia" w:cs="Times New Roman"/>
        </w:rPr>
        <w:t>做到区主要经济指标“旬保月，月报季，季保年”，每月中旬对区主要经济指标进行分析研判，月底根据市里有关精神，召开专题经济运行工作调度会，对上一个月经济运行进行总结，对下一个月经济运行进行调度，对基层单位分专业、分项目、分行业进行指导</w:t>
      </w:r>
      <w:r>
        <w:rPr>
          <w:rFonts w:hint="eastAsia" w:cs="Times New Roman"/>
          <w:lang w:eastAsia="zh-CN"/>
        </w:rPr>
        <w:t>，</w:t>
      </w:r>
      <w:r>
        <w:rPr>
          <w:rFonts w:hint="eastAsia" w:cs="Times New Roman"/>
        </w:rPr>
        <w:t>全区经济运行目标检测、分析工作</w:t>
      </w:r>
      <w:r>
        <w:rPr>
          <w:rFonts w:hint="eastAsia" w:cs="Times New Roman"/>
          <w:lang w:eastAsia="zh-CN"/>
        </w:rPr>
        <w:t>在规定时间内</w:t>
      </w:r>
      <w:r>
        <w:rPr>
          <w:rFonts w:hint="eastAsia" w:cs="Times New Roman"/>
        </w:rPr>
        <w:t>完成；</w:t>
      </w:r>
    </w:p>
    <w:p>
      <w:pPr>
        <w:pStyle w:val="12"/>
        <w:ind w:firstLine="560"/>
        <w:rPr>
          <w:rFonts w:cs="Times New Roman"/>
        </w:rPr>
      </w:pPr>
      <w:r>
        <w:rPr>
          <w:rFonts w:hint="eastAsia" w:cs="Times New Roman"/>
        </w:rPr>
        <w:t>③牵头做好省产业集聚区年度考核评价指标的监测、统计分析</w:t>
      </w:r>
      <w:r>
        <w:rPr>
          <w:rFonts w:hint="eastAsia" w:cs="Times New Roman"/>
          <w:lang w:eastAsia="zh-CN"/>
        </w:rPr>
        <w:t>。定期对各项目标进行数据汇总，每月22日之前上报上月数据，并对下个月目标任务提出分解建议；统计中心圆满完成</w:t>
      </w:r>
      <w:r>
        <w:rPr>
          <w:rFonts w:hint="eastAsia" w:cs="Times New Roman"/>
        </w:rPr>
        <w:t>省产业集聚区年度考核评价指标的检测、统计分析牵头工作；</w:t>
      </w:r>
    </w:p>
    <w:p>
      <w:pPr>
        <w:pStyle w:val="12"/>
        <w:ind w:firstLine="560"/>
        <w:rPr>
          <w:rFonts w:cs="Times New Roman"/>
        </w:rPr>
      </w:pPr>
      <w:r>
        <w:rPr>
          <w:rFonts w:hint="eastAsia" w:cs="Times New Roman"/>
        </w:rPr>
        <w:t>④</w:t>
      </w:r>
      <w:r>
        <w:rPr>
          <w:rFonts w:hint="eastAsia" w:cs="Times New Roman"/>
          <w:lang w:eastAsia="zh-CN"/>
        </w:rPr>
        <w:t>统计中心加强对全国、全省开发区的数据分析研究，提出具体整改措施；根据与专家沟通交流意，对2021年的年度数据进行预测，重点做好与税务系统的沟通与衔接，做到实时监测，为2021年的考评工作奠定扎实基础。开发区在</w:t>
      </w:r>
      <w:r>
        <w:rPr>
          <w:rFonts w:hint="eastAsia" w:cs="Times New Roman"/>
        </w:rPr>
        <w:t>省产业集聚区年度考核评价</w:t>
      </w:r>
      <w:r>
        <w:rPr>
          <w:rFonts w:hint="eastAsia" w:cs="Times New Roman"/>
          <w:lang w:eastAsia="zh-CN"/>
        </w:rPr>
        <w:t>中继续保持了全省第二名的好成绩。圆满完成</w:t>
      </w:r>
      <w:r>
        <w:rPr>
          <w:rFonts w:hint="eastAsia" w:cs="Times New Roman"/>
        </w:rPr>
        <w:t>国家级和省级开发区综合评价</w:t>
      </w:r>
      <w:r>
        <w:rPr>
          <w:rFonts w:hint="eastAsia" w:cs="Times New Roman"/>
          <w:lang w:eastAsia="zh-CN"/>
        </w:rPr>
        <w:t>工作</w:t>
      </w:r>
      <w:r>
        <w:rPr>
          <w:rFonts w:hint="eastAsia" w:cs="Times New Roman"/>
        </w:rPr>
        <w:t>；</w:t>
      </w:r>
    </w:p>
    <w:p>
      <w:pPr>
        <w:pStyle w:val="12"/>
        <w:ind w:firstLine="560"/>
        <w:rPr>
          <w:rFonts w:cs="Times New Roman"/>
        </w:rPr>
      </w:pPr>
      <w:r>
        <w:rPr>
          <w:rFonts w:hint="eastAsia" w:cs="Times New Roman"/>
        </w:rPr>
        <w:t>⑤加快招商引资，引进新企业，对于已经入驻的项目，加快项目进程，尽早尽快建成投产；组织人员经常下企业排查，及时发现并挖潜出一部分新项目新企业。“四上“企业入库年报一批共审批通过20家，其中工业13家；年报二批上报36份申报资料，其中工业上报28 份申报资料</w:t>
      </w:r>
      <w:r>
        <w:rPr>
          <w:rFonts w:hint="eastAsia" w:cs="Times New Roman"/>
          <w:lang w:eastAsia="zh-CN"/>
        </w:rPr>
        <w:t>，圆满完成</w:t>
      </w:r>
      <w:r>
        <w:rPr>
          <w:rFonts w:hint="eastAsia" w:cs="Times New Roman"/>
        </w:rPr>
        <w:t>统计名录库建设、“四上”企业入库工作；</w:t>
      </w:r>
    </w:p>
    <w:p>
      <w:pPr>
        <w:pStyle w:val="12"/>
        <w:ind w:firstLine="560"/>
        <w:rPr>
          <w:rFonts w:cs="Times New Roman"/>
        </w:rPr>
      </w:pPr>
      <w:r>
        <w:rPr>
          <w:rFonts w:hint="eastAsia" w:cs="Times New Roman"/>
        </w:rPr>
        <w:t>⑥</w:t>
      </w:r>
      <w:r>
        <w:rPr>
          <w:rFonts w:hint="eastAsia" w:cs="Times New Roman"/>
          <w:lang w:eastAsia="zh-CN"/>
        </w:rPr>
        <w:t>统计中心于</w:t>
      </w:r>
      <w:r>
        <w:rPr>
          <w:rFonts w:hint="eastAsia" w:cs="Times New Roman"/>
          <w:lang w:val="en-US" w:eastAsia="zh-CN"/>
        </w:rPr>
        <w:t>2021年5月份完成了</w:t>
      </w:r>
      <w:r>
        <w:rPr>
          <w:rFonts w:hint="eastAsia" w:cs="Times New Roman"/>
        </w:rPr>
        <w:t>第七次全国人口普查两员报酬发放</w:t>
      </w:r>
      <w:r>
        <w:rPr>
          <w:rFonts w:hint="eastAsia" w:cs="Times New Roman"/>
          <w:lang w:eastAsia="zh-CN"/>
        </w:rPr>
        <w:t>工作，为做好第七次人口普查数据汇总工作，区统计中心抽调了两名专职人员，进行数据汇总工作</w:t>
      </w:r>
      <w:r>
        <w:rPr>
          <w:rFonts w:hint="eastAsia" w:cs="Times New Roman"/>
        </w:rPr>
        <w:t>；</w:t>
      </w:r>
    </w:p>
    <w:p>
      <w:pPr>
        <w:pStyle w:val="12"/>
        <w:ind w:firstLine="560"/>
        <w:rPr>
          <w:rFonts w:cs="Times New Roman"/>
        </w:rPr>
      </w:pPr>
      <w:r>
        <w:rPr>
          <w:rFonts w:hint="eastAsia" w:cs="Times New Roman"/>
        </w:rPr>
        <w:t>⑦建立统计常态化人员培训制度，同时组织了3次全区范围内的大培训和数次小型培训，对普查员进行了系统培训，保证了普查员在录入的时候明确指标解释，少走弯路，保证后期普查数</w:t>
      </w:r>
      <w:r>
        <w:rPr>
          <w:rFonts w:hint="eastAsia" w:cs="Times New Roman"/>
          <w:lang w:eastAsia="zh-CN"/>
        </w:rPr>
        <w:t>据质量；</w:t>
      </w:r>
    </w:p>
    <w:p>
      <w:pPr>
        <w:pStyle w:val="12"/>
        <w:ind w:firstLine="560"/>
        <w:rPr>
          <w:rFonts w:hint="eastAsia" w:eastAsia="仿宋" w:cs="Times New Roman"/>
          <w:lang w:eastAsia="zh-CN"/>
        </w:rPr>
      </w:pPr>
      <w:r>
        <w:rPr>
          <w:rFonts w:hint="eastAsia" w:cs="Times New Roman"/>
        </w:rPr>
        <w:t>⑧</w:t>
      </w:r>
      <w:r>
        <w:rPr>
          <w:rFonts w:hint="eastAsia" w:cs="Times New Roman"/>
          <w:lang w:eastAsia="zh-CN"/>
        </w:rPr>
        <w:t>统计中心</w:t>
      </w:r>
      <w:r>
        <w:rPr>
          <w:rFonts w:hint="eastAsia" w:cs="Times New Roman"/>
        </w:rPr>
        <w:t>创新工作方式方法，改变以往“谁的项目谁入库”的原则，实施全区项目“谁先报属于谁的项目"这一新规则，引入竞争机制，确保项目尽早尽快入库</w:t>
      </w:r>
      <w:r>
        <w:rPr>
          <w:rFonts w:hint="eastAsia" w:cs="Times New Roman"/>
          <w:lang w:eastAsia="zh-CN"/>
        </w:rPr>
        <w:t>。</w:t>
      </w:r>
      <w:r>
        <w:rPr>
          <w:rFonts w:hint="eastAsia" w:cs="Times New Roman"/>
        </w:rPr>
        <w:t>2021年完成固定资产投资增速13.1%。截至目前新入库投资项目96个，其中亿元以上工业投资项目73个。推动</w:t>
      </w:r>
      <w:r>
        <w:rPr>
          <w:rFonts w:hint="eastAsia" w:cs="Times New Roman"/>
          <w:lang w:eastAsia="zh-CN"/>
        </w:rPr>
        <w:t>开发区</w:t>
      </w:r>
      <w:r>
        <w:rPr>
          <w:rFonts w:hint="eastAsia" w:cs="Times New Roman"/>
        </w:rPr>
        <w:t>在全市“四比四看”活动及重点项目建设评比中持续保持前列位次</w:t>
      </w:r>
      <w:r>
        <w:rPr>
          <w:rFonts w:hint="eastAsia" w:cs="Times New Roman"/>
          <w:lang w:eastAsia="zh-CN"/>
        </w:rPr>
        <w:t>；</w:t>
      </w:r>
    </w:p>
    <w:p>
      <w:pPr>
        <w:pStyle w:val="12"/>
        <w:ind w:firstLine="560"/>
        <w:rPr>
          <w:rFonts w:hint="eastAsia" w:cs="Times New Roman"/>
        </w:rPr>
      </w:pPr>
      <w:r>
        <w:rPr>
          <w:rFonts w:hint="eastAsia" w:cs="Times New Roman"/>
        </w:rPr>
        <w:t>⑨积极参加区党工委、管委会组织的周五常态化城市清洁行动、共建住宅小区清洁行动、文明交通志愿者服务活动和“三夏”禁烧工作</w:t>
      </w:r>
      <w:r>
        <w:rPr>
          <w:rFonts w:hint="eastAsia" w:cs="Times New Roman"/>
          <w:lang w:eastAsia="zh-CN"/>
        </w:rPr>
        <w:t>，圆满完成</w:t>
      </w:r>
      <w:r>
        <w:rPr>
          <w:rFonts w:hint="eastAsia" w:cs="Times New Roman"/>
        </w:rPr>
        <w:t>上级、党工委、管委会等交办的其他重点工作；</w:t>
      </w:r>
    </w:p>
    <w:p>
      <w:pPr>
        <w:pStyle w:val="12"/>
        <w:ind w:firstLine="560"/>
        <w:rPr>
          <w:rFonts w:cs="Times New Roman"/>
        </w:rPr>
      </w:pPr>
      <w:r>
        <w:rPr>
          <w:rFonts w:hint="eastAsia" w:cs="Times New Roman"/>
          <w:lang w:eastAsia="zh-CN"/>
        </w:rPr>
        <w:t>综上所述</w:t>
      </w:r>
      <w:r>
        <w:rPr>
          <w:rFonts w:hint="eastAsia" w:cs="Times New Roman"/>
        </w:rPr>
        <w:t>，漯河经济技术开发区统计中心各项工作均在计划完成时间内完成</w:t>
      </w:r>
      <w:r>
        <w:rPr>
          <w:rFonts w:cs="Times New Roman"/>
        </w:rPr>
        <w:t>，</w:t>
      </w:r>
      <w:r>
        <w:rPr>
          <w:rFonts w:hint="eastAsia" w:cs="Times New Roman"/>
          <w:lang w:eastAsia="zh-CN"/>
        </w:rPr>
        <w:t>并取得很好的成绩。</w:t>
      </w:r>
      <w:r>
        <w:rPr>
          <w:rFonts w:cs="Times New Roman"/>
        </w:rPr>
        <w:t>得7.5分。</w:t>
      </w:r>
    </w:p>
    <w:p>
      <w:pPr>
        <w:pStyle w:val="5"/>
        <w:ind w:firstLine="562"/>
        <w:rPr>
          <w:rFonts w:cs="Times New Roman"/>
        </w:rPr>
      </w:pPr>
      <w:bookmarkStart w:id="103" w:name="_Toc1052"/>
      <w:bookmarkStart w:id="104" w:name="_Toc25046"/>
      <w:bookmarkStart w:id="105" w:name="_Toc67315599"/>
      <w:r>
        <w:rPr>
          <w:rFonts w:cs="Times New Roman"/>
        </w:rPr>
        <w:t>3.产出质量（权重7.5，得分7.5）</w:t>
      </w:r>
      <w:bookmarkEnd w:id="103"/>
      <w:bookmarkEnd w:id="104"/>
      <w:bookmarkEnd w:id="105"/>
    </w:p>
    <w:p>
      <w:pPr>
        <w:pStyle w:val="12"/>
        <w:ind w:firstLine="560"/>
        <w:rPr>
          <w:rFonts w:eastAsia="楷体_GB2312" w:cs="Times New Roman"/>
        </w:rPr>
      </w:pPr>
      <w:r>
        <w:rPr>
          <w:rFonts w:cs="Times New Roman"/>
        </w:rPr>
        <w:t>（1）质量达标率（权重7.5，得分7.5）</w:t>
      </w:r>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招商信息</w:t>
      </w:r>
      <w:r>
        <w:rPr>
          <w:rFonts w:hint="eastAsia" w:cs="Times New Roman"/>
          <w:lang w:val="en-US" w:eastAsia="zh-CN"/>
        </w:rPr>
        <w:t>质量达标率</w:t>
      </w:r>
      <w:r>
        <w:rPr>
          <w:rFonts w:hint="eastAsia" w:cs="Times New Roman"/>
        </w:rPr>
        <w:t>；</w:t>
      </w:r>
    </w:p>
    <w:p>
      <w:pPr>
        <w:pStyle w:val="12"/>
        <w:ind w:firstLine="560"/>
        <w:rPr>
          <w:rFonts w:cs="Times New Roman"/>
        </w:rPr>
      </w:pPr>
      <w:r>
        <w:rPr>
          <w:rFonts w:hint="eastAsia" w:cs="Times New Roman"/>
        </w:rPr>
        <w:t>②全区经济运行目标检测、分析</w:t>
      </w:r>
      <w:r>
        <w:rPr>
          <w:rFonts w:hint="eastAsia" w:cs="Times New Roman"/>
          <w:lang w:eastAsia="zh-CN"/>
        </w:rPr>
        <w:t>质量达标率</w:t>
      </w:r>
      <w:r>
        <w:rPr>
          <w:rFonts w:hint="eastAsia" w:cs="Times New Roman"/>
        </w:rPr>
        <w:t>；</w:t>
      </w:r>
    </w:p>
    <w:p>
      <w:pPr>
        <w:pStyle w:val="12"/>
        <w:ind w:firstLine="560"/>
        <w:rPr>
          <w:rFonts w:cs="Times New Roman"/>
        </w:rPr>
      </w:pPr>
      <w:r>
        <w:rPr>
          <w:rFonts w:hint="eastAsia" w:cs="Times New Roman"/>
        </w:rPr>
        <w:t>③省产业集聚区年度考核评价指标的检测、统计分析牵头</w:t>
      </w:r>
      <w:r>
        <w:rPr>
          <w:rFonts w:hint="eastAsia" w:cs="Times New Roman"/>
          <w:lang w:eastAsia="zh-CN"/>
        </w:rPr>
        <w:t>质量达标率</w:t>
      </w:r>
      <w:r>
        <w:rPr>
          <w:rFonts w:hint="eastAsia" w:cs="Times New Roman"/>
        </w:rPr>
        <w:t>；</w:t>
      </w:r>
    </w:p>
    <w:p>
      <w:pPr>
        <w:pStyle w:val="12"/>
        <w:ind w:firstLine="560"/>
        <w:rPr>
          <w:rFonts w:cs="Times New Roman"/>
        </w:rPr>
      </w:pPr>
      <w:r>
        <w:rPr>
          <w:rFonts w:hint="eastAsia" w:cs="Times New Roman"/>
        </w:rPr>
        <w:t>④国家级和省级开发区综合评价</w:t>
      </w:r>
      <w:r>
        <w:rPr>
          <w:rFonts w:hint="eastAsia" w:cs="Times New Roman"/>
          <w:lang w:val="en-US" w:eastAsia="zh-CN"/>
        </w:rPr>
        <w:t>工作质量达标</w:t>
      </w:r>
      <w:r>
        <w:rPr>
          <w:rFonts w:hint="eastAsia" w:cs="Times New Roman"/>
        </w:rPr>
        <w:t>率；</w:t>
      </w:r>
    </w:p>
    <w:p>
      <w:pPr>
        <w:pStyle w:val="12"/>
        <w:ind w:firstLine="560"/>
        <w:rPr>
          <w:rFonts w:cs="Times New Roman"/>
        </w:rPr>
      </w:pPr>
      <w:r>
        <w:rPr>
          <w:rFonts w:hint="eastAsia" w:cs="Times New Roman"/>
        </w:rPr>
        <w:t>⑤统计名录库建设、“四上”企业入库</w:t>
      </w:r>
      <w:r>
        <w:rPr>
          <w:rFonts w:hint="eastAsia" w:cs="Times New Roman"/>
          <w:lang w:eastAsia="zh-CN"/>
        </w:rPr>
        <w:t>质量达标率</w:t>
      </w:r>
      <w:r>
        <w:rPr>
          <w:rFonts w:hint="eastAsia" w:cs="Times New Roman"/>
        </w:rPr>
        <w:t>；</w:t>
      </w:r>
    </w:p>
    <w:p>
      <w:pPr>
        <w:pStyle w:val="12"/>
        <w:ind w:firstLine="560"/>
        <w:rPr>
          <w:rFonts w:cs="Times New Roman"/>
        </w:rPr>
      </w:pPr>
      <w:r>
        <w:rPr>
          <w:rFonts w:hint="eastAsia" w:cs="Times New Roman"/>
        </w:rPr>
        <w:t>⑥第七次人口普查</w:t>
      </w:r>
      <w:r>
        <w:rPr>
          <w:rFonts w:hint="eastAsia" w:cs="Times New Roman"/>
          <w:lang w:eastAsia="zh-CN"/>
        </w:rPr>
        <w:t>质量达标率</w:t>
      </w:r>
      <w:r>
        <w:rPr>
          <w:rFonts w:hint="eastAsia" w:cs="Times New Roman"/>
        </w:rPr>
        <w:t>；</w:t>
      </w:r>
    </w:p>
    <w:p>
      <w:pPr>
        <w:pStyle w:val="12"/>
        <w:ind w:firstLine="560"/>
        <w:rPr>
          <w:rFonts w:cs="Times New Roman"/>
        </w:rPr>
      </w:pPr>
      <w:r>
        <w:rPr>
          <w:rFonts w:hint="eastAsia" w:cs="Times New Roman"/>
        </w:rPr>
        <w:t>⑦培训管理</w:t>
      </w:r>
      <w:r>
        <w:rPr>
          <w:rFonts w:hint="eastAsia" w:cs="Times New Roman"/>
          <w:lang w:eastAsia="zh-CN"/>
        </w:rPr>
        <w:t>质量达标率</w:t>
      </w:r>
      <w:r>
        <w:rPr>
          <w:rFonts w:hint="eastAsia" w:cs="Times New Roman"/>
        </w:rPr>
        <w:t>；</w:t>
      </w:r>
    </w:p>
    <w:p>
      <w:pPr>
        <w:pStyle w:val="12"/>
        <w:ind w:firstLine="560"/>
        <w:rPr>
          <w:rFonts w:cs="Times New Roman"/>
        </w:rPr>
      </w:pPr>
      <w:r>
        <w:rPr>
          <w:rFonts w:hint="eastAsia" w:cs="Times New Roman"/>
        </w:rPr>
        <w:t>⑧“四城同建”等工作目标</w:t>
      </w:r>
      <w:r>
        <w:rPr>
          <w:rFonts w:hint="eastAsia" w:cs="Times New Roman"/>
          <w:lang w:val="en-US" w:eastAsia="zh-CN"/>
        </w:rPr>
        <w:t>质量达标</w:t>
      </w:r>
      <w:r>
        <w:rPr>
          <w:rFonts w:hint="eastAsia" w:cs="Times New Roman"/>
        </w:rPr>
        <w:t>率；</w:t>
      </w:r>
    </w:p>
    <w:p>
      <w:pPr>
        <w:pStyle w:val="12"/>
        <w:ind w:firstLine="560"/>
        <w:rPr>
          <w:rFonts w:hint="eastAsia" w:cs="Times New Roman"/>
          <w:lang w:eastAsia="zh-CN"/>
        </w:rPr>
      </w:pPr>
      <w:r>
        <w:rPr>
          <w:rFonts w:hint="eastAsia" w:cs="Times New Roman"/>
        </w:rPr>
        <w:t>⑨上级、党工委、管委会等交办的其他重点</w:t>
      </w:r>
      <w:r>
        <w:rPr>
          <w:rFonts w:hint="eastAsia" w:cs="Times New Roman"/>
          <w:lang w:val="en-US" w:eastAsia="zh-CN"/>
        </w:rPr>
        <w:t>工作</w:t>
      </w:r>
      <w:r>
        <w:rPr>
          <w:rFonts w:hint="eastAsia" w:cs="Times New Roman"/>
          <w:lang w:eastAsia="zh-CN"/>
        </w:rPr>
        <w:t>质量达标率。</w:t>
      </w:r>
    </w:p>
    <w:p>
      <w:pPr>
        <w:pStyle w:val="12"/>
        <w:ind w:firstLine="560"/>
        <w:rPr>
          <w:rFonts w:cs="Times New Roman"/>
        </w:rPr>
      </w:pPr>
      <w:r>
        <w:rPr>
          <w:rFonts w:cs="Times New Roman"/>
        </w:rPr>
        <w:t>质量达标率=（质量达标产出数/实际产出数）×100%。</w:t>
      </w:r>
    </w:p>
    <w:p>
      <w:pPr>
        <w:pStyle w:val="12"/>
        <w:ind w:firstLine="560"/>
        <w:rPr>
          <w:rFonts w:cs="Times New Roman"/>
        </w:rPr>
      </w:pPr>
      <w:r>
        <w:rPr>
          <w:rFonts w:hint="eastAsia" w:ascii="宋体" w:hAnsi="宋体" w:eastAsia="宋体" w:cs="宋体"/>
        </w:rPr>
        <w:t>①</w:t>
      </w:r>
      <w:r>
        <w:rPr>
          <w:rFonts w:cs="Times New Roman"/>
        </w:rPr>
        <w:t>质量达标产出数：一定时期（本年度或项目期）内实际达到既定质量标准的产品或服务数量。</w:t>
      </w:r>
    </w:p>
    <w:p>
      <w:pPr>
        <w:pStyle w:val="12"/>
        <w:ind w:firstLine="560"/>
        <w:rPr>
          <w:rFonts w:cs="Times New Roman"/>
        </w:rPr>
      </w:pPr>
      <w:r>
        <w:rPr>
          <w:rFonts w:hint="eastAsia" w:ascii="宋体" w:hAnsi="宋体" w:eastAsia="宋体" w:cs="宋体"/>
        </w:rPr>
        <w:t>②</w:t>
      </w:r>
      <w:r>
        <w:rPr>
          <w:rFonts w:cs="Times New Roman"/>
        </w:rPr>
        <w:t>既定质量标准是指项目实施单位设立绩效目标时依据计划标准、行业标准、历史标准或其他标准而设定的绩效指标值。</w:t>
      </w:r>
    </w:p>
    <w:p>
      <w:pPr>
        <w:pStyle w:val="12"/>
        <w:ind w:firstLine="560"/>
        <w:rPr>
          <w:rFonts w:cs="Times New Roman"/>
        </w:rPr>
      </w:pPr>
      <w:r>
        <w:rPr>
          <w:rFonts w:cs="Times New Roman"/>
        </w:rPr>
        <w:t>实际得分=质量达标率</w:t>
      </w:r>
      <w:r>
        <w:rPr>
          <w:rFonts w:hint="eastAsia" w:cs="Times New Roman"/>
          <w:lang w:eastAsia="zh-CN"/>
        </w:rPr>
        <w:t>（</w:t>
      </w:r>
      <w:r>
        <w:rPr>
          <w:rFonts w:hint="eastAsia" w:cs="Times New Roman"/>
          <w:lang w:val="en-US" w:eastAsia="zh-CN"/>
        </w:rPr>
        <w:t>最低</w:t>
      </w:r>
      <w:r>
        <w:rPr>
          <w:rFonts w:hint="eastAsia" w:cs="Times New Roman"/>
          <w:lang w:eastAsia="zh-CN"/>
        </w:rPr>
        <w:t>）</w:t>
      </w:r>
      <w:r>
        <w:rPr>
          <w:rFonts w:cs="Times New Roman"/>
        </w:rPr>
        <w:t>×相关系数。</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cs="Times New Roman"/>
        </w:rPr>
        <w:t>招商信息</w:t>
      </w:r>
      <w:r>
        <w:rPr>
          <w:rFonts w:hint="eastAsia" w:cs="Times New Roman"/>
          <w:lang w:val="en-US" w:eastAsia="zh-CN"/>
        </w:rPr>
        <w:t>质量达标率</w:t>
      </w:r>
      <w:r>
        <w:rPr>
          <w:rFonts w:hint="eastAsia" w:cs="Times New Roman"/>
        </w:rPr>
        <w:t>2条/2条</w:t>
      </w:r>
      <w:r>
        <w:rPr>
          <w:rFonts w:cs="Times New Roman"/>
        </w:rPr>
        <w:t>×100%</w:t>
      </w:r>
      <w:r>
        <w:rPr>
          <w:rFonts w:hint="eastAsia" w:cs="Times New Roman"/>
        </w:rPr>
        <w:t>=100%；</w:t>
      </w:r>
    </w:p>
    <w:p>
      <w:pPr>
        <w:pStyle w:val="12"/>
        <w:ind w:firstLine="560"/>
        <w:rPr>
          <w:rFonts w:cs="Times New Roman"/>
        </w:rPr>
      </w:pPr>
      <w:r>
        <w:rPr>
          <w:rFonts w:hint="eastAsia" w:cs="Times New Roman"/>
        </w:rPr>
        <w:t>②全区经济运行目标检测、分析</w:t>
      </w:r>
      <w:r>
        <w:rPr>
          <w:rFonts w:hint="eastAsia" w:cs="Times New Roman"/>
          <w:lang w:eastAsia="zh-CN"/>
        </w:rPr>
        <w:t>质量达标率</w:t>
      </w:r>
      <w:r>
        <w:rPr>
          <w:rFonts w:hint="eastAsia" w:cs="Times New Roman"/>
          <w:lang w:val="en-US" w:eastAsia="zh-CN"/>
        </w:rPr>
        <w:t>=</w:t>
      </w:r>
      <w:r>
        <w:rPr>
          <w:rFonts w:hint="eastAsia" w:cs="Times New Roman"/>
        </w:rPr>
        <w:t>10次/10次</w:t>
      </w:r>
      <w:r>
        <w:rPr>
          <w:rFonts w:cs="Times New Roman"/>
        </w:rPr>
        <w:t>×100%</w:t>
      </w:r>
      <w:r>
        <w:rPr>
          <w:rFonts w:hint="eastAsia" w:cs="Times New Roman"/>
        </w:rPr>
        <w:t>=100%；</w:t>
      </w:r>
    </w:p>
    <w:p>
      <w:pPr>
        <w:pStyle w:val="12"/>
        <w:ind w:firstLine="560"/>
        <w:rPr>
          <w:rFonts w:cs="Times New Roman"/>
        </w:rPr>
      </w:pPr>
      <w:r>
        <w:rPr>
          <w:rFonts w:hint="eastAsia" w:cs="Times New Roman"/>
        </w:rPr>
        <w:t>③省产业集聚区年度考核评价指标的检测、统计分析牵头</w:t>
      </w:r>
      <w:r>
        <w:rPr>
          <w:rFonts w:hint="eastAsia" w:cs="Times New Roman"/>
          <w:lang w:eastAsia="zh-CN"/>
        </w:rPr>
        <w:t>质量达标率</w:t>
      </w:r>
      <w:r>
        <w:rPr>
          <w:rFonts w:hint="eastAsia" w:cs="Times New Roman"/>
        </w:rPr>
        <w:t>=12项/12项</w:t>
      </w:r>
      <w:r>
        <w:rPr>
          <w:rFonts w:cs="Times New Roman"/>
        </w:rPr>
        <w:t>×100%</w:t>
      </w:r>
      <w:r>
        <w:rPr>
          <w:rFonts w:hint="eastAsia" w:cs="Times New Roman"/>
        </w:rPr>
        <w:t>=100%；</w:t>
      </w:r>
    </w:p>
    <w:p>
      <w:pPr>
        <w:pStyle w:val="12"/>
        <w:ind w:firstLine="560"/>
        <w:rPr>
          <w:rFonts w:cs="Times New Roman"/>
        </w:rPr>
      </w:pPr>
      <w:r>
        <w:rPr>
          <w:rFonts w:hint="eastAsia" w:cs="Times New Roman"/>
        </w:rPr>
        <w:t>④国家级和省级开发区综合评价</w:t>
      </w:r>
      <w:r>
        <w:rPr>
          <w:rFonts w:hint="eastAsia" w:cs="Times New Roman"/>
          <w:lang w:val="en-US" w:eastAsia="zh-CN"/>
        </w:rPr>
        <w:t>工作质量达标</w:t>
      </w:r>
      <w:r>
        <w:rPr>
          <w:rFonts w:hint="eastAsia" w:cs="Times New Roman"/>
        </w:rPr>
        <w:t>率=50项/50项</w:t>
      </w:r>
      <w:r>
        <w:rPr>
          <w:rFonts w:cs="Times New Roman"/>
        </w:rPr>
        <w:t>×100%</w:t>
      </w:r>
      <w:r>
        <w:rPr>
          <w:rFonts w:hint="eastAsia" w:cs="Times New Roman"/>
        </w:rPr>
        <w:t>=100%；</w:t>
      </w:r>
    </w:p>
    <w:p>
      <w:pPr>
        <w:pStyle w:val="12"/>
        <w:ind w:firstLine="560"/>
        <w:rPr>
          <w:rFonts w:cs="Times New Roman"/>
        </w:rPr>
      </w:pPr>
      <w:r>
        <w:rPr>
          <w:rFonts w:hint="eastAsia" w:cs="Times New Roman"/>
        </w:rPr>
        <w:t>⑤统计名录库建设、“四上”企业入库</w:t>
      </w:r>
      <w:r>
        <w:rPr>
          <w:rFonts w:hint="eastAsia" w:cs="Times New Roman"/>
          <w:lang w:eastAsia="zh-CN"/>
        </w:rPr>
        <w:t>质量达标率</w:t>
      </w:r>
      <w:r>
        <w:rPr>
          <w:rFonts w:hint="eastAsia" w:cs="Times New Roman"/>
        </w:rPr>
        <w:t>=20家/20家</w:t>
      </w:r>
      <w:r>
        <w:rPr>
          <w:rFonts w:cs="Times New Roman"/>
        </w:rPr>
        <w:t>×100%</w:t>
      </w:r>
      <w:r>
        <w:rPr>
          <w:rFonts w:hint="eastAsia" w:cs="Times New Roman"/>
        </w:rPr>
        <w:t>=100%；</w:t>
      </w:r>
    </w:p>
    <w:p>
      <w:pPr>
        <w:pStyle w:val="12"/>
        <w:ind w:firstLine="560"/>
        <w:rPr>
          <w:rFonts w:cs="Times New Roman"/>
        </w:rPr>
      </w:pPr>
      <w:r>
        <w:rPr>
          <w:rFonts w:hint="eastAsia" w:cs="Times New Roman"/>
        </w:rPr>
        <w:t>⑥第七次人口普查</w:t>
      </w:r>
      <w:r>
        <w:rPr>
          <w:rFonts w:hint="eastAsia" w:cs="Times New Roman"/>
          <w:lang w:eastAsia="zh-CN"/>
        </w:rPr>
        <w:t>质量达标率</w:t>
      </w:r>
      <w:r>
        <w:rPr>
          <w:rFonts w:hint="eastAsia" w:cs="Times New Roman"/>
        </w:rPr>
        <w:t>=498人/498人</w:t>
      </w:r>
      <w:r>
        <w:rPr>
          <w:rFonts w:cs="Times New Roman"/>
        </w:rPr>
        <w:t>×100%</w:t>
      </w:r>
      <w:r>
        <w:rPr>
          <w:rFonts w:hint="eastAsia" w:cs="Times New Roman"/>
        </w:rPr>
        <w:t>=100%；</w:t>
      </w:r>
    </w:p>
    <w:p>
      <w:pPr>
        <w:pStyle w:val="12"/>
        <w:ind w:firstLine="560"/>
        <w:rPr>
          <w:rFonts w:cs="Times New Roman"/>
        </w:rPr>
      </w:pPr>
      <w:r>
        <w:rPr>
          <w:rFonts w:hint="eastAsia" w:cs="Times New Roman"/>
        </w:rPr>
        <w:t>⑦培训管理</w:t>
      </w:r>
      <w:r>
        <w:rPr>
          <w:rFonts w:hint="eastAsia" w:cs="Times New Roman"/>
          <w:lang w:eastAsia="zh-CN"/>
        </w:rPr>
        <w:t>质量达标率</w:t>
      </w:r>
      <w:r>
        <w:rPr>
          <w:rFonts w:hint="eastAsia" w:cs="Times New Roman"/>
        </w:rPr>
        <w:t>=3次/2次</w:t>
      </w:r>
      <w:r>
        <w:rPr>
          <w:rFonts w:cs="Times New Roman"/>
        </w:rPr>
        <w:t>×100%</w:t>
      </w:r>
      <w:r>
        <w:rPr>
          <w:rFonts w:hint="eastAsia" w:cs="Times New Roman"/>
        </w:rPr>
        <w:t>=150%；</w:t>
      </w:r>
    </w:p>
    <w:p>
      <w:pPr>
        <w:pStyle w:val="12"/>
        <w:ind w:firstLine="560"/>
        <w:rPr>
          <w:rFonts w:cs="Times New Roman"/>
        </w:rPr>
      </w:pPr>
      <w:r>
        <w:rPr>
          <w:rFonts w:hint="eastAsia" w:cs="Times New Roman"/>
        </w:rPr>
        <w:t>⑧“四城同建”等工作目标</w:t>
      </w:r>
      <w:r>
        <w:rPr>
          <w:rFonts w:hint="eastAsia" w:cs="Times New Roman"/>
          <w:lang w:val="en-US" w:eastAsia="zh-CN"/>
        </w:rPr>
        <w:t>质量达标</w:t>
      </w:r>
      <w:r>
        <w:rPr>
          <w:rFonts w:hint="eastAsia" w:cs="Times New Roman"/>
        </w:rPr>
        <w:t>率=96个/96个</w:t>
      </w:r>
      <w:r>
        <w:rPr>
          <w:rFonts w:cs="Times New Roman"/>
        </w:rPr>
        <w:t>×100%</w:t>
      </w:r>
      <w:r>
        <w:rPr>
          <w:rFonts w:hint="eastAsia" w:cs="Times New Roman"/>
        </w:rPr>
        <w:t>=100%；</w:t>
      </w:r>
    </w:p>
    <w:p>
      <w:pPr>
        <w:pStyle w:val="12"/>
        <w:ind w:firstLine="560"/>
        <w:rPr>
          <w:rFonts w:cs="Times New Roman"/>
        </w:rPr>
      </w:pPr>
      <w:r>
        <w:rPr>
          <w:rFonts w:hint="eastAsia" w:cs="Times New Roman"/>
        </w:rPr>
        <w:t>⑨上级、党工委、管委会等交办的其他重点</w:t>
      </w:r>
      <w:r>
        <w:rPr>
          <w:rFonts w:hint="eastAsia" w:cs="Times New Roman"/>
          <w:lang w:val="en-US" w:eastAsia="zh-CN"/>
        </w:rPr>
        <w:t>工作</w:t>
      </w:r>
      <w:r>
        <w:rPr>
          <w:rFonts w:hint="eastAsia" w:cs="Times New Roman"/>
          <w:lang w:eastAsia="zh-CN"/>
        </w:rPr>
        <w:t>质量达标率</w:t>
      </w:r>
      <w:r>
        <w:rPr>
          <w:rFonts w:hint="eastAsia" w:cs="Times New Roman"/>
        </w:rPr>
        <w:t>=5个/5个</w:t>
      </w:r>
      <w:r>
        <w:rPr>
          <w:rFonts w:cs="Times New Roman"/>
        </w:rPr>
        <w:t>×100%</w:t>
      </w:r>
      <w:r>
        <w:rPr>
          <w:rFonts w:hint="eastAsia" w:cs="Times New Roman"/>
        </w:rPr>
        <w:t>=100%</w:t>
      </w:r>
      <w:r>
        <w:rPr>
          <w:rFonts w:hint="eastAsia" w:cs="Times New Roman"/>
          <w:lang w:eastAsia="zh-CN"/>
        </w:rPr>
        <w:t>。</w:t>
      </w:r>
    </w:p>
    <w:p>
      <w:pPr>
        <w:pStyle w:val="12"/>
        <w:ind w:firstLine="560"/>
        <w:rPr>
          <w:rFonts w:cs="Times New Roman"/>
        </w:rPr>
      </w:pPr>
      <w:r>
        <w:rPr>
          <w:rFonts w:hint="eastAsia" w:cs="Times New Roman"/>
          <w:lang w:eastAsia="zh-CN"/>
        </w:rPr>
        <w:t>综上所述</w:t>
      </w:r>
      <w:r>
        <w:rPr>
          <w:rFonts w:hint="eastAsia" w:cs="Times New Roman"/>
        </w:rPr>
        <w:t>，漯河经济技术开发区统计中心各项工作均已圆满完成，并取得了很好的成绩，得7.5分</w:t>
      </w:r>
      <w:r>
        <w:rPr>
          <w:rFonts w:cs="Times New Roman"/>
        </w:rPr>
        <w:t>。</w:t>
      </w:r>
    </w:p>
    <w:p>
      <w:pPr>
        <w:pStyle w:val="5"/>
        <w:ind w:firstLine="562"/>
        <w:rPr>
          <w:rFonts w:cs="Times New Roman"/>
        </w:rPr>
      </w:pPr>
      <w:bookmarkStart w:id="106" w:name="_Toc67315600"/>
      <w:bookmarkStart w:id="107" w:name="_Toc31165"/>
      <w:bookmarkStart w:id="108" w:name="_Toc1848"/>
      <w:r>
        <w:rPr>
          <w:rFonts w:cs="Times New Roman"/>
        </w:rPr>
        <w:t>4.产出成本（权重7.5，得分</w:t>
      </w:r>
      <w:r>
        <w:rPr>
          <w:rFonts w:hint="eastAsia" w:cs="Times New Roman"/>
        </w:rPr>
        <w:t>3.5</w:t>
      </w:r>
      <w:r>
        <w:rPr>
          <w:rFonts w:cs="Times New Roman"/>
        </w:rPr>
        <w:t>）</w:t>
      </w:r>
      <w:bookmarkEnd w:id="106"/>
      <w:bookmarkEnd w:id="107"/>
      <w:bookmarkEnd w:id="108"/>
    </w:p>
    <w:p>
      <w:pPr>
        <w:pStyle w:val="12"/>
        <w:ind w:firstLine="560"/>
        <w:rPr>
          <w:rFonts w:eastAsia="楷体_GB2312" w:cs="Times New Roman"/>
        </w:rPr>
      </w:pPr>
      <w:r>
        <w:rPr>
          <w:rFonts w:cs="Times New Roman"/>
        </w:rPr>
        <w:t>（1）成本节约率（权重7.5，得分</w:t>
      </w:r>
      <w:r>
        <w:rPr>
          <w:rFonts w:hint="eastAsia" w:cs="Times New Roman"/>
        </w:rPr>
        <w:t>3.5</w:t>
      </w:r>
      <w:r>
        <w:rPr>
          <w:rFonts w:cs="Times New Roman"/>
        </w:rPr>
        <w:t>）</w:t>
      </w:r>
    </w:p>
    <w:p>
      <w:pPr>
        <w:pStyle w:val="12"/>
        <w:ind w:firstLine="562"/>
        <w:rPr>
          <w:rFonts w:cs="Times New Roman"/>
          <w:b/>
        </w:rPr>
      </w:pPr>
      <w:r>
        <w:rPr>
          <w:rFonts w:cs="Times New Roman"/>
          <w:b/>
        </w:rPr>
        <w:t>评分标准：</w:t>
      </w:r>
    </w:p>
    <w:p>
      <w:pPr>
        <w:pStyle w:val="12"/>
        <w:ind w:firstLine="560"/>
        <w:rPr>
          <w:rFonts w:cs="Times New Roman"/>
        </w:rPr>
      </w:pPr>
      <w:r>
        <w:rPr>
          <w:rFonts w:hint="eastAsia" w:cs="Times New Roman"/>
        </w:rPr>
        <w:t>①劳务费资金成本节约率，1.5分；</w:t>
      </w:r>
    </w:p>
    <w:p>
      <w:pPr>
        <w:pStyle w:val="12"/>
        <w:ind w:firstLine="560"/>
        <w:rPr>
          <w:rFonts w:cs="Times New Roman"/>
        </w:rPr>
      </w:pPr>
      <w:r>
        <w:rPr>
          <w:rFonts w:hint="eastAsia" w:cs="Times New Roman"/>
        </w:rPr>
        <w:t>②办公费资金成本节约率，1分；</w:t>
      </w:r>
    </w:p>
    <w:p>
      <w:pPr>
        <w:pStyle w:val="12"/>
        <w:ind w:firstLine="560"/>
        <w:rPr>
          <w:rFonts w:cs="Times New Roman"/>
        </w:rPr>
      </w:pPr>
      <w:r>
        <w:rPr>
          <w:rFonts w:hint="eastAsia" w:cs="Times New Roman"/>
        </w:rPr>
        <w:t>③其他工资福利支出资金成本节约率，1分；</w:t>
      </w:r>
    </w:p>
    <w:p>
      <w:pPr>
        <w:pStyle w:val="12"/>
        <w:ind w:firstLine="560"/>
        <w:rPr>
          <w:rFonts w:cs="Times New Roman"/>
        </w:rPr>
      </w:pPr>
      <w:r>
        <w:rPr>
          <w:rFonts w:hint="eastAsia" w:cs="Times New Roman"/>
        </w:rPr>
        <w:t>④其他商品和服务支出资金成本节约率，1分；</w:t>
      </w:r>
    </w:p>
    <w:p>
      <w:pPr>
        <w:pStyle w:val="12"/>
        <w:ind w:firstLine="560"/>
        <w:rPr>
          <w:rFonts w:cs="Times New Roman"/>
        </w:rPr>
      </w:pPr>
      <w:r>
        <w:rPr>
          <w:rFonts w:hint="eastAsia" w:cs="Times New Roman"/>
        </w:rPr>
        <w:t>⑤维修费资金成本节约率，1分；</w:t>
      </w:r>
    </w:p>
    <w:p>
      <w:pPr>
        <w:pStyle w:val="12"/>
        <w:ind w:firstLine="560"/>
        <w:rPr>
          <w:rFonts w:cs="Times New Roman"/>
        </w:rPr>
      </w:pPr>
      <w:r>
        <w:rPr>
          <w:rFonts w:hint="eastAsia" w:cs="Times New Roman"/>
        </w:rPr>
        <w:t>⑥印刷费资金成本节约率，1分；</w:t>
      </w:r>
    </w:p>
    <w:p>
      <w:pPr>
        <w:pStyle w:val="12"/>
        <w:ind w:firstLine="560"/>
        <w:rPr>
          <w:rFonts w:cs="Times New Roman"/>
        </w:rPr>
      </w:pPr>
      <w:r>
        <w:rPr>
          <w:rFonts w:hint="eastAsia" w:cs="Times New Roman"/>
        </w:rPr>
        <w:t>⑦邮电费资金成本节约率，1分。</w:t>
      </w:r>
    </w:p>
    <w:p>
      <w:pPr>
        <w:pStyle w:val="12"/>
        <w:ind w:firstLine="560"/>
        <w:rPr>
          <w:rFonts w:cs="Times New Roman"/>
        </w:rPr>
      </w:pPr>
      <w:r>
        <w:rPr>
          <w:rFonts w:cs="Times New Roman"/>
        </w:rPr>
        <w:t>成本节约率=[（计划成本-实际成本）/计划成本]×100%。</w:t>
      </w:r>
    </w:p>
    <w:p>
      <w:pPr>
        <w:pStyle w:val="12"/>
        <w:ind w:firstLine="560"/>
        <w:rPr>
          <w:rFonts w:cs="Times New Roman"/>
        </w:rPr>
      </w:pPr>
      <w:r>
        <w:rPr>
          <w:rFonts w:hint="eastAsia" w:ascii="宋体" w:hAnsi="宋体" w:eastAsia="宋体" w:cs="宋体"/>
        </w:rPr>
        <w:t>①</w:t>
      </w:r>
      <w:r>
        <w:rPr>
          <w:rFonts w:cs="Times New Roman"/>
        </w:rPr>
        <w:t>实际成本：项目实施单位如期、保质、保量完成既定工作目标实际所耗费的支出。</w:t>
      </w:r>
    </w:p>
    <w:p>
      <w:pPr>
        <w:pStyle w:val="12"/>
        <w:ind w:firstLine="560"/>
        <w:rPr>
          <w:rFonts w:cs="Times New Roman"/>
        </w:rPr>
      </w:pPr>
      <w:r>
        <w:rPr>
          <w:rFonts w:hint="eastAsia" w:ascii="宋体" w:hAnsi="宋体" w:eastAsia="宋体" w:cs="宋体"/>
        </w:rPr>
        <w:t>②</w:t>
      </w:r>
      <w:r>
        <w:rPr>
          <w:rFonts w:cs="Times New Roman"/>
        </w:rPr>
        <w:t>计划成本：项目实施单位为完成工作目标计划安排的支出，一般以项目预算为参考。</w:t>
      </w:r>
    </w:p>
    <w:p>
      <w:pPr>
        <w:pStyle w:val="12"/>
        <w:ind w:firstLine="560"/>
        <w:rPr>
          <w:rFonts w:cs="Times New Roman"/>
        </w:rPr>
      </w:pPr>
      <w:r>
        <w:rPr>
          <w:rFonts w:cs="Times New Roman"/>
        </w:rPr>
        <w:t>成本节约率≥0，得7.5分；成本节约率&lt;0，不得分。</w:t>
      </w:r>
    </w:p>
    <w:p>
      <w:pPr>
        <w:pStyle w:val="12"/>
        <w:ind w:firstLine="562"/>
        <w:rPr>
          <w:rFonts w:cs="Times New Roman"/>
          <w:b/>
        </w:rPr>
      </w:pPr>
      <w:r>
        <w:rPr>
          <w:rFonts w:cs="Times New Roman"/>
          <w:b/>
        </w:rPr>
        <w:t>得分：</w:t>
      </w:r>
    </w:p>
    <w:p>
      <w:pPr>
        <w:pStyle w:val="12"/>
        <w:ind w:firstLine="560"/>
        <w:rPr>
          <w:rFonts w:cs="Times New Roman"/>
        </w:rPr>
      </w:pPr>
      <w:r>
        <w:rPr>
          <w:rFonts w:hint="eastAsia" w:cs="Times New Roman"/>
        </w:rPr>
        <w:t>①劳务费资金成本节约率=0.54%，得1.5分；</w:t>
      </w:r>
    </w:p>
    <w:p>
      <w:pPr>
        <w:pStyle w:val="12"/>
        <w:ind w:firstLine="560"/>
        <w:rPr>
          <w:rFonts w:cs="Times New Roman"/>
        </w:rPr>
      </w:pPr>
      <w:r>
        <w:rPr>
          <w:rFonts w:hint="eastAsia" w:cs="Times New Roman"/>
        </w:rPr>
        <w:t>②办公费资金成本节约率=-</w:t>
      </w:r>
      <w:r>
        <w:rPr>
          <w:rFonts w:cs="Times New Roman"/>
        </w:rPr>
        <w:t>4.05%</w:t>
      </w:r>
      <w:r>
        <w:rPr>
          <w:rFonts w:hint="eastAsia" w:cs="Times New Roman"/>
        </w:rPr>
        <w:t>，得0分；</w:t>
      </w:r>
    </w:p>
    <w:p>
      <w:pPr>
        <w:pStyle w:val="12"/>
        <w:ind w:firstLine="560"/>
        <w:rPr>
          <w:rFonts w:cs="Times New Roman"/>
        </w:rPr>
      </w:pPr>
      <w:r>
        <w:rPr>
          <w:rFonts w:hint="eastAsia" w:cs="Times New Roman"/>
        </w:rPr>
        <w:t>③其他工资福利支出资金成本节约率=35%，得1分；</w:t>
      </w:r>
    </w:p>
    <w:p>
      <w:pPr>
        <w:pStyle w:val="12"/>
        <w:ind w:firstLine="560"/>
        <w:rPr>
          <w:rFonts w:cs="Times New Roman"/>
        </w:rPr>
      </w:pPr>
      <w:r>
        <w:rPr>
          <w:rFonts w:hint="eastAsia" w:cs="Times New Roman"/>
        </w:rPr>
        <w:t>④其他商品和服务支出资金成本节约率=15.13%，得1分；</w:t>
      </w:r>
    </w:p>
    <w:p>
      <w:pPr>
        <w:pStyle w:val="12"/>
        <w:ind w:firstLine="560"/>
        <w:rPr>
          <w:rFonts w:cs="Times New Roman"/>
        </w:rPr>
      </w:pPr>
      <w:r>
        <w:rPr>
          <w:rFonts w:hint="eastAsia" w:cs="Times New Roman"/>
        </w:rPr>
        <w:t>⑤维修费资金成本节约率=-1</w:t>
      </w:r>
      <w:r>
        <w:rPr>
          <w:rFonts w:cs="Times New Roman"/>
        </w:rPr>
        <w:t>99.20%</w:t>
      </w:r>
      <w:r>
        <w:rPr>
          <w:rFonts w:hint="eastAsia" w:cs="Times New Roman"/>
        </w:rPr>
        <w:t>，得0分；</w:t>
      </w:r>
    </w:p>
    <w:p>
      <w:pPr>
        <w:pStyle w:val="12"/>
        <w:ind w:firstLine="560"/>
        <w:rPr>
          <w:rFonts w:cs="Times New Roman"/>
        </w:rPr>
      </w:pPr>
      <w:r>
        <w:rPr>
          <w:rFonts w:hint="eastAsia" w:cs="Times New Roman"/>
        </w:rPr>
        <w:t>⑥印刷费资金成本节约率=-</w:t>
      </w:r>
      <w:r>
        <w:rPr>
          <w:rFonts w:cs="Times New Roman"/>
        </w:rPr>
        <w:t>12.84%</w:t>
      </w:r>
      <w:r>
        <w:rPr>
          <w:rFonts w:hint="eastAsia" w:cs="Times New Roman"/>
        </w:rPr>
        <w:t>，得0分；</w:t>
      </w:r>
    </w:p>
    <w:p>
      <w:pPr>
        <w:pStyle w:val="12"/>
        <w:ind w:firstLine="560"/>
        <w:rPr>
          <w:rFonts w:hint="eastAsia" w:cs="Times New Roman"/>
        </w:rPr>
      </w:pPr>
      <w:r>
        <w:rPr>
          <w:rFonts w:hint="eastAsia" w:cs="Times New Roman"/>
        </w:rPr>
        <w:t>⑦邮电费资金成本节约率=-</w:t>
      </w:r>
      <w:r>
        <w:rPr>
          <w:rFonts w:cs="Times New Roman"/>
        </w:rPr>
        <w:t>9.92%</w:t>
      </w:r>
      <w:r>
        <w:rPr>
          <w:rFonts w:hint="eastAsia" w:cs="Times New Roman"/>
        </w:rPr>
        <w:t>，得0分。</w:t>
      </w:r>
    </w:p>
    <w:p>
      <w:pPr>
        <w:pStyle w:val="4"/>
        <w:ind w:firstLine="602"/>
        <w:rPr>
          <w:rFonts w:cs="Times New Roman"/>
        </w:rPr>
      </w:pPr>
      <w:bookmarkStart w:id="109" w:name="_Toc29441"/>
      <w:bookmarkStart w:id="110" w:name="_Toc67315601"/>
      <w:bookmarkStart w:id="111" w:name="_Toc16943"/>
      <w:r>
        <w:rPr>
          <w:rFonts w:cs="Times New Roman"/>
        </w:rPr>
        <w:t>（四）项目效益情况（权重30，得分</w:t>
      </w:r>
      <w:r>
        <w:rPr>
          <w:rFonts w:hint="eastAsia" w:cs="Times New Roman"/>
        </w:rPr>
        <w:t>30</w:t>
      </w:r>
      <w:r>
        <w:rPr>
          <w:rFonts w:cs="Times New Roman"/>
        </w:rPr>
        <w:t>）</w:t>
      </w:r>
      <w:bookmarkEnd w:id="109"/>
      <w:bookmarkEnd w:id="110"/>
      <w:bookmarkEnd w:id="111"/>
    </w:p>
    <w:p>
      <w:pPr>
        <w:pStyle w:val="5"/>
        <w:ind w:firstLine="562"/>
        <w:rPr>
          <w:rFonts w:cs="Times New Roman"/>
        </w:rPr>
      </w:pPr>
      <w:bookmarkStart w:id="112" w:name="_Toc29370"/>
      <w:bookmarkStart w:id="113" w:name="_Toc67315603"/>
      <w:bookmarkStart w:id="114" w:name="_Toc8406"/>
      <w:r>
        <w:rPr>
          <w:rFonts w:hint="eastAsia" w:cs="Times New Roman"/>
        </w:rPr>
        <w:t>1</w:t>
      </w:r>
      <w:r>
        <w:rPr>
          <w:rFonts w:cs="Times New Roman"/>
        </w:rPr>
        <w:t>.社会效益（权重</w:t>
      </w:r>
      <w:r>
        <w:rPr>
          <w:rFonts w:hint="eastAsia" w:cs="Times New Roman"/>
          <w:lang w:val="en-US" w:eastAsia="zh-CN"/>
        </w:rPr>
        <w:t>8</w:t>
      </w:r>
      <w:r>
        <w:rPr>
          <w:rFonts w:cs="Times New Roman"/>
        </w:rPr>
        <w:t>，得分</w:t>
      </w:r>
      <w:r>
        <w:rPr>
          <w:rFonts w:hint="eastAsia" w:cs="Times New Roman"/>
          <w:lang w:val="en-US" w:eastAsia="zh-CN"/>
        </w:rPr>
        <w:t>8</w:t>
      </w:r>
      <w:r>
        <w:rPr>
          <w:rFonts w:cs="Times New Roman"/>
        </w:rPr>
        <w:t>）</w:t>
      </w:r>
      <w:bookmarkEnd w:id="112"/>
      <w:bookmarkEnd w:id="113"/>
      <w:bookmarkEnd w:id="114"/>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统计工作的开展是否使全区经济增长态势得到真实的反应</w:t>
      </w:r>
      <w:r>
        <w:rPr>
          <w:rFonts w:cs="Times New Roman"/>
        </w:rPr>
        <w:t>，</w:t>
      </w:r>
      <w:r>
        <w:rPr>
          <w:rFonts w:hint="eastAsia" w:cs="Times New Roman"/>
          <w:lang w:val="en-US" w:eastAsia="zh-C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rPr>
        <w:t>是否有利于推动全区固定资产投资快速增长</w:t>
      </w:r>
      <w:r>
        <w:rPr>
          <w:rFonts w:cs="Times New Roman"/>
        </w:rPr>
        <w:t>，</w:t>
      </w:r>
      <w:r>
        <w:rPr>
          <w:rFonts w:hint="eastAsia" w:cs="Times New Roman"/>
          <w:lang w:val="en-US" w:eastAsia="zh-CN"/>
        </w:rPr>
        <w:t>3</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是否为全区创优工作提供保障</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2021年上半年，经过全区上下的共同努力，我区多项经济指标位于全市前列。其中第二产业、工业增加值、固定资产、建筑业、商品房销售面积增速及制造业增加值占GDP比重等六项经济指标均位居全市第一位，GDP增速位居全市第二位，为全市经济发展做出了较大贡献，受到了市、区主要领导的肯定，</w:t>
      </w:r>
      <w:r>
        <w:rPr>
          <w:rFonts w:hint="eastAsia" w:cs="Times New Roman"/>
        </w:rPr>
        <w:t>统计工作的开展使全区经济增长态势得到真实的反应，</w:t>
      </w:r>
      <w:r>
        <w:rPr>
          <w:rFonts w:cs="Times New Roman"/>
        </w:rPr>
        <w:t>得</w:t>
      </w:r>
      <w:r>
        <w:rPr>
          <w:rFonts w:hint="eastAsia" w:cs="Times New Roman"/>
          <w:lang w:val="en-US" w:eastAsia="zh-CN"/>
        </w:rPr>
        <w:t>3</w:t>
      </w:r>
      <w:r>
        <w:rPr>
          <w:rFonts w:cs="Times New Roman"/>
        </w:rPr>
        <w:t>分；</w:t>
      </w:r>
    </w:p>
    <w:p>
      <w:pPr>
        <w:ind w:left="0" w:leftChars="0" w:right="0" w:rightChars="0" w:firstLine="561"/>
        <w:jc w:val="left"/>
        <w:rPr>
          <w:rFonts w:ascii="Times New Roman" w:hAnsi="Times New Roman" w:eastAsia="仿宋" w:cs="Times New Roman"/>
          <w:sz w:val="28"/>
          <w:szCs w:val="21"/>
        </w:rPr>
      </w:pPr>
      <w:r>
        <w:rPr>
          <w:rFonts w:hint="eastAsia" w:ascii="宋体" w:hAnsi="宋体" w:eastAsia="宋体" w:cs="宋体"/>
          <w:sz w:val="28"/>
          <w:szCs w:val="21"/>
        </w:rPr>
        <w:t>②</w:t>
      </w:r>
      <w:r>
        <w:rPr>
          <w:rFonts w:hint="eastAsia" w:ascii="仿宋" w:hAnsi="仿宋" w:eastAsia="仿宋" w:cs="仿宋"/>
          <w:sz w:val="28"/>
          <w:szCs w:val="21"/>
        </w:rPr>
        <w:t>2021年完成固定资产投资增速13.1%</w:t>
      </w:r>
      <w:r>
        <w:rPr>
          <w:rFonts w:ascii="Times New Roman" w:hAnsi="Times New Roman" w:eastAsia="仿宋" w:cs="Times New Roman"/>
          <w:sz w:val="28"/>
          <w:szCs w:val="21"/>
        </w:rPr>
        <w:t>，得</w:t>
      </w:r>
      <w:r>
        <w:rPr>
          <w:rFonts w:hint="eastAsia" w:ascii="Times New Roman" w:hAnsi="Times New Roman" w:eastAsia="仿宋" w:cs="Times New Roman"/>
          <w:sz w:val="28"/>
          <w:szCs w:val="21"/>
          <w:lang w:val="en-US" w:eastAsia="zh-CN"/>
        </w:rPr>
        <w:t>3</w:t>
      </w:r>
      <w:r>
        <w:rPr>
          <w:rFonts w:ascii="Times New Roman" w:hAnsi="Times New Roman" w:eastAsia="仿宋" w:cs="Times New Roman"/>
          <w:sz w:val="28"/>
          <w:szCs w:val="21"/>
        </w:rPr>
        <w:t>分；</w:t>
      </w:r>
    </w:p>
    <w:p>
      <w:pPr>
        <w:pStyle w:val="12"/>
        <w:ind w:firstLine="560"/>
        <w:rPr>
          <w:rFonts w:cs="Times New Roman"/>
          <w:highlight w:val="yellow"/>
        </w:rPr>
      </w:pPr>
      <w:r>
        <w:rPr>
          <w:rFonts w:hint="eastAsia" w:ascii="宋体" w:hAnsi="宋体" w:eastAsia="宋体" w:cs="宋体"/>
        </w:rPr>
        <w:t>③</w:t>
      </w:r>
      <w:r>
        <w:rPr>
          <w:rFonts w:hint="eastAsia" w:ascii="仿宋" w:hAnsi="仿宋" w:cs="仿宋"/>
        </w:rPr>
        <w:t>对2021年的年度数据进行预测，重点做好与税务系统的沟通与衔接，做到实时监测，为2021年的考评工作奠定扎实基础。目前，省级开发区考评结果已公布，我区继续保持了全省第二名的好成绩，得2分</w:t>
      </w:r>
      <w:r>
        <w:rPr>
          <w:rFonts w:cs="Times New Roman"/>
        </w:rPr>
        <w:t>。</w:t>
      </w:r>
    </w:p>
    <w:p>
      <w:pPr>
        <w:pStyle w:val="5"/>
        <w:ind w:firstLine="562"/>
        <w:rPr>
          <w:rFonts w:cs="Times New Roman"/>
        </w:rPr>
      </w:pPr>
      <w:bookmarkStart w:id="115" w:name="_Toc67315604"/>
      <w:bookmarkStart w:id="116" w:name="_Toc26033"/>
      <w:bookmarkStart w:id="117" w:name="_Toc240"/>
      <w:r>
        <w:rPr>
          <w:rFonts w:hint="eastAsia" w:cs="Times New Roman"/>
        </w:rPr>
        <w:t>2.</w:t>
      </w:r>
      <w:bookmarkEnd w:id="115"/>
      <w:bookmarkEnd w:id="116"/>
      <w:bookmarkEnd w:id="117"/>
      <w:bookmarkStart w:id="118" w:name="_Toc22620"/>
      <w:bookmarkStart w:id="119" w:name="_Toc67315605"/>
      <w:bookmarkStart w:id="120" w:name="_Toc11363"/>
      <w:r>
        <w:rPr>
          <w:rFonts w:hint="eastAsia" w:cs="Times New Roman"/>
        </w:rPr>
        <w:t>可持续影响（权重</w:t>
      </w:r>
      <w:r>
        <w:rPr>
          <w:rFonts w:hint="eastAsia" w:cs="Times New Roman"/>
          <w:lang w:val="en-US" w:eastAsia="zh-CN"/>
        </w:rPr>
        <w:t>8</w:t>
      </w:r>
      <w:r>
        <w:rPr>
          <w:rFonts w:hint="eastAsia" w:cs="Times New Roman"/>
        </w:rPr>
        <w:t>，得分</w:t>
      </w:r>
      <w:r>
        <w:rPr>
          <w:rFonts w:hint="eastAsia" w:cs="Times New Roman"/>
          <w:lang w:val="en-US" w:eastAsia="zh-CN"/>
        </w:rPr>
        <w:t>8</w:t>
      </w:r>
      <w:r>
        <w:rPr>
          <w:rFonts w:hint="eastAsia" w:cs="Times New Roman"/>
        </w:rPr>
        <w:t>）</w:t>
      </w:r>
      <w:bookmarkEnd w:id="118"/>
      <w:bookmarkEnd w:id="119"/>
      <w:bookmarkEnd w:id="120"/>
    </w:p>
    <w:p>
      <w:pPr>
        <w:pStyle w:val="12"/>
        <w:ind w:firstLine="562"/>
        <w:rPr>
          <w:rFonts w:cs="Times New Roman"/>
          <w:b/>
        </w:rPr>
      </w:pPr>
      <w:r>
        <w:rPr>
          <w:rFonts w:cs="Times New Roman"/>
          <w:b/>
        </w:rPr>
        <w:t>评分标准：</w:t>
      </w:r>
    </w:p>
    <w:p>
      <w:pPr>
        <w:pStyle w:val="12"/>
        <w:ind w:firstLine="560"/>
        <w:rPr>
          <w:rFonts w:cs="Times New Roman"/>
        </w:rPr>
      </w:pPr>
      <w:r>
        <w:rPr>
          <w:rFonts w:hint="eastAsia" w:ascii="宋体" w:hAnsi="宋体" w:eastAsia="宋体" w:cs="宋体"/>
        </w:rPr>
        <w:t>①</w:t>
      </w:r>
      <w:r>
        <w:rPr>
          <w:rFonts w:hint="eastAsia" w:cs="Times New Roman"/>
        </w:rPr>
        <w:t>是否有助于持续推动全区经济稳定增长</w:t>
      </w:r>
      <w:r>
        <w:rPr>
          <w:rFonts w:cs="Times New Roman"/>
        </w:rPr>
        <w:t>，</w:t>
      </w:r>
      <w:r>
        <w:rPr>
          <w:rFonts w:hint="eastAsia" w:cs="Times New Roman"/>
          <w:lang w:val="en-US" w:eastAsia="zh-C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cs="Times New Roman"/>
        </w:rPr>
        <w:t>是否有助于持续优化竞争机制，提升项目入库效率</w:t>
      </w:r>
      <w:r>
        <w:rPr>
          <w:rFonts w:cs="Times New Roman"/>
        </w:rPr>
        <w:t>，</w:t>
      </w:r>
      <w:r>
        <w:rPr>
          <w:rFonts w:hint="eastAsia" w:cs="Times New Roman"/>
          <w:lang w:val="en-US" w:eastAsia="zh-CN"/>
        </w:rPr>
        <w:t>3</w:t>
      </w:r>
      <w:r>
        <w:rPr>
          <w:rFonts w:cs="Times New Roman"/>
        </w:rPr>
        <w:t>分；</w:t>
      </w:r>
    </w:p>
    <w:p>
      <w:pPr>
        <w:pStyle w:val="12"/>
        <w:ind w:firstLine="560"/>
        <w:rPr>
          <w:rFonts w:cs="Times New Roman"/>
        </w:rPr>
      </w:pPr>
      <w:r>
        <w:rPr>
          <w:rFonts w:hint="eastAsia" w:ascii="宋体" w:hAnsi="宋体" w:eastAsia="宋体" w:cs="宋体"/>
        </w:rPr>
        <w:t>③</w:t>
      </w:r>
      <w:r>
        <w:rPr>
          <w:rFonts w:hint="eastAsia" w:cs="Times New Roman"/>
        </w:rPr>
        <w:t>是否有助于持续优化产业和投资结构</w:t>
      </w:r>
      <w:r>
        <w:rPr>
          <w:rFonts w:cs="Times New Roman"/>
        </w:rPr>
        <w:t>，</w:t>
      </w:r>
      <w:r>
        <w:rPr>
          <w:rFonts w:hint="eastAsia" w:cs="Times New Roman"/>
        </w:rPr>
        <w:t>2</w:t>
      </w:r>
      <w:r>
        <w:rPr>
          <w:rFonts w:cs="Times New Roman"/>
        </w:rPr>
        <w:t>分。</w:t>
      </w:r>
    </w:p>
    <w:p>
      <w:pPr>
        <w:pStyle w:val="12"/>
        <w:ind w:firstLine="562"/>
        <w:rPr>
          <w:rFonts w:cs="Times New Roman"/>
          <w:b/>
        </w:rPr>
      </w:pPr>
      <w:r>
        <w:rPr>
          <w:rFonts w:cs="Times New Roman"/>
          <w:b/>
        </w:rPr>
        <w:t>得分：</w:t>
      </w:r>
    </w:p>
    <w:p>
      <w:pPr>
        <w:pStyle w:val="12"/>
        <w:ind w:firstLine="560"/>
        <w:rPr>
          <w:rFonts w:cs="Times New Roman"/>
        </w:rPr>
      </w:pPr>
      <w:r>
        <w:rPr>
          <w:rFonts w:hint="eastAsia" w:ascii="宋体" w:hAnsi="宋体" w:eastAsia="宋体" w:cs="宋体"/>
        </w:rPr>
        <w:t>①</w:t>
      </w:r>
      <w:r>
        <w:rPr>
          <w:rFonts w:hint="eastAsia" w:ascii="仿宋" w:hAnsi="仿宋" w:cs="仿宋"/>
        </w:rPr>
        <w:t>2021年上半年，经过全区上下的共同努力，我区多项经济指标位于全市前列。</w:t>
      </w:r>
      <w:r>
        <w:rPr>
          <w:rFonts w:hint="eastAsia" w:cs="Times New Roman"/>
        </w:rPr>
        <w:t>有助于持续推动全区经济稳定增长</w:t>
      </w:r>
      <w:r>
        <w:rPr>
          <w:rFonts w:cs="Times New Roman"/>
        </w:rPr>
        <w:t>，得</w:t>
      </w:r>
      <w:r>
        <w:rPr>
          <w:rFonts w:hint="eastAsia" w:cs="Times New Roman"/>
          <w:lang w:val="en-US" w:eastAsia="zh-CN"/>
        </w:rPr>
        <w:t>3</w:t>
      </w:r>
      <w:r>
        <w:rPr>
          <w:rFonts w:cs="Times New Roman"/>
        </w:rPr>
        <w:t>分；</w:t>
      </w:r>
    </w:p>
    <w:p>
      <w:pPr>
        <w:pStyle w:val="12"/>
        <w:ind w:firstLine="560"/>
        <w:rPr>
          <w:rFonts w:cs="Times New Roman"/>
        </w:rPr>
      </w:pPr>
      <w:r>
        <w:rPr>
          <w:rFonts w:hint="eastAsia" w:ascii="宋体" w:hAnsi="宋体" w:eastAsia="宋体" w:cs="宋体"/>
        </w:rPr>
        <w:t>②</w:t>
      </w:r>
      <w:r>
        <w:rPr>
          <w:rFonts w:hint="eastAsia" w:ascii="仿宋" w:hAnsi="仿宋" w:cs="仿宋"/>
        </w:rPr>
        <w:t>针对项目入库存在漏报、瞒报等问题，存在不积极主动、压差上报等问题，创新工作方式方法，改变以往“谁的项目谁入库”的原则，实施全区项目“谁先报属于谁的项目"这一新规则，引入竞争机制，确保项目尽早尽快入库</w:t>
      </w:r>
      <w:r>
        <w:rPr>
          <w:rFonts w:cs="Times New Roman"/>
        </w:rPr>
        <w:t>，得</w:t>
      </w:r>
      <w:r>
        <w:rPr>
          <w:rFonts w:hint="eastAsia" w:cs="Times New Roman"/>
          <w:lang w:val="en-US" w:eastAsia="zh-CN"/>
        </w:rPr>
        <w:t>3</w:t>
      </w:r>
      <w:r>
        <w:rPr>
          <w:rFonts w:cs="Times New Roman"/>
        </w:rPr>
        <w:t>分；</w:t>
      </w:r>
    </w:p>
    <w:p>
      <w:pPr>
        <w:pStyle w:val="12"/>
        <w:ind w:firstLine="560"/>
        <w:rPr>
          <w:rFonts w:eastAsia="楷体_GB2312" w:cs="Times New Roman"/>
        </w:rPr>
      </w:pPr>
      <w:r>
        <w:rPr>
          <w:rFonts w:hint="eastAsia" w:ascii="宋体" w:hAnsi="宋体" w:eastAsia="宋体" w:cs="宋体"/>
        </w:rPr>
        <w:t>③</w:t>
      </w:r>
      <w:r>
        <w:rPr>
          <w:rFonts w:hint="eastAsia" w:ascii="仿宋" w:hAnsi="仿宋" w:cs="仿宋"/>
        </w:rPr>
        <w:t>实施全区项目“谁先报属于谁的项目"这一新规则，引入竞争机制</w:t>
      </w:r>
      <w:r>
        <w:rPr>
          <w:rFonts w:cs="Times New Roman"/>
        </w:rPr>
        <w:t>，</w:t>
      </w:r>
      <w:r>
        <w:rPr>
          <w:rFonts w:hint="eastAsia" w:cs="Times New Roman"/>
        </w:rPr>
        <w:t>有助于持续优化产业和投资结构，</w:t>
      </w:r>
      <w:r>
        <w:rPr>
          <w:rFonts w:cs="Times New Roman"/>
        </w:rPr>
        <w:t>得</w:t>
      </w:r>
      <w:r>
        <w:rPr>
          <w:rFonts w:hint="eastAsia" w:cs="Times New Roman"/>
        </w:rPr>
        <w:t>2</w:t>
      </w:r>
      <w:r>
        <w:rPr>
          <w:rFonts w:cs="Times New Roman"/>
        </w:rPr>
        <w:t>分。</w:t>
      </w:r>
    </w:p>
    <w:p>
      <w:pPr>
        <w:pStyle w:val="5"/>
        <w:ind w:firstLine="562"/>
        <w:rPr>
          <w:rFonts w:cs="Times New Roman"/>
        </w:rPr>
      </w:pPr>
      <w:bookmarkStart w:id="121" w:name="_Toc30680"/>
      <w:bookmarkStart w:id="122" w:name="_Toc67315606"/>
      <w:bookmarkStart w:id="123" w:name="_Toc18164"/>
      <w:r>
        <w:rPr>
          <w:rFonts w:hint="eastAsia" w:cs="Times New Roman"/>
          <w:lang w:val="en-US" w:eastAsia="zh-CN"/>
        </w:rPr>
        <w:t>3</w:t>
      </w:r>
      <w:r>
        <w:rPr>
          <w:rFonts w:hint="eastAsia" w:cs="Times New Roman"/>
        </w:rPr>
        <w:t>.社会公众满意度（权重1</w:t>
      </w:r>
      <w:r>
        <w:rPr>
          <w:rFonts w:hint="eastAsia" w:cs="Times New Roman"/>
          <w:lang w:val="en-US" w:eastAsia="zh-CN"/>
        </w:rPr>
        <w:t>4</w:t>
      </w:r>
      <w:r>
        <w:rPr>
          <w:rFonts w:hint="eastAsia" w:cs="Times New Roman"/>
        </w:rPr>
        <w:t>，得分1</w:t>
      </w:r>
      <w:r>
        <w:rPr>
          <w:rFonts w:hint="eastAsia" w:cs="Times New Roman"/>
          <w:lang w:val="en-US" w:eastAsia="zh-CN"/>
        </w:rPr>
        <w:t>4</w:t>
      </w:r>
      <w:r>
        <w:rPr>
          <w:rFonts w:hint="eastAsia" w:cs="Times New Roman"/>
        </w:rPr>
        <w:t>）</w:t>
      </w:r>
      <w:bookmarkEnd w:id="121"/>
      <w:bookmarkEnd w:id="122"/>
      <w:bookmarkEnd w:id="123"/>
    </w:p>
    <w:p>
      <w:pPr>
        <w:pStyle w:val="12"/>
        <w:ind w:firstLine="562"/>
        <w:rPr>
          <w:rFonts w:cs="Times New Roman"/>
          <w:b/>
        </w:rPr>
      </w:pPr>
      <w:r>
        <w:rPr>
          <w:rFonts w:cs="Times New Roman"/>
          <w:b/>
        </w:rPr>
        <w:t>评分标准：</w:t>
      </w:r>
    </w:p>
    <w:p>
      <w:pPr>
        <w:pStyle w:val="12"/>
        <w:ind w:firstLine="560"/>
        <w:rPr>
          <w:rFonts w:ascii="仿宋" w:hAnsi="仿宋" w:cs="仿宋"/>
        </w:rPr>
      </w:pPr>
      <w:r>
        <w:rPr>
          <w:rFonts w:hint="eastAsia" w:ascii="仿宋" w:hAnsi="仿宋" w:cs="仿宋"/>
        </w:rPr>
        <w:t>①上级主管部门的满意度≥95%，</w:t>
      </w:r>
      <w:r>
        <w:rPr>
          <w:rFonts w:hint="eastAsia" w:ascii="仿宋" w:hAnsi="仿宋" w:cs="仿宋"/>
          <w:lang w:val="en-US" w:eastAsia="zh-CN"/>
        </w:rPr>
        <w:t>7</w:t>
      </w:r>
      <w:r>
        <w:rPr>
          <w:rFonts w:hint="eastAsia" w:ascii="仿宋" w:hAnsi="仿宋" w:cs="仿宋"/>
        </w:rPr>
        <w:t>分；</w:t>
      </w:r>
    </w:p>
    <w:p>
      <w:pPr>
        <w:pStyle w:val="12"/>
        <w:ind w:firstLine="560"/>
        <w:rPr>
          <w:rFonts w:ascii="仿宋" w:hAnsi="仿宋" w:cs="仿宋"/>
        </w:rPr>
      </w:pPr>
      <w:r>
        <w:rPr>
          <w:rFonts w:hint="eastAsia" w:ascii="仿宋" w:hAnsi="仿宋" w:cs="仿宋"/>
        </w:rPr>
        <w:t>②群众的满意度≥95%，</w:t>
      </w:r>
      <w:r>
        <w:rPr>
          <w:rFonts w:hint="eastAsia" w:ascii="仿宋" w:hAnsi="仿宋" w:cs="仿宋"/>
          <w:lang w:val="en-US" w:eastAsia="zh-CN"/>
        </w:rPr>
        <w:t>7</w:t>
      </w:r>
      <w:r>
        <w:rPr>
          <w:rFonts w:hint="eastAsia" w:ascii="仿宋" w:hAnsi="仿宋" w:cs="仿宋"/>
        </w:rPr>
        <w:t>分。</w:t>
      </w:r>
    </w:p>
    <w:p>
      <w:pPr>
        <w:pStyle w:val="12"/>
        <w:ind w:firstLine="562"/>
        <w:rPr>
          <w:rFonts w:cs="Times New Roman"/>
          <w:b/>
        </w:rPr>
      </w:pPr>
      <w:r>
        <w:rPr>
          <w:rFonts w:cs="Times New Roman"/>
          <w:b/>
        </w:rPr>
        <w:t>得分：</w:t>
      </w:r>
    </w:p>
    <w:p>
      <w:pPr>
        <w:pStyle w:val="12"/>
        <w:ind w:firstLine="560"/>
        <w:rPr>
          <w:rFonts w:cs="Times New Roman"/>
        </w:rPr>
      </w:pPr>
      <w:r>
        <w:rPr>
          <w:rFonts w:cs="Times New Roman"/>
        </w:rPr>
        <w:t>通过问卷调查分析，</w:t>
      </w:r>
    </w:p>
    <w:p>
      <w:pPr>
        <w:pStyle w:val="12"/>
        <w:ind w:firstLine="560"/>
        <w:rPr>
          <w:rFonts w:ascii="仿宋" w:hAnsi="仿宋" w:cs="仿宋"/>
          <w:highlight w:val="none"/>
        </w:rPr>
      </w:pPr>
      <w:r>
        <w:rPr>
          <w:rFonts w:hint="eastAsia" w:ascii="仿宋" w:hAnsi="仿宋" w:cs="仿宋"/>
          <w:highlight w:val="none"/>
        </w:rPr>
        <w:t>①区党工委、管委会组织</w:t>
      </w:r>
      <w:r>
        <w:rPr>
          <w:rFonts w:hint="eastAsia" w:ascii="仿宋" w:hAnsi="仿宋" w:cs="仿宋"/>
          <w:highlight w:val="none"/>
          <w:lang w:eastAsia="zh-CN"/>
        </w:rPr>
        <w:t>等</w:t>
      </w:r>
      <w:r>
        <w:rPr>
          <w:rFonts w:hint="eastAsia" w:ascii="仿宋" w:hAnsi="仿宋" w:cs="仿宋"/>
          <w:highlight w:val="none"/>
        </w:rPr>
        <w:t>上级主管部门的满意度</w:t>
      </w:r>
      <w:r>
        <w:rPr>
          <w:rFonts w:hint="eastAsia" w:ascii="仿宋" w:hAnsi="仿宋" w:cs="仿宋"/>
          <w:highlight w:val="none"/>
          <w:lang w:val="en-US" w:eastAsia="zh-CN"/>
        </w:rPr>
        <w:t>为100%</w:t>
      </w:r>
      <w:r>
        <w:rPr>
          <w:rFonts w:hint="eastAsia" w:ascii="仿宋" w:hAnsi="仿宋" w:cs="仿宋"/>
          <w:highlight w:val="none"/>
        </w:rPr>
        <w:t>，</w:t>
      </w:r>
      <w:r>
        <w:rPr>
          <w:rFonts w:hint="eastAsia" w:ascii="仿宋" w:hAnsi="仿宋" w:cs="仿宋"/>
          <w:highlight w:val="none"/>
          <w:lang w:val="en-US" w:eastAsia="zh-CN"/>
        </w:rPr>
        <w:t>得7</w:t>
      </w:r>
      <w:r>
        <w:rPr>
          <w:rFonts w:hint="eastAsia" w:ascii="仿宋" w:hAnsi="仿宋" w:cs="仿宋"/>
          <w:highlight w:val="none"/>
        </w:rPr>
        <w:t>分；</w:t>
      </w:r>
    </w:p>
    <w:p>
      <w:pPr>
        <w:pStyle w:val="12"/>
        <w:ind w:firstLine="560"/>
        <w:rPr>
          <w:rFonts w:ascii="仿宋" w:hAnsi="仿宋" w:cs="仿宋"/>
          <w:highlight w:val="none"/>
        </w:rPr>
      </w:pPr>
      <w:r>
        <w:rPr>
          <w:rFonts w:hint="eastAsia" w:ascii="仿宋" w:hAnsi="仿宋" w:cs="仿宋"/>
          <w:highlight w:val="none"/>
        </w:rPr>
        <w:t>②</w:t>
      </w:r>
      <w:r>
        <w:rPr>
          <w:rFonts w:hint="eastAsia" w:ascii="仿宋" w:hAnsi="仿宋" w:cs="仿宋"/>
          <w:highlight w:val="none"/>
          <w:lang w:eastAsia="zh-CN"/>
        </w:rPr>
        <w:t>参与</w:t>
      </w:r>
      <w:r>
        <w:rPr>
          <w:rFonts w:hint="eastAsia" w:cs="Times New Roman"/>
          <w:highlight w:val="none"/>
        </w:rPr>
        <w:t>第七次全国人口普查</w:t>
      </w:r>
      <w:r>
        <w:rPr>
          <w:rFonts w:hint="eastAsia" w:ascii="仿宋" w:hAnsi="仿宋" w:cs="仿宋"/>
          <w:highlight w:val="none"/>
          <w:lang w:eastAsia="zh-CN"/>
        </w:rPr>
        <w:t>人员及普查群众</w:t>
      </w:r>
      <w:r>
        <w:rPr>
          <w:rFonts w:hint="eastAsia" w:ascii="仿宋" w:hAnsi="仿宋" w:cs="仿宋"/>
          <w:highlight w:val="none"/>
        </w:rPr>
        <w:t>的满意度</w:t>
      </w:r>
      <w:r>
        <w:rPr>
          <w:rFonts w:hint="eastAsia" w:ascii="仿宋" w:hAnsi="仿宋" w:cs="仿宋"/>
          <w:highlight w:val="none"/>
          <w:lang w:val="en-US" w:eastAsia="zh-CN"/>
        </w:rPr>
        <w:t>为100%</w:t>
      </w:r>
      <w:r>
        <w:rPr>
          <w:rFonts w:hint="eastAsia" w:ascii="仿宋" w:hAnsi="仿宋" w:cs="仿宋"/>
          <w:highlight w:val="none"/>
        </w:rPr>
        <w:t>，</w:t>
      </w:r>
      <w:r>
        <w:rPr>
          <w:rFonts w:hint="eastAsia" w:ascii="仿宋" w:hAnsi="仿宋" w:cs="仿宋"/>
          <w:highlight w:val="none"/>
          <w:lang w:val="en-US" w:eastAsia="zh-CN"/>
        </w:rPr>
        <w:t>得7</w:t>
      </w:r>
      <w:r>
        <w:rPr>
          <w:rFonts w:hint="eastAsia" w:ascii="仿宋" w:hAnsi="仿宋" w:cs="仿宋"/>
          <w:highlight w:val="none"/>
        </w:rPr>
        <w:t>分。</w:t>
      </w:r>
    </w:p>
    <w:p>
      <w:pPr>
        <w:pStyle w:val="3"/>
        <w:rPr>
          <w:rFonts w:cs="Times New Roman"/>
        </w:rPr>
      </w:pPr>
      <w:bookmarkStart w:id="124" w:name="_Toc25691"/>
      <w:bookmarkStart w:id="125" w:name="_Toc67315607"/>
      <w:bookmarkStart w:id="126" w:name="_Toc24565"/>
      <w:r>
        <w:rPr>
          <w:rFonts w:cs="Times New Roman"/>
        </w:rPr>
        <w:t>五、主要经验及做法、存在的问题及原因分析</w:t>
      </w:r>
      <w:bookmarkEnd w:id="124"/>
      <w:bookmarkEnd w:id="125"/>
      <w:bookmarkEnd w:id="126"/>
    </w:p>
    <w:p>
      <w:pPr>
        <w:pStyle w:val="4"/>
        <w:ind w:firstLine="602"/>
        <w:rPr>
          <w:rFonts w:cs="Times New Roman"/>
        </w:rPr>
      </w:pPr>
      <w:bookmarkStart w:id="127" w:name="_Toc27037"/>
      <w:bookmarkStart w:id="128" w:name="_Toc67315608"/>
      <w:bookmarkStart w:id="129" w:name="_Toc23685"/>
      <w:r>
        <w:rPr>
          <w:rFonts w:cs="Times New Roman"/>
        </w:rPr>
        <w:t>（一）主要经验及做法</w:t>
      </w:r>
      <w:bookmarkEnd w:id="127"/>
      <w:bookmarkEnd w:id="128"/>
      <w:bookmarkEnd w:id="129"/>
    </w:p>
    <w:p>
      <w:pPr>
        <w:adjustRightInd w:val="0"/>
        <w:spacing w:line="600" w:lineRule="exact"/>
        <w:ind w:right="320" w:firstLine="280" w:firstLineChars="100"/>
        <w:rPr>
          <w:rFonts w:hint="default" w:ascii="仿宋" w:hAnsi="仿宋" w:eastAsia="仿宋" w:cs="仿宋"/>
          <w:sz w:val="28"/>
          <w:szCs w:val="28"/>
          <w:lang w:val="en-US" w:eastAsia="zh-CN"/>
        </w:rPr>
      </w:pPr>
      <w:bookmarkStart w:id="130" w:name="_Toc67315611"/>
      <w:r>
        <w:rPr>
          <w:rFonts w:hint="eastAsia" w:ascii="仿宋" w:hAnsi="仿宋" w:eastAsia="仿宋" w:cs="仿宋"/>
          <w:sz w:val="28"/>
          <w:szCs w:val="28"/>
          <w:lang w:val="en-US" w:eastAsia="zh-CN"/>
        </w:rPr>
        <w:t>1.提高工作标准，保障“两员”权益</w:t>
      </w:r>
    </w:p>
    <w:p>
      <w:pPr>
        <w:adjustRightInd w:val="0"/>
        <w:spacing w:line="600" w:lineRule="exact"/>
        <w:ind w:right="320" w:firstLine="280" w:firstLineChars="100"/>
        <w:rPr>
          <w:rFonts w:hint="eastAsia" w:ascii="仿宋" w:hAnsi="仿宋" w:eastAsia="仿宋" w:cs="仿宋"/>
          <w:sz w:val="28"/>
          <w:szCs w:val="28"/>
        </w:rPr>
      </w:pPr>
      <w:r>
        <w:rPr>
          <w:rFonts w:hint="eastAsia" w:ascii="仿宋" w:hAnsi="仿宋" w:eastAsia="仿宋" w:cs="仿宋"/>
          <w:sz w:val="28"/>
          <w:szCs w:val="28"/>
        </w:rPr>
        <w:t>严格按照国务院第七次全国人口普查领导小组办公室、财政部、人力资源和社会保障部、国家统计局四部门联合下发的文件要求，</w:t>
      </w:r>
      <w:r>
        <w:rPr>
          <w:rFonts w:hint="eastAsia" w:ascii="仿宋" w:hAnsi="仿宋" w:eastAsia="仿宋" w:cs="仿宋"/>
          <w:b/>
          <w:bCs/>
          <w:sz w:val="28"/>
          <w:szCs w:val="28"/>
        </w:rPr>
        <w:t>一是</w:t>
      </w:r>
      <w:r>
        <w:rPr>
          <w:rFonts w:hint="eastAsia" w:ascii="仿宋" w:hAnsi="仿宋" w:eastAsia="仿宋" w:cs="仿宋"/>
          <w:sz w:val="28"/>
          <w:szCs w:val="28"/>
        </w:rPr>
        <w:t>要求后谢镇普查办、湘江路管理办公室普查办进一步核实“两员”名单，做到实事求是，不虚报不漏报，保障好两员人员的权益。</w:t>
      </w:r>
      <w:r>
        <w:rPr>
          <w:rFonts w:hint="eastAsia" w:ascii="仿宋" w:hAnsi="仿宋" w:eastAsia="仿宋" w:cs="仿宋"/>
          <w:b/>
          <w:bCs/>
          <w:sz w:val="28"/>
          <w:szCs w:val="28"/>
        </w:rPr>
        <w:t>二是</w:t>
      </w:r>
      <w:r>
        <w:rPr>
          <w:rFonts w:hint="eastAsia" w:ascii="仿宋" w:hAnsi="仿宋" w:eastAsia="仿宋" w:cs="仿宋"/>
          <w:sz w:val="28"/>
          <w:szCs w:val="28"/>
        </w:rPr>
        <w:t>区领导重视支持。区领导明确要求财政局把两员报酬高标准，足额拨付到位。</w:t>
      </w:r>
      <w:r>
        <w:rPr>
          <w:rFonts w:hint="eastAsia" w:ascii="仿宋" w:hAnsi="仿宋" w:eastAsia="仿宋" w:cs="仿宋"/>
          <w:b/>
          <w:bCs/>
          <w:sz w:val="28"/>
          <w:szCs w:val="28"/>
        </w:rPr>
        <w:t>三是</w:t>
      </w:r>
      <w:r>
        <w:rPr>
          <w:rFonts w:hint="eastAsia" w:ascii="仿宋" w:hAnsi="仿宋" w:eastAsia="仿宋" w:cs="仿宋"/>
          <w:sz w:val="28"/>
          <w:szCs w:val="28"/>
        </w:rPr>
        <w:t>积极和财政局沟通协调，资金优先安排人口普查“两员”报酬。</w:t>
      </w:r>
    </w:p>
    <w:p>
      <w:pPr>
        <w:adjustRightInd w:val="0"/>
        <w:spacing w:line="600" w:lineRule="exact"/>
        <w:ind w:right="320" w:firstLine="280" w:firstLineChars="1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.引入竞争机制，确保项目尽快入库</w:t>
      </w:r>
    </w:p>
    <w:p>
      <w:pPr>
        <w:adjustRightInd w:val="0"/>
        <w:spacing w:line="600" w:lineRule="exact"/>
        <w:ind w:right="320" w:firstLine="280" w:firstLineChars="100"/>
        <w:rPr>
          <w:rFonts w:ascii="仿宋" w:hAnsi="仿宋" w:eastAsia="仿宋" w:cs="仿宋"/>
          <w:sz w:val="28"/>
          <w:szCs w:val="28"/>
        </w:rPr>
      </w:pPr>
      <w:r>
        <w:rPr>
          <w:rFonts w:hint="eastAsia" w:ascii="仿宋" w:hAnsi="仿宋" w:eastAsia="仿宋" w:cs="仿宋"/>
          <w:sz w:val="28"/>
          <w:szCs w:val="28"/>
        </w:rPr>
        <w:t>针对项目入库存在漏报、瞒报等问题，存在不积极主动、压差上报等问题，创新工作方式方法，改变以往“谁的项目谁入库”的原则，实施全区项目“谁先报属于谁的项目"这一新规则，引入竞争机制，确保项目尽早尽快入库。</w:t>
      </w:r>
    </w:p>
    <w:p>
      <w:pPr>
        <w:pStyle w:val="4"/>
        <w:ind w:firstLine="602"/>
        <w:rPr>
          <w:rFonts w:cs="Times New Roman"/>
        </w:rPr>
      </w:pPr>
      <w:bookmarkStart w:id="131" w:name="_Toc13928"/>
      <w:bookmarkStart w:id="132" w:name="_Toc19213"/>
      <w:r>
        <w:rPr>
          <w:rFonts w:cs="Times New Roman"/>
        </w:rPr>
        <w:t>（二）存在的问题及原因分析</w:t>
      </w:r>
      <w:bookmarkEnd w:id="130"/>
      <w:bookmarkEnd w:id="131"/>
      <w:bookmarkEnd w:id="132"/>
    </w:p>
    <w:p>
      <w:pPr>
        <w:pStyle w:val="12"/>
        <w:ind w:left="320" w:right="320" w:firstLine="560"/>
        <w:rPr>
          <w:rFonts w:cs="Times New Roman"/>
        </w:rPr>
      </w:pPr>
      <w:r>
        <w:rPr>
          <w:rFonts w:cs="Times New Roman"/>
        </w:rPr>
        <w:t>从评价结果看，资金使用效果较明显，充分发挥出专项资金的使用效益。但在预算</w:t>
      </w:r>
      <w:r>
        <w:rPr>
          <w:rFonts w:hint="eastAsia" w:cs="Times New Roman"/>
        </w:rPr>
        <w:t>管理</w:t>
      </w:r>
      <w:r>
        <w:rPr>
          <w:rFonts w:cs="Times New Roman"/>
        </w:rPr>
        <w:t>、成本管控</w:t>
      </w:r>
      <w:r>
        <w:rPr>
          <w:rFonts w:hint="eastAsia" w:cs="Times New Roman"/>
        </w:rPr>
        <w:t>、制度建设</w:t>
      </w:r>
      <w:r>
        <w:rPr>
          <w:rFonts w:cs="Times New Roman"/>
        </w:rPr>
        <w:t>等方面还存在一些问题。主要有以下几个方面：</w:t>
      </w:r>
    </w:p>
    <w:p>
      <w:pPr>
        <w:pStyle w:val="5"/>
        <w:ind w:firstLine="562"/>
        <w:rPr>
          <w:rFonts w:cs="Times New Roman"/>
        </w:rPr>
      </w:pPr>
      <w:bookmarkStart w:id="133" w:name="_Toc17286"/>
      <w:bookmarkStart w:id="134" w:name="_Toc25080"/>
      <w:r>
        <w:rPr>
          <w:rFonts w:hint="eastAsia" w:cs="Times New Roman"/>
        </w:rPr>
        <w:t>1.预算管理有待提高</w:t>
      </w:r>
      <w:bookmarkEnd w:id="133"/>
      <w:bookmarkEnd w:id="134"/>
    </w:p>
    <w:p>
      <w:pPr>
        <w:pStyle w:val="12"/>
        <w:ind w:firstLine="478" w:firstLineChars="171"/>
        <w:rPr>
          <w:rFonts w:cs="Times New Roman"/>
        </w:rPr>
      </w:pPr>
      <w:r>
        <w:rPr>
          <w:rFonts w:hint="eastAsia" w:cs="Times New Roman"/>
          <w:highlight w:val="none"/>
        </w:rPr>
        <w:t>漯河经济技术开发区统计中心</w:t>
      </w:r>
      <w:r>
        <w:rPr>
          <w:rFonts w:cs="Times New Roman"/>
          <w:highlight w:val="none"/>
        </w:rPr>
        <w:t>提供的</w:t>
      </w:r>
      <w:r>
        <w:rPr>
          <w:rFonts w:hint="eastAsia" w:cs="Times New Roman"/>
          <w:highlight w:val="none"/>
        </w:rPr>
        <w:t>项目支出</w:t>
      </w:r>
      <w:r>
        <w:rPr>
          <w:rFonts w:cs="Times New Roman"/>
          <w:highlight w:val="none"/>
        </w:rPr>
        <w:t>自评报告和相关资料显示</w:t>
      </w:r>
      <w:r>
        <w:rPr>
          <w:rFonts w:hint="eastAsia" w:cs="Times New Roman"/>
          <w:highlight w:val="none"/>
        </w:rPr>
        <w:t>，预算</w:t>
      </w:r>
      <w:r>
        <w:rPr>
          <w:rFonts w:cs="Times New Roman"/>
          <w:highlight w:val="none"/>
        </w:rPr>
        <w:t>支出和实际执行支出存在差额</w:t>
      </w:r>
      <w:r>
        <w:rPr>
          <w:rFonts w:hint="eastAsia" w:cs="Times New Roman"/>
          <w:highlight w:val="none"/>
        </w:rPr>
        <w:t>，未及时对预算变动内容进行调整</w:t>
      </w:r>
      <w:r>
        <w:rPr>
          <w:rFonts w:hint="eastAsia" w:cs="Times New Roman"/>
          <w:highlight w:val="none"/>
          <w:lang w:eastAsia="zh-CN"/>
        </w:rPr>
        <w:t>，</w:t>
      </w:r>
      <w:r>
        <w:rPr>
          <w:rFonts w:hint="eastAsia" w:cs="Times New Roman"/>
        </w:rPr>
        <w:t>在</w:t>
      </w:r>
      <w:r>
        <w:rPr>
          <w:rFonts w:cs="Times New Roman"/>
        </w:rPr>
        <w:t>执行中未对差额产生的原因进行分析总结</w:t>
      </w:r>
      <w:r>
        <w:rPr>
          <w:rFonts w:hint="eastAsia" w:cs="Times New Roman"/>
        </w:rPr>
        <w:t>，</w:t>
      </w:r>
      <w:r>
        <w:rPr>
          <w:rFonts w:cs="Times New Roman"/>
        </w:rPr>
        <w:t>不利于提高资金使用效率。</w:t>
      </w:r>
    </w:p>
    <w:p>
      <w:pPr>
        <w:pStyle w:val="5"/>
        <w:ind w:firstLine="562"/>
        <w:rPr>
          <w:rFonts w:cs="Times New Roman"/>
        </w:rPr>
      </w:pPr>
      <w:bookmarkStart w:id="135" w:name="_Toc26144"/>
      <w:bookmarkStart w:id="136" w:name="_Toc2081"/>
      <w:r>
        <w:rPr>
          <w:rFonts w:hint="eastAsia" w:cs="Times New Roman"/>
        </w:rPr>
        <w:t>2.成本管控不到位</w:t>
      </w:r>
      <w:bookmarkEnd w:id="135"/>
      <w:bookmarkEnd w:id="136"/>
    </w:p>
    <w:p>
      <w:pPr>
        <w:pStyle w:val="12"/>
        <w:ind w:firstLine="560"/>
        <w:rPr>
          <w:rFonts w:cs="Times New Roman"/>
        </w:rPr>
      </w:pPr>
      <w:r>
        <w:rPr>
          <w:rFonts w:cs="Times New Roman"/>
        </w:rPr>
        <w:t>在该</w:t>
      </w:r>
      <w:r>
        <w:rPr>
          <w:rFonts w:hint="eastAsia" w:cs="Times New Roman"/>
        </w:rPr>
        <w:t>单位</w:t>
      </w:r>
      <w:r>
        <w:rPr>
          <w:rFonts w:cs="Times New Roman"/>
        </w:rPr>
        <w:t>提供的相关资料里</w:t>
      </w:r>
      <w:r>
        <w:rPr>
          <w:rFonts w:hint="eastAsia" w:cs="Times New Roman"/>
        </w:rPr>
        <w:t>，缺少</w:t>
      </w:r>
      <w:r>
        <w:rPr>
          <w:rFonts w:cs="Times New Roman"/>
        </w:rPr>
        <w:t>对成</w:t>
      </w:r>
      <w:r>
        <w:rPr>
          <w:rFonts w:hint="eastAsia" w:cs="Times New Roman"/>
          <w:lang w:eastAsia="zh-CN"/>
        </w:rPr>
        <w:t>本</w:t>
      </w:r>
      <w:r>
        <w:rPr>
          <w:rFonts w:cs="Times New Roman"/>
        </w:rPr>
        <w:t>管控的制度规定</w:t>
      </w:r>
      <w:r>
        <w:rPr>
          <w:rFonts w:hint="eastAsia" w:cs="Times New Roman"/>
        </w:rPr>
        <w:t>及管控措施，在</w:t>
      </w:r>
      <w:r>
        <w:rPr>
          <w:rFonts w:hint="eastAsia" w:cs="Times New Roman"/>
          <w:lang w:eastAsia="zh-CN"/>
        </w:rPr>
        <w:t>分项</w:t>
      </w:r>
      <w:r>
        <w:rPr>
          <w:rFonts w:hint="eastAsia" w:cs="Times New Roman"/>
        </w:rPr>
        <w:t>实际</w:t>
      </w:r>
      <w:r>
        <w:rPr>
          <w:rFonts w:hint="eastAsia" w:cs="Times New Roman"/>
          <w:lang w:eastAsia="zh-CN"/>
        </w:rPr>
        <w:t>支出</w:t>
      </w:r>
      <w:r>
        <w:rPr>
          <w:rFonts w:hint="eastAsia" w:cs="Times New Roman"/>
        </w:rPr>
        <w:t>与预算支出出入较大时，亦未对原因进行分析，未及时进行</w:t>
      </w:r>
      <w:r>
        <w:rPr>
          <w:rFonts w:hint="eastAsia" w:cs="Times New Roman"/>
          <w:lang w:eastAsia="zh-CN"/>
        </w:rPr>
        <w:t>预算调剂</w:t>
      </w:r>
      <w:r>
        <w:rPr>
          <w:rFonts w:hint="eastAsia" w:cs="Times New Roman"/>
        </w:rPr>
        <w:t>及审批，</w:t>
      </w:r>
      <w:r>
        <w:rPr>
          <w:rFonts w:cs="Times New Roman"/>
        </w:rPr>
        <w:t>无法及时优化资金</w:t>
      </w:r>
      <w:r>
        <w:rPr>
          <w:rFonts w:hint="eastAsia" w:cs="Times New Roman"/>
        </w:rPr>
        <w:t>使用，</w:t>
      </w:r>
      <w:r>
        <w:rPr>
          <w:rFonts w:cs="Times New Roman"/>
        </w:rPr>
        <w:t>成本管控不到位。</w:t>
      </w:r>
    </w:p>
    <w:p>
      <w:pPr>
        <w:pStyle w:val="5"/>
        <w:ind w:firstLine="562"/>
        <w:rPr>
          <w:rFonts w:cs="Times New Roman"/>
        </w:rPr>
      </w:pPr>
      <w:bookmarkStart w:id="137" w:name="_Toc29475"/>
      <w:bookmarkStart w:id="138" w:name="_Toc23958"/>
      <w:r>
        <w:rPr>
          <w:rFonts w:hint="eastAsia" w:cs="Times New Roman"/>
        </w:rPr>
        <w:t>3.制度建设需进一步完善</w:t>
      </w:r>
      <w:bookmarkEnd w:id="137"/>
      <w:bookmarkEnd w:id="138"/>
    </w:p>
    <w:p>
      <w:pPr>
        <w:pStyle w:val="12"/>
        <w:ind w:firstLine="560"/>
        <w:rPr>
          <w:rFonts w:cs="Times New Roman"/>
        </w:rPr>
      </w:pPr>
      <w:r>
        <w:rPr>
          <w:rFonts w:hint="eastAsia" w:cs="Times New Roman"/>
        </w:rPr>
        <w:t>通过</w:t>
      </w:r>
      <w:r>
        <w:rPr>
          <w:rFonts w:cs="Times New Roman"/>
        </w:rPr>
        <w:t>此次绩效评价</w:t>
      </w:r>
      <w:r>
        <w:rPr>
          <w:rFonts w:hint="eastAsia" w:cs="Times New Roman"/>
        </w:rPr>
        <w:t>，</w:t>
      </w:r>
      <w:r>
        <w:rPr>
          <w:rFonts w:cs="Times New Roman"/>
        </w:rPr>
        <w:t>评价小组发现该部门虽按照国家或政府出台的相关制度开展工作</w:t>
      </w:r>
      <w:r>
        <w:rPr>
          <w:rFonts w:hint="eastAsia" w:cs="Times New Roman"/>
        </w:rPr>
        <w:t>，但</w:t>
      </w:r>
      <w:r>
        <w:rPr>
          <w:rFonts w:cs="Times New Roman"/>
        </w:rPr>
        <w:t>缺少根据业务情况制定的内部</w:t>
      </w:r>
      <w:r>
        <w:rPr>
          <w:rFonts w:hint="eastAsia" w:cs="Times New Roman"/>
        </w:rPr>
        <w:t>业务</w:t>
      </w:r>
      <w:r>
        <w:rPr>
          <w:rFonts w:cs="Times New Roman"/>
        </w:rPr>
        <w:t>管理</w:t>
      </w:r>
      <w:r>
        <w:rPr>
          <w:rFonts w:hint="eastAsia" w:cs="Times New Roman"/>
        </w:rPr>
        <w:t>、预算管理等管理制度，存在具体工作缺少内部执行依据和细节把控的问题</w:t>
      </w:r>
      <w:r>
        <w:rPr>
          <w:rFonts w:cs="Times New Roman"/>
        </w:rPr>
        <w:t>。</w:t>
      </w:r>
    </w:p>
    <w:p>
      <w:pPr>
        <w:pStyle w:val="3"/>
        <w:rPr>
          <w:rFonts w:cs="Times New Roman"/>
        </w:rPr>
      </w:pPr>
      <w:bookmarkStart w:id="139" w:name="_Toc67315612"/>
      <w:bookmarkStart w:id="140" w:name="_Toc13719"/>
      <w:bookmarkStart w:id="141" w:name="_Toc11094"/>
      <w:r>
        <w:rPr>
          <w:rFonts w:cs="Times New Roman"/>
        </w:rPr>
        <w:t>六、有关建议</w:t>
      </w:r>
      <w:bookmarkEnd w:id="139"/>
      <w:bookmarkEnd w:id="140"/>
      <w:bookmarkEnd w:id="141"/>
    </w:p>
    <w:p>
      <w:pPr>
        <w:pStyle w:val="12"/>
        <w:ind w:left="320" w:right="320" w:firstLine="560"/>
        <w:rPr>
          <w:rFonts w:cs="Times New Roman"/>
        </w:rPr>
      </w:pPr>
      <w:r>
        <w:rPr>
          <w:rFonts w:cs="Times New Roman"/>
        </w:rPr>
        <w:t>在今后的工作的工作开展中，应严格按照预算绩效管理规定，进一步强化资金监管、提升项目管理、疏堵管理漏洞，切实将预算绩效管理各项改革任务落到实处，全面提升财政资金使用绩效。建议从以下几点提升：</w:t>
      </w:r>
    </w:p>
    <w:p>
      <w:pPr>
        <w:pStyle w:val="5"/>
        <w:ind w:firstLine="562"/>
        <w:rPr>
          <w:rFonts w:cs="Times New Roman"/>
        </w:rPr>
      </w:pPr>
      <w:bookmarkStart w:id="142" w:name="_Toc67315613"/>
      <w:bookmarkStart w:id="143" w:name="_Toc6646"/>
      <w:bookmarkStart w:id="144" w:name="_Toc9708"/>
      <w:r>
        <w:rPr>
          <w:rFonts w:hint="eastAsia" w:cs="Times New Roman"/>
        </w:rPr>
        <w:t>1.</w:t>
      </w:r>
      <w:bookmarkEnd w:id="142"/>
      <w:r>
        <w:rPr>
          <w:rFonts w:hint="eastAsia" w:cs="Times New Roman"/>
        </w:rPr>
        <w:t>提升预算管理的合理性</w:t>
      </w:r>
      <w:bookmarkEnd w:id="143"/>
      <w:bookmarkEnd w:id="144"/>
    </w:p>
    <w:p>
      <w:pPr>
        <w:pStyle w:val="12"/>
        <w:ind w:firstLine="560"/>
        <w:rPr>
          <w:rFonts w:cs="Times New Roman"/>
        </w:rPr>
      </w:pPr>
      <w:r>
        <w:rPr>
          <w:rFonts w:cs="Times New Roman"/>
        </w:rPr>
        <w:t>每年定期分析当年预算执行情况，及时提出资金分配和使用优化措施，并及时落实优化措施。年末编制预算时充分考虑部门运行的可持续性和未来一年的工作重点，从节约成本和资金使用效益效率最大化目的出发，编制下年度资金预算。</w:t>
      </w:r>
    </w:p>
    <w:p>
      <w:pPr>
        <w:pStyle w:val="5"/>
        <w:ind w:firstLine="562"/>
        <w:rPr>
          <w:rFonts w:cs="Times New Roman"/>
        </w:rPr>
      </w:pPr>
      <w:bookmarkStart w:id="145" w:name="_Toc67315615"/>
      <w:bookmarkStart w:id="146" w:name="_Toc28952"/>
      <w:bookmarkStart w:id="147" w:name="_Toc24600"/>
      <w:r>
        <w:rPr>
          <w:rFonts w:hint="eastAsia" w:cs="Times New Roman"/>
        </w:rPr>
        <w:t>2.</w:t>
      </w:r>
      <w:bookmarkEnd w:id="145"/>
      <w:r>
        <w:rPr>
          <w:rFonts w:hint="eastAsia" w:cs="Times New Roman"/>
        </w:rPr>
        <w:t>加强成本管控</w:t>
      </w:r>
      <w:bookmarkEnd w:id="146"/>
      <w:bookmarkEnd w:id="147"/>
    </w:p>
    <w:p>
      <w:pPr>
        <w:pStyle w:val="12"/>
        <w:ind w:firstLine="560"/>
        <w:rPr>
          <w:rFonts w:cs="Times New Roman"/>
        </w:rPr>
      </w:pPr>
      <w:r>
        <w:rPr>
          <w:rFonts w:cs="Times New Roman"/>
        </w:rPr>
        <w:t>根据部门全年工作和重点工作计划及实施情况，建立项目管理机制，对项目实施过程中的关键节点进行分析和把控，引入科学先进的管理理念，优化管理方案，加强成本管控</w:t>
      </w:r>
      <w:r>
        <w:rPr>
          <w:rFonts w:hint="eastAsia" w:cs="Times New Roman"/>
        </w:rPr>
        <w:t>，</w:t>
      </w:r>
      <w:r>
        <w:rPr>
          <w:rFonts w:cs="Times New Roman"/>
        </w:rPr>
        <w:t>做到综合利用资源，高质量、高效益</w:t>
      </w:r>
      <w:r>
        <w:rPr>
          <w:rFonts w:hint="eastAsia" w:cs="Times New Roman"/>
        </w:rPr>
        <w:t>、</w:t>
      </w:r>
      <w:r>
        <w:rPr>
          <w:rFonts w:cs="Times New Roman"/>
        </w:rPr>
        <w:t>低成本的完成</w:t>
      </w:r>
      <w:r>
        <w:rPr>
          <w:rFonts w:hint="eastAsia" w:cs="Times New Roman"/>
        </w:rPr>
        <w:t>工作</w:t>
      </w:r>
      <w:r>
        <w:rPr>
          <w:rFonts w:cs="Times New Roman"/>
        </w:rPr>
        <w:t>。</w:t>
      </w:r>
    </w:p>
    <w:p>
      <w:pPr>
        <w:pStyle w:val="5"/>
        <w:ind w:firstLine="562"/>
        <w:rPr>
          <w:rFonts w:cs="Times New Roman"/>
        </w:rPr>
      </w:pPr>
      <w:bookmarkStart w:id="148" w:name="_Toc2213"/>
      <w:bookmarkStart w:id="149" w:name="_Toc29567"/>
      <w:r>
        <w:rPr>
          <w:rFonts w:hint="eastAsia" w:cs="Times New Roman"/>
        </w:rPr>
        <w:t>3. 全面建立内控体系</w:t>
      </w:r>
      <w:bookmarkEnd w:id="148"/>
      <w:bookmarkEnd w:id="149"/>
    </w:p>
    <w:p>
      <w:pPr>
        <w:pStyle w:val="12"/>
        <w:ind w:firstLine="560"/>
        <w:rPr>
          <w:rFonts w:cs="Times New Roman"/>
        </w:rPr>
      </w:pPr>
      <w:r>
        <w:rPr>
          <w:rFonts w:hint="eastAsia" w:cs="Times New Roman"/>
        </w:rPr>
        <w:t>根据部门业务开展情况，建立以制度为基础，内控为抓手的内控体系，制定财务管理、资金管理、业务管理、预算管理等具体管理制度，促进制度建设的全面系统性；梳理工作开展的关键点及风险点，制定控制措施，强化执行依据，提升管理效率。</w:t>
      </w:r>
      <w:bookmarkStart w:id="150" w:name="_Toc11794"/>
      <w:bookmarkStart w:id="151" w:name="_Toc67315616"/>
    </w:p>
    <w:p>
      <w:pPr>
        <w:pStyle w:val="3"/>
      </w:pPr>
      <w:bookmarkStart w:id="152" w:name="_Toc29815"/>
      <w:r>
        <w:t>七、其他需要说明的问题</w:t>
      </w:r>
      <w:bookmarkEnd w:id="150"/>
      <w:bookmarkEnd w:id="151"/>
      <w:bookmarkEnd w:id="152"/>
    </w:p>
    <w:p>
      <w:pPr>
        <w:pStyle w:val="12"/>
        <w:ind w:firstLine="560"/>
        <w:rPr>
          <w:rFonts w:cs="Times New Roman"/>
        </w:rPr>
        <w:sectPr>
          <w:pgSz w:w="11906" w:h="16838"/>
          <w:pgMar w:top="1440" w:right="1800" w:bottom="1440" w:left="1800" w:header="851" w:footer="992" w:gutter="0"/>
          <w:cols w:space="425" w:num="1"/>
          <w:titlePg/>
          <w:docGrid w:type="lines" w:linePitch="435" w:charSpace="0"/>
        </w:sectPr>
      </w:pPr>
      <w:r>
        <w:rPr>
          <w:rFonts w:cs="Times New Roman"/>
        </w:rPr>
        <w:t>本绩效评估报告的绩效评估指标体系采纳《河南省省级预算绩效评价管理办法》中“省级财政预算项目绩效评价指标体系”的主要框架和重要指标，并根据项目的个性化情况，对部分指标进行了合理的修改和补充。</w:t>
      </w:r>
    </w:p>
    <w:p>
      <w:pPr>
        <w:pStyle w:val="3"/>
        <w:rPr>
          <w:rFonts w:cs="Times New Roman"/>
        </w:rPr>
      </w:pPr>
      <w:bookmarkStart w:id="153" w:name="_Toc28863"/>
      <w:bookmarkStart w:id="154" w:name="_Toc32053"/>
      <w:bookmarkStart w:id="155" w:name="_Toc67315617"/>
      <w:r>
        <w:rPr>
          <w:rFonts w:cs="Times New Roman"/>
        </w:rPr>
        <w:t>八、附件</w:t>
      </w:r>
      <w:bookmarkEnd w:id="153"/>
      <w:bookmarkEnd w:id="154"/>
      <w:bookmarkEnd w:id="155"/>
    </w:p>
    <w:p>
      <w:pPr>
        <w:pStyle w:val="12"/>
        <w:ind w:firstLine="560"/>
        <w:rPr>
          <w:rFonts w:cs="Times New Roman"/>
        </w:rPr>
      </w:pPr>
      <w:r>
        <w:rPr>
          <w:rFonts w:cs="Times New Roman"/>
        </w:rPr>
        <w:t>附件1：</w:t>
      </w:r>
      <w:r>
        <w:rPr>
          <w:rFonts w:hint="eastAsia" w:cs="Times New Roman"/>
        </w:rPr>
        <w:t>漯河经济技术开发区统计中心</w:t>
      </w:r>
      <w:r>
        <w:rPr>
          <w:rFonts w:cs="Times New Roman"/>
        </w:rPr>
        <w:t>预算项目绩效目标申报表</w:t>
      </w:r>
    </w:p>
    <w:p>
      <w:pPr>
        <w:pStyle w:val="12"/>
        <w:ind w:firstLine="560"/>
        <w:rPr>
          <w:rFonts w:cs="Times New Roman"/>
        </w:rPr>
      </w:pPr>
      <w:r>
        <w:rPr>
          <w:rFonts w:cs="Times New Roman"/>
        </w:rPr>
        <w:t>附件2：</w:t>
      </w:r>
      <w:r>
        <w:rPr>
          <w:rFonts w:hint="eastAsia" w:cs="Times New Roman"/>
        </w:rPr>
        <w:t>漯河经济技术开发区统计中心</w:t>
      </w:r>
      <w:r>
        <w:rPr>
          <w:rFonts w:cs="Times New Roman"/>
        </w:rPr>
        <w:t>“</w:t>
      </w:r>
      <w:r>
        <w:rPr>
          <w:rFonts w:hint="eastAsia" w:cs="Times New Roman"/>
        </w:rPr>
        <w:t>统计各专业工作经费</w:t>
      </w:r>
      <w:r>
        <w:rPr>
          <w:rFonts w:cs="Times New Roman"/>
        </w:rPr>
        <w:t>”项目支出绩效评价指标体系</w:t>
      </w:r>
    </w:p>
    <w:p>
      <w:pPr>
        <w:pStyle w:val="12"/>
        <w:ind w:firstLine="560"/>
        <w:rPr>
          <w:rFonts w:cs="Times New Roman"/>
        </w:rPr>
      </w:pPr>
      <w:r>
        <w:rPr>
          <w:rFonts w:cs="Times New Roman"/>
        </w:rPr>
        <w:t>附件3：</w:t>
      </w:r>
      <w:r>
        <w:rPr>
          <w:rFonts w:hint="eastAsia" w:cs="Times New Roman"/>
        </w:rPr>
        <w:t>漯河经济技术开发区统计中心</w:t>
      </w:r>
      <w:r>
        <w:rPr>
          <w:rFonts w:cs="Times New Roman"/>
        </w:rPr>
        <w:t>“</w:t>
      </w:r>
      <w:r>
        <w:rPr>
          <w:rFonts w:hint="eastAsia" w:cs="Times New Roman"/>
        </w:rPr>
        <w:t>统计各专业工作经费</w:t>
      </w:r>
      <w:r>
        <w:rPr>
          <w:rFonts w:cs="Times New Roman"/>
        </w:rPr>
        <w:t>”项目支出绩效评价指标得分情况分布图</w:t>
      </w:r>
    </w:p>
    <w:p>
      <w:pPr>
        <w:pStyle w:val="12"/>
        <w:ind w:firstLine="560"/>
        <w:rPr>
          <w:rFonts w:cs="Times New Roman"/>
        </w:rPr>
      </w:pPr>
      <w:r>
        <w:rPr>
          <w:rFonts w:cs="Times New Roman"/>
        </w:rPr>
        <w:t>附件4：绩效评价小组人员签字表</w:t>
      </w:r>
    </w:p>
    <w:p>
      <w:pPr>
        <w:pStyle w:val="12"/>
        <w:ind w:firstLine="560"/>
        <w:rPr>
          <w:rFonts w:cs="Times New Roman"/>
        </w:rPr>
      </w:pPr>
      <w:r>
        <w:rPr>
          <w:rFonts w:cs="Times New Roman"/>
        </w:rPr>
        <w:t>附件5：问卷调查内容</w:t>
      </w:r>
    </w:p>
    <w:p>
      <w:pPr>
        <w:widowControl/>
        <w:spacing w:line="240" w:lineRule="auto"/>
        <w:ind w:left="0" w:leftChars="0" w:right="0" w:rightChars="0"/>
        <w:jc w:val="left"/>
        <w:rPr>
          <w:rFonts w:cs="Times New Roman"/>
        </w:rPr>
      </w:pPr>
    </w:p>
    <w:sectPr>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III</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27</w:t>
    </w:r>
    <w:r>
      <w:rPr>
        <w:rFonts w:ascii="Times New Roman" w:hAnsi="Times New Roman" w:eastAsia="仿宋" w:cs="Times New Roman"/>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1</w:t>
    </w:r>
    <w:r>
      <w:rPr>
        <w:rFonts w:ascii="Times New Roman" w:hAnsi="Times New Roman" w:eastAsia="仿宋" w:cs="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统计各专业工作经费支出绩效评价报告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统计各专业工作经费支出绩效评价报告</w:t>
    </w:r>
  </w:p>
  <w:p>
    <w:pPr>
      <w:pStyle w:val="17"/>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tabs>
        <w:tab w:val="left" w:pos="7245"/>
      </w:tabs>
      <w:spacing w:line="240" w:lineRule="auto"/>
      <w:ind w:left="0" w:leftChars="0" w:right="0" w:rightChars="0"/>
      <w:jc w:val="left"/>
      <w:rPr>
        <w:b/>
        <w:bCs/>
      </w:rPr>
    </w:pPr>
    <w:r>
      <w:rPr>
        <w:b/>
        <w:bCs/>
      </w:rPr>
      <w:tab/>
    </w:r>
    <w:r>
      <w:rPr>
        <w:rFonts w:hint="eastAsia"/>
        <w:b/>
        <w:bCs/>
      </w:rPr>
      <w:t>统计各专业工作经费支出绩效评价报告</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N2NlN2M3YjJkYjVhMDYxMWI2M2IzYzc0OGVmODMifQ=="/>
  </w:docVars>
  <w:rsids>
    <w:rsidRoot w:val="30D72258"/>
    <w:rsid w:val="0000045D"/>
    <w:rsid w:val="00000CE5"/>
    <w:rsid w:val="000022F7"/>
    <w:rsid w:val="00006847"/>
    <w:rsid w:val="00007E69"/>
    <w:rsid w:val="0001075B"/>
    <w:rsid w:val="000122B5"/>
    <w:rsid w:val="00012423"/>
    <w:rsid w:val="00014F1B"/>
    <w:rsid w:val="00022936"/>
    <w:rsid w:val="00023F56"/>
    <w:rsid w:val="0002717C"/>
    <w:rsid w:val="0002750B"/>
    <w:rsid w:val="00030AED"/>
    <w:rsid w:val="00031AC4"/>
    <w:rsid w:val="0003206D"/>
    <w:rsid w:val="00034765"/>
    <w:rsid w:val="000401D4"/>
    <w:rsid w:val="000413E2"/>
    <w:rsid w:val="00043E31"/>
    <w:rsid w:val="000452FA"/>
    <w:rsid w:val="00045C41"/>
    <w:rsid w:val="0005068F"/>
    <w:rsid w:val="0005496A"/>
    <w:rsid w:val="00054C9A"/>
    <w:rsid w:val="00065919"/>
    <w:rsid w:val="0007327C"/>
    <w:rsid w:val="000751BC"/>
    <w:rsid w:val="00076042"/>
    <w:rsid w:val="00081084"/>
    <w:rsid w:val="00084360"/>
    <w:rsid w:val="000853C0"/>
    <w:rsid w:val="00086900"/>
    <w:rsid w:val="00090F9C"/>
    <w:rsid w:val="00096C35"/>
    <w:rsid w:val="000A0B1E"/>
    <w:rsid w:val="000A3683"/>
    <w:rsid w:val="000A3ECB"/>
    <w:rsid w:val="000A7D4D"/>
    <w:rsid w:val="000B0478"/>
    <w:rsid w:val="000B0D7D"/>
    <w:rsid w:val="000B55DE"/>
    <w:rsid w:val="000B6512"/>
    <w:rsid w:val="000C083D"/>
    <w:rsid w:val="000C5730"/>
    <w:rsid w:val="000C7677"/>
    <w:rsid w:val="000C7CC9"/>
    <w:rsid w:val="000D3358"/>
    <w:rsid w:val="000D7F61"/>
    <w:rsid w:val="000E18A6"/>
    <w:rsid w:val="000E39FD"/>
    <w:rsid w:val="000E47A0"/>
    <w:rsid w:val="000E74FE"/>
    <w:rsid w:val="000F0132"/>
    <w:rsid w:val="000F113D"/>
    <w:rsid w:val="000F3282"/>
    <w:rsid w:val="000F4B18"/>
    <w:rsid w:val="000F7605"/>
    <w:rsid w:val="001000C7"/>
    <w:rsid w:val="001054DC"/>
    <w:rsid w:val="00105D1B"/>
    <w:rsid w:val="00122679"/>
    <w:rsid w:val="00122753"/>
    <w:rsid w:val="00122812"/>
    <w:rsid w:val="00123EB9"/>
    <w:rsid w:val="00126A9A"/>
    <w:rsid w:val="00130A72"/>
    <w:rsid w:val="001328D6"/>
    <w:rsid w:val="00137B2E"/>
    <w:rsid w:val="00140547"/>
    <w:rsid w:val="001406F1"/>
    <w:rsid w:val="001425D7"/>
    <w:rsid w:val="00142D05"/>
    <w:rsid w:val="001438C5"/>
    <w:rsid w:val="00144228"/>
    <w:rsid w:val="001454BF"/>
    <w:rsid w:val="00145B0B"/>
    <w:rsid w:val="00145D8A"/>
    <w:rsid w:val="00145F9F"/>
    <w:rsid w:val="00146BD5"/>
    <w:rsid w:val="00147BB7"/>
    <w:rsid w:val="00155381"/>
    <w:rsid w:val="00156E5B"/>
    <w:rsid w:val="00157F44"/>
    <w:rsid w:val="00162EFC"/>
    <w:rsid w:val="00163ABB"/>
    <w:rsid w:val="00167D4A"/>
    <w:rsid w:val="00171094"/>
    <w:rsid w:val="00172B37"/>
    <w:rsid w:val="001746F2"/>
    <w:rsid w:val="00175856"/>
    <w:rsid w:val="001758FA"/>
    <w:rsid w:val="00176484"/>
    <w:rsid w:val="00180A0E"/>
    <w:rsid w:val="00184477"/>
    <w:rsid w:val="001845C9"/>
    <w:rsid w:val="00187AA9"/>
    <w:rsid w:val="001907B1"/>
    <w:rsid w:val="00190DA5"/>
    <w:rsid w:val="00192C11"/>
    <w:rsid w:val="00195176"/>
    <w:rsid w:val="00196DFC"/>
    <w:rsid w:val="001978B8"/>
    <w:rsid w:val="00197A7A"/>
    <w:rsid w:val="001A19D6"/>
    <w:rsid w:val="001A2FB6"/>
    <w:rsid w:val="001A4142"/>
    <w:rsid w:val="001A4305"/>
    <w:rsid w:val="001A6602"/>
    <w:rsid w:val="001B038D"/>
    <w:rsid w:val="001B184B"/>
    <w:rsid w:val="001B20C8"/>
    <w:rsid w:val="001B2481"/>
    <w:rsid w:val="001B39BE"/>
    <w:rsid w:val="001B6561"/>
    <w:rsid w:val="001B66BB"/>
    <w:rsid w:val="001C0E1C"/>
    <w:rsid w:val="001C136B"/>
    <w:rsid w:val="001C149F"/>
    <w:rsid w:val="001C183A"/>
    <w:rsid w:val="001C2420"/>
    <w:rsid w:val="001C2809"/>
    <w:rsid w:val="001C3A26"/>
    <w:rsid w:val="001C3CB0"/>
    <w:rsid w:val="001C4D5C"/>
    <w:rsid w:val="001C59E6"/>
    <w:rsid w:val="001C6C1D"/>
    <w:rsid w:val="001C7559"/>
    <w:rsid w:val="001D35AA"/>
    <w:rsid w:val="001D49E3"/>
    <w:rsid w:val="001D572A"/>
    <w:rsid w:val="001D7670"/>
    <w:rsid w:val="001E0D6A"/>
    <w:rsid w:val="001E27D4"/>
    <w:rsid w:val="001E6221"/>
    <w:rsid w:val="001F31CC"/>
    <w:rsid w:val="001F329E"/>
    <w:rsid w:val="001F66B0"/>
    <w:rsid w:val="00203AAC"/>
    <w:rsid w:val="00204270"/>
    <w:rsid w:val="00204E51"/>
    <w:rsid w:val="00213375"/>
    <w:rsid w:val="002138A9"/>
    <w:rsid w:val="00213ACE"/>
    <w:rsid w:val="00216862"/>
    <w:rsid w:val="0022208F"/>
    <w:rsid w:val="00222655"/>
    <w:rsid w:val="00224437"/>
    <w:rsid w:val="00224B40"/>
    <w:rsid w:val="00232BB9"/>
    <w:rsid w:val="00234A24"/>
    <w:rsid w:val="00234FA3"/>
    <w:rsid w:val="002401EB"/>
    <w:rsid w:val="00242274"/>
    <w:rsid w:val="002433DD"/>
    <w:rsid w:val="00245EF5"/>
    <w:rsid w:val="00246BA9"/>
    <w:rsid w:val="0025144B"/>
    <w:rsid w:val="0025174E"/>
    <w:rsid w:val="00251760"/>
    <w:rsid w:val="002523AF"/>
    <w:rsid w:val="00252470"/>
    <w:rsid w:val="00254A4E"/>
    <w:rsid w:val="00256271"/>
    <w:rsid w:val="00261757"/>
    <w:rsid w:val="002619D2"/>
    <w:rsid w:val="00262970"/>
    <w:rsid w:val="00267950"/>
    <w:rsid w:val="00267EBE"/>
    <w:rsid w:val="00276457"/>
    <w:rsid w:val="00276E39"/>
    <w:rsid w:val="00277882"/>
    <w:rsid w:val="0028478D"/>
    <w:rsid w:val="00290DC6"/>
    <w:rsid w:val="002921B7"/>
    <w:rsid w:val="0029695D"/>
    <w:rsid w:val="00296EB5"/>
    <w:rsid w:val="00297249"/>
    <w:rsid w:val="002972FF"/>
    <w:rsid w:val="002976F3"/>
    <w:rsid w:val="002A27CE"/>
    <w:rsid w:val="002A3166"/>
    <w:rsid w:val="002A7934"/>
    <w:rsid w:val="002B2D2A"/>
    <w:rsid w:val="002B4467"/>
    <w:rsid w:val="002B53FF"/>
    <w:rsid w:val="002B54C6"/>
    <w:rsid w:val="002C0F63"/>
    <w:rsid w:val="002C1D33"/>
    <w:rsid w:val="002C259E"/>
    <w:rsid w:val="002C41CF"/>
    <w:rsid w:val="002E1AA9"/>
    <w:rsid w:val="002E23B6"/>
    <w:rsid w:val="002E23DD"/>
    <w:rsid w:val="002E3E28"/>
    <w:rsid w:val="002F0EB7"/>
    <w:rsid w:val="002F672E"/>
    <w:rsid w:val="002F6936"/>
    <w:rsid w:val="002F6DBE"/>
    <w:rsid w:val="00300AC7"/>
    <w:rsid w:val="00300B5C"/>
    <w:rsid w:val="0030251D"/>
    <w:rsid w:val="00305831"/>
    <w:rsid w:val="00307C78"/>
    <w:rsid w:val="00312563"/>
    <w:rsid w:val="00313AE4"/>
    <w:rsid w:val="00314DCC"/>
    <w:rsid w:val="003179C3"/>
    <w:rsid w:val="00317A22"/>
    <w:rsid w:val="0032327F"/>
    <w:rsid w:val="003242EF"/>
    <w:rsid w:val="00330F09"/>
    <w:rsid w:val="003349FD"/>
    <w:rsid w:val="00337211"/>
    <w:rsid w:val="003375ED"/>
    <w:rsid w:val="00342387"/>
    <w:rsid w:val="00342FF1"/>
    <w:rsid w:val="00343485"/>
    <w:rsid w:val="00344C1C"/>
    <w:rsid w:val="003479D5"/>
    <w:rsid w:val="00350A57"/>
    <w:rsid w:val="00355883"/>
    <w:rsid w:val="003622F3"/>
    <w:rsid w:val="00362A67"/>
    <w:rsid w:val="00364599"/>
    <w:rsid w:val="00364B50"/>
    <w:rsid w:val="00366DB0"/>
    <w:rsid w:val="0037255C"/>
    <w:rsid w:val="00373A41"/>
    <w:rsid w:val="00374330"/>
    <w:rsid w:val="003760ED"/>
    <w:rsid w:val="003777C9"/>
    <w:rsid w:val="00377F2C"/>
    <w:rsid w:val="00381471"/>
    <w:rsid w:val="003828F5"/>
    <w:rsid w:val="003873CA"/>
    <w:rsid w:val="003877D0"/>
    <w:rsid w:val="003929F7"/>
    <w:rsid w:val="00396024"/>
    <w:rsid w:val="0039768A"/>
    <w:rsid w:val="003A3DD0"/>
    <w:rsid w:val="003A3E9F"/>
    <w:rsid w:val="003A5CF8"/>
    <w:rsid w:val="003B02D6"/>
    <w:rsid w:val="003B1DAB"/>
    <w:rsid w:val="003B3BB2"/>
    <w:rsid w:val="003B448B"/>
    <w:rsid w:val="003B6366"/>
    <w:rsid w:val="003C151E"/>
    <w:rsid w:val="003C1F48"/>
    <w:rsid w:val="003C29E9"/>
    <w:rsid w:val="003C3FD7"/>
    <w:rsid w:val="003C7A2F"/>
    <w:rsid w:val="003C7DB8"/>
    <w:rsid w:val="003D1AF2"/>
    <w:rsid w:val="003D22E8"/>
    <w:rsid w:val="003D5C97"/>
    <w:rsid w:val="003D6D14"/>
    <w:rsid w:val="003E5EA0"/>
    <w:rsid w:val="003F1B9C"/>
    <w:rsid w:val="003F281B"/>
    <w:rsid w:val="003F4BD6"/>
    <w:rsid w:val="003F5E51"/>
    <w:rsid w:val="004030A5"/>
    <w:rsid w:val="00403F5A"/>
    <w:rsid w:val="00405A6C"/>
    <w:rsid w:val="00407266"/>
    <w:rsid w:val="0040741F"/>
    <w:rsid w:val="00410779"/>
    <w:rsid w:val="00411977"/>
    <w:rsid w:val="00411B04"/>
    <w:rsid w:val="00411BAA"/>
    <w:rsid w:val="004164F7"/>
    <w:rsid w:val="00420357"/>
    <w:rsid w:val="00420B9B"/>
    <w:rsid w:val="00423434"/>
    <w:rsid w:val="00433498"/>
    <w:rsid w:val="0043617C"/>
    <w:rsid w:val="00436841"/>
    <w:rsid w:val="004432BF"/>
    <w:rsid w:val="004432D2"/>
    <w:rsid w:val="004468BC"/>
    <w:rsid w:val="00450D13"/>
    <w:rsid w:val="00453244"/>
    <w:rsid w:val="004562CB"/>
    <w:rsid w:val="004576A4"/>
    <w:rsid w:val="00460FB7"/>
    <w:rsid w:val="00462B7E"/>
    <w:rsid w:val="00465D22"/>
    <w:rsid w:val="00472226"/>
    <w:rsid w:val="00472FE3"/>
    <w:rsid w:val="00474207"/>
    <w:rsid w:val="00476C66"/>
    <w:rsid w:val="004811D5"/>
    <w:rsid w:val="00481318"/>
    <w:rsid w:val="0048257C"/>
    <w:rsid w:val="004842B0"/>
    <w:rsid w:val="00485ACF"/>
    <w:rsid w:val="00486C94"/>
    <w:rsid w:val="004932B9"/>
    <w:rsid w:val="0049651A"/>
    <w:rsid w:val="004A138D"/>
    <w:rsid w:val="004A2AAC"/>
    <w:rsid w:val="004A4040"/>
    <w:rsid w:val="004B3071"/>
    <w:rsid w:val="004B30A2"/>
    <w:rsid w:val="004C020C"/>
    <w:rsid w:val="004C1BDC"/>
    <w:rsid w:val="004C255A"/>
    <w:rsid w:val="004C3A72"/>
    <w:rsid w:val="004C5B58"/>
    <w:rsid w:val="004C7D06"/>
    <w:rsid w:val="004D3D16"/>
    <w:rsid w:val="004D4C9A"/>
    <w:rsid w:val="004D5168"/>
    <w:rsid w:val="004E17A5"/>
    <w:rsid w:val="004E3400"/>
    <w:rsid w:val="004E655C"/>
    <w:rsid w:val="004E6B9C"/>
    <w:rsid w:val="004F0D46"/>
    <w:rsid w:val="004F70A4"/>
    <w:rsid w:val="0050673C"/>
    <w:rsid w:val="005070F6"/>
    <w:rsid w:val="005071B4"/>
    <w:rsid w:val="00510D66"/>
    <w:rsid w:val="00511325"/>
    <w:rsid w:val="00512F4F"/>
    <w:rsid w:val="00514ACC"/>
    <w:rsid w:val="005256CF"/>
    <w:rsid w:val="0052796D"/>
    <w:rsid w:val="005325D3"/>
    <w:rsid w:val="00536CBA"/>
    <w:rsid w:val="00536DAF"/>
    <w:rsid w:val="0054195B"/>
    <w:rsid w:val="00542521"/>
    <w:rsid w:val="00545807"/>
    <w:rsid w:val="00545ACC"/>
    <w:rsid w:val="005515AB"/>
    <w:rsid w:val="00551615"/>
    <w:rsid w:val="005524BB"/>
    <w:rsid w:val="00552698"/>
    <w:rsid w:val="00552960"/>
    <w:rsid w:val="00554260"/>
    <w:rsid w:val="00554392"/>
    <w:rsid w:val="005578B2"/>
    <w:rsid w:val="005600D5"/>
    <w:rsid w:val="0056023B"/>
    <w:rsid w:val="005602FA"/>
    <w:rsid w:val="00560530"/>
    <w:rsid w:val="00562551"/>
    <w:rsid w:val="00564893"/>
    <w:rsid w:val="00567700"/>
    <w:rsid w:val="00567A22"/>
    <w:rsid w:val="00574359"/>
    <w:rsid w:val="005745CA"/>
    <w:rsid w:val="00585A5D"/>
    <w:rsid w:val="00587DBC"/>
    <w:rsid w:val="00591F6C"/>
    <w:rsid w:val="00597A07"/>
    <w:rsid w:val="00597A73"/>
    <w:rsid w:val="005A019E"/>
    <w:rsid w:val="005A19EC"/>
    <w:rsid w:val="005A7029"/>
    <w:rsid w:val="005B2C4A"/>
    <w:rsid w:val="005B500F"/>
    <w:rsid w:val="005B726E"/>
    <w:rsid w:val="005C2804"/>
    <w:rsid w:val="005C2AD7"/>
    <w:rsid w:val="005C3B84"/>
    <w:rsid w:val="005C4E1C"/>
    <w:rsid w:val="005C6DC5"/>
    <w:rsid w:val="005D063E"/>
    <w:rsid w:val="005D1AAD"/>
    <w:rsid w:val="005D1FE9"/>
    <w:rsid w:val="005D2406"/>
    <w:rsid w:val="005D3506"/>
    <w:rsid w:val="005D72DB"/>
    <w:rsid w:val="005E127F"/>
    <w:rsid w:val="005E2555"/>
    <w:rsid w:val="005E4054"/>
    <w:rsid w:val="005E5274"/>
    <w:rsid w:val="005F0F5D"/>
    <w:rsid w:val="005F17A6"/>
    <w:rsid w:val="005F68F4"/>
    <w:rsid w:val="006019BD"/>
    <w:rsid w:val="00601C3B"/>
    <w:rsid w:val="006020AC"/>
    <w:rsid w:val="00602783"/>
    <w:rsid w:val="006032CF"/>
    <w:rsid w:val="00610EB7"/>
    <w:rsid w:val="006112DE"/>
    <w:rsid w:val="00612DE7"/>
    <w:rsid w:val="006149BA"/>
    <w:rsid w:val="00616A51"/>
    <w:rsid w:val="00616DBC"/>
    <w:rsid w:val="00616E00"/>
    <w:rsid w:val="006209EA"/>
    <w:rsid w:val="00627F85"/>
    <w:rsid w:val="00630B53"/>
    <w:rsid w:val="006317BF"/>
    <w:rsid w:val="006330F1"/>
    <w:rsid w:val="00634EFD"/>
    <w:rsid w:val="0063536D"/>
    <w:rsid w:val="00635443"/>
    <w:rsid w:val="00635A39"/>
    <w:rsid w:val="00635A5D"/>
    <w:rsid w:val="00636868"/>
    <w:rsid w:val="006447AC"/>
    <w:rsid w:val="006458C9"/>
    <w:rsid w:val="00647968"/>
    <w:rsid w:val="00652EBE"/>
    <w:rsid w:val="00656069"/>
    <w:rsid w:val="00657950"/>
    <w:rsid w:val="00660087"/>
    <w:rsid w:val="006616DE"/>
    <w:rsid w:val="0066223E"/>
    <w:rsid w:val="006647D2"/>
    <w:rsid w:val="00671D87"/>
    <w:rsid w:val="00673A33"/>
    <w:rsid w:val="00675708"/>
    <w:rsid w:val="00676D96"/>
    <w:rsid w:val="00680D37"/>
    <w:rsid w:val="0068358A"/>
    <w:rsid w:val="00683A12"/>
    <w:rsid w:val="00684C06"/>
    <w:rsid w:val="00686733"/>
    <w:rsid w:val="00686C94"/>
    <w:rsid w:val="00686F5E"/>
    <w:rsid w:val="00687697"/>
    <w:rsid w:val="0068783E"/>
    <w:rsid w:val="00690C74"/>
    <w:rsid w:val="00691BCC"/>
    <w:rsid w:val="00692C40"/>
    <w:rsid w:val="006951C0"/>
    <w:rsid w:val="0069596F"/>
    <w:rsid w:val="00696FB6"/>
    <w:rsid w:val="00697424"/>
    <w:rsid w:val="006A6E33"/>
    <w:rsid w:val="006B006B"/>
    <w:rsid w:val="006B0F25"/>
    <w:rsid w:val="006B2561"/>
    <w:rsid w:val="006B2746"/>
    <w:rsid w:val="006B3110"/>
    <w:rsid w:val="006B45AF"/>
    <w:rsid w:val="006C0CEA"/>
    <w:rsid w:val="006C20B5"/>
    <w:rsid w:val="006C2509"/>
    <w:rsid w:val="006C2788"/>
    <w:rsid w:val="006C6D9E"/>
    <w:rsid w:val="006D167D"/>
    <w:rsid w:val="006D35DE"/>
    <w:rsid w:val="006D7BA0"/>
    <w:rsid w:val="006E247A"/>
    <w:rsid w:val="006E26A2"/>
    <w:rsid w:val="006E36CA"/>
    <w:rsid w:val="006E7371"/>
    <w:rsid w:val="006F0C1A"/>
    <w:rsid w:val="006F11C5"/>
    <w:rsid w:val="006F219D"/>
    <w:rsid w:val="006F5226"/>
    <w:rsid w:val="007030C2"/>
    <w:rsid w:val="00705101"/>
    <w:rsid w:val="00706179"/>
    <w:rsid w:val="00707A53"/>
    <w:rsid w:val="007111F7"/>
    <w:rsid w:val="00713396"/>
    <w:rsid w:val="0071531E"/>
    <w:rsid w:val="00716E6D"/>
    <w:rsid w:val="007200E6"/>
    <w:rsid w:val="007204C4"/>
    <w:rsid w:val="00725E66"/>
    <w:rsid w:val="0073267F"/>
    <w:rsid w:val="00732E05"/>
    <w:rsid w:val="00736503"/>
    <w:rsid w:val="0073739F"/>
    <w:rsid w:val="00737A05"/>
    <w:rsid w:val="00737D04"/>
    <w:rsid w:val="0074412E"/>
    <w:rsid w:val="007443EE"/>
    <w:rsid w:val="00747F2E"/>
    <w:rsid w:val="007514E9"/>
    <w:rsid w:val="007516CE"/>
    <w:rsid w:val="00752771"/>
    <w:rsid w:val="007579B5"/>
    <w:rsid w:val="0076327A"/>
    <w:rsid w:val="00766EA6"/>
    <w:rsid w:val="00767F53"/>
    <w:rsid w:val="0077118F"/>
    <w:rsid w:val="007714B2"/>
    <w:rsid w:val="007719A6"/>
    <w:rsid w:val="00777C26"/>
    <w:rsid w:val="0078297F"/>
    <w:rsid w:val="00782C51"/>
    <w:rsid w:val="00782CCC"/>
    <w:rsid w:val="00783BB8"/>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70E4"/>
    <w:rsid w:val="007C7F42"/>
    <w:rsid w:val="007D0AED"/>
    <w:rsid w:val="007D1201"/>
    <w:rsid w:val="007D428C"/>
    <w:rsid w:val="007D583C"/>
    <w:rsid w:val="007E0418"/>
    <w:rsid w:val="007E11D5"/>
    <w:rsid w:val="007E1D91"/>
    <w:rsid w:val="007E6AB9"/>
    <w:rsid w:val="007F0E99"/>
    <w:rsid w:val="007F153D"/>
    <w:rsid w:val="007F3E93"/>
    <w:rsid w:val="007F46D5"/>
    <w:rsid w:val="007F5B3D"/>
    <w:rsid w:val="007F6B07"/>
    <w:rsid w:val="008009B9"/>
    <w:rsid w:val="0080491A"/>
    <w:rsid w:val="00804EC4"/>
    <w:rsid w:val="00810C70"/>
    <w:rsid w:val="00816168"/>
    <w:rsid w:val="00816E23"/>
    <w:rsid w:val="0081723C"/>
    <w:rsid w:val="00820590"/>
    <w:rsid w:val="00821656"/>
    <w:rsid w:val="008236FC"/>
    <w:rsid w:val="008240E7"/>
    <w:rsid w:val="008243F1"/>
    <w:rsid w:val="00824412"/>
    <w:rsid w:val="008253FA"/>
    <w:rsid w:val="00826CDD"/>
    <w:rsid w:val="0082777F"/>
    <w:rsid w:val="00831518"/>
    <w:rsid w:val="00833AB8"/>
    <w:rsid w:val="00835142"/>
    <w:rsid w:val="00840757"/>
    <w:rsid w:val="00844370"/>
    <w:rsid w:val="008449D1"/>
    <w:rsid w:val="00846176"/>
    <w:rsid w:val="00851150"/>
    <w:rsid w:val="00851D58"/>
    <w:rsid w:val="00854E45"/>
    <w:rsid w:val="00855512"/>
    <w:rsid w:val="00856260"/>
    <w:rsid w:val="0086480B"/>
    <w:rsid w:val="008651E7"/>
    <w:rsid w:val="008652CD"/>
    <w:rsid w:val="00865918"/>
    <w:rsid w:val="00865C8A"/>
    <w:rsid w:val="00866BAB"/>
    <w:rsid w:val="00870516"/>
    <w:rsid w:val="00875A41"/>
    <w:rsid w:val="00875F30"/>
    <w:rsid w:val="00877571"/>
    <w:rsid w:val="008813EA"/>
    <w:rsid w:val="008842FD"/>
    <w:rsid w:val="00886796"/>
    <w:rsid w:val="00890C22"/>
    <w:rsid w:val="00892562"/>
    <w:rsid w:val="008950EE"/>
    <w:rsid w:val="008A0E2D"/>
    <w:rsid w:val="008A4884"/>
    <w:rsid w:val="008A7791"/>
    <w:rsid w:val="008B0496"/>
    <w:rsid w:val="008B0FE1"/>
    <w:rsid w:val="008B15B3"/>
    <w:rsid w:val="008B2797"/>
    <w:rsid w:val="008B2F6E"/>
    <w:rsid w:val="008B36E6"/>
    <w:rsid w:val="008B6808"/>
    <w:rsid w:val="008C46A4"/>
    <w:rsid w:val="008C4C92"/>
    <w:rsid w:val="008C5EAC"/>
    <w:rsid w:val="008C6353"/>
    <w:rsid w:val="008C648F"/>
    <w:rsid w:val="008D0826"/>
    <w:rsid w:val="008D2345"/>
    <w:rsid w:val="008D286D"/>
    <w:rsid w:val="008D4B6B"/>
    <w:rsid w:val="008E0240"/>
    <w:rsid w:val="008E1A7F"/>
    <w:rsid w:val="008E1AF2"/>
    <w:rsid w:val="008E49C2"/>
    <w:rsid w:val="008E59FF"/>
    <w:rsid w:val="008E654F"/>
    <w:rsid w:val="008E6984"/>
    <w:rsid w:val="008E7509"/>
    <w:rsid w:val="008F3934"/>
    <w:rsid w:val="008F4247"/>
    <w:rsid w:val="008F4572"/>
    <w:rsid w:val="008F4BCE"/>
    <w:rsid w:val="008F58D3"/>
    <w:rsid w:val="008F74EA"/>
    <w:rsid w:val="008F7667"/>
    <w:rsid w:val="008F786C"/>
    <w:rsid w:val="00900FA8"/>
    <w:rsid w:val="0090166D"/>
    <w:rsid w:val="00902805"/>
    <w:rsid w:val="00902AD6"/>
    <w:rsid w:val="00904BB8"/>
    <w:rsid w:val="00906501"/>
    <w:rsid w:val="00910C18"/>
    <w:rsid w:val="00912BB7"/>
    <w:rsid w:val="00916E4B"/>
    <w:rsid w:val="009252D9"/>
    <w:rsid w:val="009253D8"/>
    <w:rsid w:val="009308F7"/>
    <w:rsid w:val="00943B5D"/>
    <w:rsid w:val="00944924"/>
    <w:rsid w:val="00945285"/>
    <w:rsid w:val="00945DAD"/>
    <w:rsid w:val="00947872"/>
    <w:rsid w:val="009511FC"/>
    <w:rsid w:val="00953F20"/>
    <w:rsid w:val="0095715C"/>
    <w:rsid w:val="00957F9A"/>
    <w:rsid w:val="0096294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F8D"/>
    <w:rsid w:val="009B19D2"/>
    <w:rsid w:val="009B1F3F"/>
    <w:rsid w:val="009B352A"/>
    <w:rsid w:val="009B4AD1"/>
    <w:rsid w:val="009B6934"/>
    <w:rsid w:val="009B70ED"/>
    <w:rsid w:val="009C4C93"/>
    <w:rsid w:val="009C7CAC"/>
    <w:rsid w:val="009D37D3"/>
    <w:rsid w:val="009D42E9"/>
    <w:rsid w:val="009D44BA"/>
    <w:rsid w:val="009D6C16"/>
    <w:rsid w:val="009D6DE2"/>
    <w:rsid w:val="009E075B"/>
    <w:rsid w:val="009E4B48"/>
    <w:rsid w:val="009E7E8F"/>
    <w:rsid w:val="009F0297"/>
    <w:rsid w:val="009F57AD"/>
    <w:rsid w:val="00A012A0"/>
    <w:rsid w:val="00A032C1"/>
    <w:rsid w:val="00A07BB5"/>
    <w:rsid w:val="00A10BF0"/>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2431"/>
    <w:rsid w:val="00A326FB"/>
    <w:rsid w:val="00A32B31"/>
    <w:rsid w:val="00A32E91"/>
    <w:rsid w:val="00A33042"/>
    <w:rsid w:val="00A41C12"/>
    <w:rsid w:val="00A433AA"/>
    <w:rsid w:val="00A439E8"/>
    <w:rsid w:val="00A457A1"/>
    <w:rsid w:val="00A46362"/>
    <w:rsid w:val="00A46D5C"/>
    <w:rsid w:val="00A47E4B"/>
    <w:rsid w:val="00A522E4"/>
    <w:rsid w:val="00A60023"/>
    <w:rsid w:val="00A6208D"/>
    <w:rsid w:val="00A621D3"/>
    <w:rsid w:val="00A64370"/>
    <w:rsid w:val="00A70516"/>
    <w:rsid w:val="00A75027"/>
    <w:rsid w:val="00A75454"/>
    <w:rsid w:val="00A77196"/>
    <w:rsid w:val="00A77C89"/>
    <w:rsid w:val="00A800DC"/>
    <w:rsid w:val="00A82380"/>
    <w:rsid w:val="00A8547F"/>
    <w:rsid w:val="00A961FB"/>
    <w:rsid w:val="00A97450"/>
    <w:rsid w:val="00A97C07"/>
    <w:rsid w:val="00AA009C"/>
    <w:rsid w:val="00AA2EB7"/>
    <w:rsid w:val="00AA324A"/>
    <w:rsid w:val="00AA6FEE"/>
    <w:rsid w:val="00AB006F"/>
    <w:rsid w:val="00AB1585"/>
    <w:rsid w:val="00AB2FC0"/>
    <w:rsid w:val="00AB31C5"/>
    <w:rsid w:val="00AB6C08"/>
    <w:rsid w:val="00AB6E8D"/>
    <w:rsid w:val="00AC044C"/>
    <w:rsid w:val="00AC5B57"/>
    <w:rsid w:val="00AC5C5B"/>
    <w:rsid w:val="00AC660A"/>
    <w:rsid w:val="00AD6C27"/>
    <w:rsid w:val="00AE53C9"/>
    <w:rsid w:val="00AF126A"/>
    <w:rsid w:val="00AF76A7"/>
    <w:rsid w:val="00B00C30"/>
    <w:rsid w:val="00B0559E"/>
    <w:rsid w:val="00B0775C"/>
    <w:rsid w:val="00B11A04"/>
    <w:rsid w:val="00B2270E"/>
    <w:rsid w:val="00B25181"/>
    <w:rsid w:val="00B319A5"/>
    <w:rsid w:val="00B340F9"/>
    <w:rsid w:val="00B34870"/>
    <w:rsid w:val="00B37834"/>
    <w:rsid w:val="00B379F5"/>
    <w:rsid w:val="00B4272F"/>
    <w:rsid w:val="00B51186"/>
    <w:rsid w:val="00B5385D"/>
    <w:rsid w:val="00B56416"/>
    <w:rsid w:val="00B57A77"/>
    <w:rsid w:val="00B60F89"/>
    <w:rsid w:val="00B64C1B"/>
    <w:rsid w:val="00B64D6D"/>
    <w:rsid w:val="00B65998"/>
    <w:rsid w:val="00B676AF"/>
    <w:rsid w:val="00B67EA3"/>
    <w:rsid w:val="00B71AAB"/>
    <w:rsid w:val="00B71B34"/>
    <w:rsid w:val="00B7721F"/>
    <w:rsid w:val="00B81EE6"/>
    <w:rsid w:val="00B84A6A"/>
    <w:rsid w:val="00B84D4B"/>
    <w:rsid w:val="00B92992"/>
    <w:rsid w:val="00B9433F"/>
    <w:rsid w:val="00B94429"/>
    <w:rsid w:val="00B95D22"/>
    <w:rsid w:val="00B961E7"/>
    <w:rsid w:val="00B966F3"/>
    <w:rsid w:val="00BA1F76"/>
    <w:rsid w:val="00BA46C8"/>
    <w:rsid w:val="00BA47EF"/>
    <w:rsid w:val="00BB3050"/>
    <w:rsid w:val="00BB4CF3"/>
    <w:rsid w:val="00BC4900"/>
    <w:rsid w:val="00BC63B5"/>
    <w:rsid w:val="00BC63EF"/>
    <w:rsid w:val="00BD2A41"/>
    <w:rsid w:val="00BD7420"/>
    <w:rsid w:val="00BE0ED0"/>
    <w:rsid w:val="00BE39B0"/>
    <w:rsid w:val="00BE4B77"/>
    <w:rsid w:val="00BE5921"/>
    <w:rsid w:val="00BF413A"/>
    <w:rsid w:val="00BF4210"/>
    <w:rsid w:val="00BF52AF"/>
    <w:rsid w:val="00BF730A"/>
    <w:rsid w:val="00C05639"/>
    <w:rsid w:val="00C07B5C"/>
    <w:rsid w:val="00C10B16"/>
    <w:rsid w:val="00C11BED"/>
    <w:rsid w:val="00C11CEE"/>
    <w:rsid w:val="00C14391"/>
    <w:rsid w:val="00C20A53"/>
    <w:rsid w:val="00C2354B"/>
    <w:rsid w:val="00C23D62"/>
    <w:rsid w:val="00C24030"/>
    <w:rsid w:val="00C261AE"/>
    <w:rsid w:val="00C312F4"/>
    <w:rsid w:val="00C31AD3"/>
    <w:rsid w:val="00C331DB"/>
    <w:rsid w:val="00C3329B"/>
    <w:rsid w:val="00C33ED8"/>
    <w:rsid w:val="00C33F6A"/>
    <w:rsid w:val="00C4027D"/>
    <w:rsid w:val="00C4075D"/>
    <w:rsid w:val="00C42431"/>
    <w:rsid w:val="00C4346F"/>
    <w:rsid w:val="00C43A04"/>
    <w:rsid w:val="00C43E0E"/>
    <w:rsid w:val="00C509EC"/>
    <w:rsid w:val="00C516D5"/>
    <w:rsid w:val="00C55596"/>
    <w:rsid w:val="00C6228F"/>
    <w:rsid w:val="00C629C5"/>
    <w:rsid w:val="00C62FE8"/>
    <w:rsid w:val="00C63525"/>
    <w:rsid w:val="00C63A53"/>
    <w:rsid w:val="00C64ACE"/>
    <w:rsid w:val="00C65643"/>
    <w:rsid w:val="00C671F0"/>
    <w:rsid w:val="00C7097A"/>
    <w:rsid w:val="00C726AB"/>
    <w:rsid w:val="00C737E1"/>
    <w:rsid w:val="00C80099"/>
    <w:rsid w:val="00C8206E"/>
    <w:rsid w:val="00C83014"/>
    <w:rsid w:val="00C84458"/>
    <w:rsid w:val="00C86B88"/>
    <w:rsid w:val="00C94EC6"/>
    <w:rsid w:val="00C95713"/>
    <w:rsid w:val="00CA6296"/>
    <w:rsid w:val="00CA756B"/>
    <w:rsid w:val="00CB0BE0"/>
    <w:rsid w:val="00CB1DCB"/>
    <w:rsid w:val="00CB26EF"/>
    <w:rsid w:val="00CB422C"/>
    <w:rsid w:val="00CB65C3"/>
    <w:rsid w:val="00CB6859"/>
    <w:rsid w:val="00CC65D5"/>
    <w:rsid w:val="00CC6B0E"/>
    <w:rsid w:val="00CD26B2"/>
    <w:rsid w:val="00CD4F4D"/>
    <w:rsid w:val="00CD6738"/>
    <w:rsid w:val="00CD71E7"/>
    <w:rsid w:val="00CE3DE3"/>
    <w:rsid w:val="00CE6895"/>
    <w:rsid w:val="00CE6CB0"/>
    <w:rsid w:val="00CF0588"/>
    <w:rsid w:val="00CF2702"/>
    <w:rsid w:val="00CF53AE"/>
    <w:rsid w:val="00D0382D"/>
    <w:rsid w:val="00D04E9F"/>
    <w:rsid w:val="00D056D5"/>
    <w:rsid w:val="00D05B86"/>
    <w:rsid w:val="00D05F65"/>
    <w:rsid w:val="00D06E36"/>
    <w:rsid w:val="00D1034F"/>
    <w:rsid w:val="00D14D20"/>
    <w:rsid w:val="00D16F04"/>
    <w:rsid w:val="00D24D52"/>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2AB"/>
    <w:rsid w:val="00D74B02"/>
    <w:rsid w:val="00D76070"/>
    <w:rsid w:val="00D76988"/>
    <w:rsid w:val="00D76A9B"/>
    <w:rsid w:val="00D805F0"/>
    <w:rsid w:val="00D81D5B"/>
    <w:rsid w:val="00D86F6B"/>
    <w:rsid w:val="00D91692"/>
    <w:rsid w:val="00D91C10"/>
    <w:rsid w:val="00D931A0"/>
    <w:rsid w:val="00D948BC"/>
    <w:rsid w:val="00D95181"/>
    <w:rsid w:val="00D961D4"/>
    <w:rsid w:val="00D963DE"/>
    <w:rsid w:val="00D97249"/>
    <w:rsid w:val="00D97622"/>
    <w:rsid w:val="00DA18BA"/>
    <w:rsid w:val="00DA3FEE"/>
    <w:rsid w:val="00DB3D68"/>
    <w:rsid w:val="00DB65CE"/>
    <w:rsid w:val="00DC021E"/>
    <w:rsid w:val="00DC06EF"/>
    <w:rsid w:val="00DC0DC0"/>
    <w:rsid w:val="00DC249A"/>
    <w:rsid w:val="00DC3881"/>
    <w:rsid w:val="00DC5742"/>
    <w:rsid w:val="00DD0239"/>
    <w:rsid w:val="00DD30E1"/>
    <w:rsid w:val="00DD4ECA"/>
    <w:rsid w:val="00DD5C99"/>
    <w:rsid w:val="00DD6573"/>
    <w:rsid w:val="00DD772A"/>
    <w:rsid w:val="00DD7B91"/>
    <w:rsid w:val="00DE1908"/>
    <w:rsid w:val="00DE1EDB"/>
    <w:rsid w:val="00DE350A"/>
    <w:rsid w:val="00DE38CC"/>
    <w:rsid w:val="00DE61D1"/>
    <w:rsid w:val="00DE7B7D"/>
    <w:rsid w:val="00DE7FA7"/>
    <w:rsid w:val="00DF0C2C"/>
    <w:rsid w:val="00DF1B0E"/>
    <w:rsid w:val="00DF3A97"/>
    <w:rsid w:val="00E00A03"/>
    <w:rsid w:val="00E00B08"/>
    <w:rsid w:val="00E027A0"/>
    <w:rsid w:val="00E039C3"/>
    <w:rsid w:val="00E060AA"/>
    <w:rsid w:val="00E069F2"/>
    <w:rsid w:val="00E2360D"/>
    <w:rsid w:val="00E24A55"/>
    <w:rsid w:val="00E259BB"/>
    <w:rsid w:val="00E3219B"/>
    <w:rsid w:val="00E327F0"/>
    <w:rsid w:val="00E34C05"/>
    <w:rsid w:val="00E34F88"/>
    <w:rsid w:val="00E35906"/>
    <w:rsid w:val="00E36B06"/>
    <w:rsid w:val="00E3734A"/>
    <w:rsid w:val="00E37516"/>
    <w:rsid w:val="00E37A48"/>
    <w:rsid w:val="00E37DC9"/>
    <w:rsid w:val="00E41BC9"/>
    <w:rsid w:val="00E41F11"/>
    <w:rsid w:val="00E41FEB"/>
    <w:rsid w:val="00E42A3A"/>
    <w:rsid w:val="00E4583E"/>
    <w:rsid w:val="00E45B06"/>
    <w:rsid w:val="00E45CAD"/>
    <w:rsid w:val="00E47021"/>
    <w:rsid w:val="00E474F9"/>
    <w:rsid w:val="00E47CF1"/>
    <w:rsid w:val="00E52830"/>
    <w:rsid w:val="00E56172"/>
    <w:rsid w:val="00E60042"/>
    <w:rsid w:val="00E61D8A"/>
    <w:rsid w:val="00E620E5"/>
    <w:rsid w:val="00E657D7"/>
    <w:rsid w:val="00E65EF8"/>
    <w:rsid w:val="00E700E6"/>
    <w:rsid w:val="00E7027C"/>
    <w:rsid w:val="00E70ABB"/>
    <w:rsid w:val="00E7168D"/>
    <w:rsid w:val="00E73D18"/>
    <w:rsid w:val="00E77C9C"/>
    <w:rsid w:val="00E81FE6"/>
    <w:rsid w:val="00E83494"/>
    <w:rsid w:val="00E86893"/>
    <w:rsid w:val="00E86ED4"/>
    <w:rsid w:val="00E8787D"/>
    <w:rsid w:val="00E902F4"/>
    <w:rsid w:val="00E91D81"/>
    <w:rsid w:val="00E9602C"/>
    <w:rsid w:val="00EA2ADB"/>
    <w:rsid w:val="00EA4BBE"/>
    <w:rsid w:val="00EA7B66"/>
    <w:rsid w:val="00EA7E88"/>
    <w:rsid w:val="00EB7A4D"/>
    <w:rsid w:val="00EB7B16"/>
    <w:rsid w:val="00EC0B69"/>
    <w:rsid w:val="00EC4850"/>
    <w:rsid w:val="00EC7D86"/>
    <w:rsid w:val="00ED0046"/>
    <w:rsid w:val="00ED411D"/>
    <w:rsid w:val="00ED513B"/>
    <w:rsid w:val="00ED5729"/>
    <w:rsid w:val="00EE6216"/>
    <w:rsid w:val="00EE6334"/>
    <w:rsid w:val="00EF1203"/>
    <w:rsid w:val="00EF1CE0"/>
    <w:rsid w:val="00EF23F6"/>
    <w:rsid w:val="00EF2CD1"/>
    <w:rsid w:val="00EF49F6"/>
    <w:rsid w:val="00EF6D3C"/>
    <w:rsid w:val="00F014DF"/>
    <w:rsid w:val="00F016F5"/>
    <w:rsid w:val="00F03B1D"/>
    <w:rsid w:val="00F06417"/>
    <w:rsid w:val="00F0699D"/>
    <w:rsid w:val="00F06AD6"/>
    <w:rsid w:val="00F0778A"/>
    <w:rsid w:val="00F07E64"/>
    <w:rsid w:val="00F100D4"/>
    <w:rsid w:val="00F15E23"/>
    <w:rsid w:val="00F20610"/>
    <w:rsid w:val="00F243EF"/>
    <w:rsid w:val="00F334E2"/>
    <w:rsid w:val="00F3601A"/>
    <w:rsid w:val="00F37CDC"/>
    <w:rsid w:val="00F421B7"/>
    <w:rsid w:val="00F45ACD"/>
    <w:rsid w:val="00F50775"/>
    <w:rsid w:val="00F53567"/>
    <w:rsid w:val="00F53E7B"/>
    <w:rsid w:val="00F53EDF"/>
    <w:rsid w:val="00F6281F"/>
    <w:rsid w:val="00F710C9"/>
    <w:rsid w:val="00F72C55"/>
    <w:rsid w:val="00F72C74"/>
    <w:rsid w:val="00F7304E"/>
    <w:rsid w:val="00F75F50"/>
    <w:rsid w:val="00F770B9"/>
    <w:rsid w:val="00F77A26"/>
    <w:rsid w:val="00F828F3"/>
    <w:rsid w:val="00F9006B"/>
    <w:rsid w:val="00F90E8A"/>
    <w:rsid w:val="00F93210"/>
    <w:rsid w:val="00F93A53"/>
    <w:rsid w:val="00F95720"/>
    <w:rsid w:val="00F96747"/>
    <w:rsid w:val="00F96916"/>
    <w:rsid w:val="00F97765"/>
    <w:rsid w:val="00FA2C18"/>
    <w:rsid w:val="00FA6DE9"/>
    <w:rsid w:val="00FC003A"/>
    <w:rsid w:val="00FC4D69"/>
    <w:rsid w:val="00FC5702"/>
    <w:rsid w:val="00FC6218"/>
    <w:rsid w:val="00FC74DC"/>
    <w:rsid w:val="00FC7C59"/>
    <w:rsid w:val="00FD0D9C"/>
    <w:rsid w:val="00FD3228"/>
    <w:rsid w:val="00FE37B5"/>
    <w:rsid w:val="00FE5D90"/>
    <w:rsid w:val="00FE6CA6"/>
    <w:rsid w:val="00FE749B"/>
    <w:rsid w:val="00FF5B56"/>
    <w:rsid w:val="00FF6349"/>
    <w:rsid w:val="018F79F9"/>
    <w:rsid w:val="019B07FD"/>
    <w:rsid w:val="035304AB"/>
    <w:rsid w:val="03D94A48"/>
    <w:rsid w:val="040846E4"/>
    <w:rsid w:val="045F53C9"/>
    <w:rsid w:val="09356B62"/>
    <w:rsid w:val="09A15F8E"/>
    <w:rsid w:val="09F2400E"/>
    <w:rsid w:val="0A0D5EF7"/>
    <w:rsid w:val="0A4E2F69"/>
    <w:rsid w:val="0A894E5B"/>
    <w:rsid w:val="0A9450C5"/>
    <w:rsid w:val="0C85545D"/>
    <w:rsid w:val="0D904D39"/>
    <w:rsid w:val="11235550"/>
    <w:rsid w:val="13B51D30"/>
    <w:rsid w:val="14AA7834"/>
    <w:rsid w:val="153B0D9D"/>
    <w:rsid w:val="161A5018"/>
    <w:rsid w:val="165317AC"/>
    <w:rsid w:val="168D3704"/>
    <w:rsid w:val="173F1A74"/>
    <w:rsid w:val="188F0D9E"/>
    <w:rsid w:val="18B669DF"/>
    <w:rsid w:val="19033B41"/>
    <w:rsid w:val="1B580A6F"/>
    <w:rsid w:val="1B604ED7"/>
    <w:rsid w:val="1E9528AA"/>
    <w:rsid w:val="1E953426"/>
    <w:rsid w:val="1F0352D8"/>
    <w:rsid w:val="1FA9212D"/>
    <w:rsid w:val="1FDE5789"/>
    <w:rsid w:val="20095733"/>
    <w:rsid w:val="202047A2"/>
    <w:rsid w:val="22907840"/>
    <w:rsid w:val="24422B02"/>
    <w:rsid w:val="256424A0"/>
    <w:rsid w:val="260F1C7D"/>
    <w:rsid w:val="26273D13"/>
    <w:rsid w:val="26B52CF3"/>
    <w:rsid w:val="272D7D89"/>
    <w:rsid w:val="27FB7401"/>
    <w:rsid w:val="281710D2"/>
    <w:rsid w:val="28221B0A"/>
    <w:rsid w:val="29B41DBB"/>
    <w:rsid w:val="2A2E1256"/>
    <w:rsid w:val="2A2E7BCC"/>
    <w:rsid w:val="2A7D58ED"/>
    <w:rsid w:val="2AC82E3D"/>
    <w:rsid w:val="2C0944E8"/>
    <w:rsid w:val="2C834B93"/>
    <w:rsid w:val="2D6D3827"/>
    <w:rsid w:val="2DBF0527"/>
    <w:rsid w:val="30D72258"/>
    <w:rsid w:val="32922615"/>
    <w:rsid w:val="33690B5A"/>
    <w:rsid w:val="339356A4"/>
    <w:rsid w:val="345D3D41"/>
    <w:rsid w:val="34B74D3E"/>
    <w:rsid w:val="35817B77"/>
    <w:rsid w:val="36032659"/>
    <w:rsid w:val="3635718D"/>
    <w:rsid w:val="365021A6"/>
    <w:rsid w:val="38B131DE"/>
    <w:rsid w:val="397110C2"/>
    <w:rsid w:val="3A515734"/>
    <w:rsid w:val="3A635E4A"/>
    <w:rsid w:val="3B64373D"/>
    <w:rsid w:val="3B8268C9"/>
    <w:rsid w:val="3B8553EB"/>
    <w:rsid w:val="3C233AAE"/>
    <w:rsid w:val="3CA977A7"/>
    <w:rsid w:val="3DE763A7"/>
    <w:rsid w:val="3E0F2B45"/>
    <w:rsid w:val="3E441182"/>
    <w:rsid w:val="3E614CE2"/>
    <w:rsid w:val="3EE85404"/>
    <w:rsid w:val="3F590415"/>
    <w:rsid w:val="403E3129"/>
    <w:rsid w:val="40736A16"/>
    <w:rsid w:val="40B111DA"/>
    <w:rsid w:val="411805C2"/>
    <w:rsid w:val="41DC2355"/>
    <w:rsid w:val="42D300E4"/>
    <w:rsid w:val="43015A62"/>
    <w:rsid w:val="43234FAA"/>
    <w:rsid w:val="443D19A5"/>
    <w:rsid w:val="4481439C"/>
    <w:rsid w:val="44A469E0"/>
    <w:rsid w:val="4640012E"/>
    <w:rsid w:val="467D19F8"/>
    <w:rsid w:val="471D0071"/>
    <w:rsid w:val="474E4729"/>
    <w:rsid w:val="48081D69"/>
    <w:rsid w:val="48682067"/>
    <w:rsid w:val="48B16866"/>
    <w:rsid w:val="4A766431"/>
    <w:rsid w:val="4AD3385B"/>
    <w:rsid w:val="4B625664"/>
    <w:rsid w:val="4BD56F78"/>
    <w:rsid w:val="4BEE4DF7"/>
    <w:rsid w:val="4BFF1E0C"/>
    <w:rsid w:val="4CC264FF"/>
    <w:rsid w:val="4CDA43AF"/>
    <w:rsid w:val="4D0F0AD9"/>
    <w:rsid w:val="4D244A20"/>
    <w:rsid w:val="4D3D6130"/>
    <w:rsid w:val="4DF124DA"/>
    <w:rsid w:val="4E3A35CA"/>
    <w:rsid w:val="4E83678A"/>
    <w:rsid w:val="4E8F5A68"/>
    <w:rsid w:val="4F2828B7"/>
    <w:rsid w:val="50071FAD"/>
    <w:rsid w:val="51062165"/>
    <w:rsid w:val="52374521"/>
    <w:rsid w:val="52543E3B"/>
    <w:rsid w:val="534E6E1E"/>
    <w:rsid w:val="53844D5D"/>
    <w:rsid w:val="5386165F"/>
    <w:rsid w:val="545E7C2A"/>
    <w:rsid w:val="54901C75"/>
    <w:rsid w:val="54A43EF6"/>
    <w:rsid w:val="57CA626D"/>
    <w:rsid w:val="58A418C4"/>
    <w:rsid w:val="5A976CB3"/>
    <w:rsid w:val="5B1315BF"/>
    <w:rsid w:val="5B8816A9"/>
    <w:rsid w:val="5BC667F0"/>
    <w:rsid w:val="5D6147DC"/>
    <w:rsid w:val="5DDE2359"/>
    <w:rsid w:val="5E0A20DD"/>
    <w:rsid w:val="5F4F2B85"/>
    <w:rsid w:val="63983622"/>
    <w:rsid w:val="64072BFF"/>
    <w:rsid w:val="671509C0"/>
    <w:rsid w:val="68627A5E"/>
    <w:rsid w:val="69043B27"/>
    <w:rsid w:val="690C3963"/>
    <w:rsid w:val="6977750B"/>
    <w:rsid w:val="6B1B5B95"/>
    <w:rsid w:val="6BE75F3D"/>
    <w:rsid w:val="6C61201E"/>
    <w:rsid w:val="6CE47C72"/>
    <w:rsid w:val="6D636967"/>
    <w:rsid w:val="6E0377C5"/>
    <w:rsid w:val="6F3C0E13"/>
    <w:rsid w:val="6F9576FC"/>
    <w:rsid w:val="6F9F371F"/>
    <w:rsid w:val="6FC90B5D"/>
    <w:rsid w:val="71351150"/>
    <w:rsid w:val="7350028E"/>
    <w:rsid w:val="750372F3"/>
    <w:rsid w:val="76500BBD"/>
    <w:rsid w:val="76DE5487"/>
    <w:rsid w:val="772305B0"/>
    <w:rsid w:val="77B2501A"/>
    <w:rsid w:val="78112724"/>
    <w:rsid w:val="79B55056"/>
    <w:rsid w:val="7A405EE0"/>
    <w:rsid w:val="7A69427E"/>
    <w:rsid w:val="7AA1149B"/>
    <w:rsid w:val="7B16745D"/>
    <w:rsid w:val="7B7D36C6"/>
    <w:rsid w:val="7FB02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3">
    <w:name w:val="heading 1"/>
    <w:basedOn w:val="4"/>
    <w:next w:val="1"/>
    <w:link w:val="39"/>
    <w:qFormat/>
    <w:uiPriority w:val="0"/>
    <w:pPr>
      <w:ind w:firstLine="0" w:firstLineChars="0"/>
      <w:outlineLvl w:val="0"/>
    </w:pPr>
    <w:rPr>
      <w:bCs w:val="0"/>
      <w:kern w:val="44"/>
      <w:sz w:val="32"/>
      <w:szCs w:val="44"/>
    </w:rPr>
  </w:style>
  <w:style w:type="paragraph" w:styleId="4">
    <w:name w:val="heading 2"/>
    <w:basedOn w:val="1"/>
    <w:next w:val="1"/>
    <w:link w:val="41"/>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5">
    <w:name w:val="heading 3"/>
    <w:basedOn w:val="1"/>
    <w:next w:val="1"/>
    <w:link w:val="42"/>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等线" w:hAnsi="等线" w:eastAsia="仿宋"/>
    </w:rPr>
  </w:style>
  <w:style w:type="paragraph" w:styleId="6">
    <w:name w:val="toc 7"/>
    <w:basedOn w:val="1"/>
    <w:next w:val="1"/>
    <w:qFormat/>
    <w:uiPriority w:val="0"/>
    <w:pPr>
      <w:ind w:left="1920"/>
      <w:jc w:val="left"/>
    </w:pPr>
    <w:rPr>
      <w:sz w:val="18"/>
      <w:szCs w:val="18"/>
    </w:rPr>
  </w:style>
  <w:style w:type="paragraph" w:styleId="7">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8">
    <w:name w:val="Document Map"/>
    <w:basedOn w:val="1"/>
    <w:link w:val="45"/>
    <w:semiHidden/>
    <w:unhideWhenUsed/>
    <w:qFormat/>
    <w:uiPriority w:val="0"/>
    <w:rPr>
      <w:rFonts w:ascii="宋体" w:eastAsia="宋体"/>
      <w:sz w:val="18"/>
      <w:szCs w:val="18"/>
    </w:rPr>
  </w:style>
  <w:style w:type="paragraph" w:styleId="9">
    <w:name w:val="annotation text"/>
    <w:basedOn w:val="1"/>
    <w:link w:val="34"/>
    <w:qFormat/>
    <w:uiPriority w:val="0"/>
    <w:pPr>
      <w:jc w:val="left"/>
    </w:pPr>
  </w:style>
  <w:style w:type="paragraph" w:styleId="10">
    <w:name w:val="toc 5"/>
    <w:basedOn w:val="1"/>
    <w:next w:val="1"/>
    <w:qFormat/>
    <w:uiPriority w:val="0"/>
    <w:pPr>
      <w:ind w:left="1280"/>
      <w:jc w:val="left"/>
    </w:pPr>
    <w:rPr>
      <w:sz w:val="18"/>
      <w:szCs w:val="18"/>
    </w:rPr>
  </w:style>
  <w:style w:type="paragraph" w:styleId="11">
    <w:name w:val="toc 3"/>
    <w:basedOn w:val="1"/>
    <w:next w:val="1"/>
    <w:qFormat/>
    <w:uiPriority w:val="39"/>
    <w:pPr>
      <w:ind w:left="640"/>
      <w:jc w:val="left"/>
    </w:pPr>
    <w:rPr>
      <w:i/>
      <w:iCs/>
      <w:sz w:val="20"/>
      <w:szCs w:val="20"/>
    </w:rPr>
  </w:style>
  <w:style w:type="paragraph" w:styleId="12">
    <w:name w:val="Plain Text"/>
    <w:basedOn w:val="1"/>
    <w:link w:val="38"/>
    <w:qFormat/>
    <w:uiPriority w:val="0"/>
    <w:pPr>
      <w:ind w:left="0" w:leftChars="0" w:right="0" w:rightChars="0" w:firstLine="200" w:firstLineChars="200"/>
    </w:pPr>
    <w:rPr>
      <w:rFonts w:ascii="Times New Roman" w:hAnsi="Times New Roman" w:eastAsia="仿宋" w:cs="Courier New"/>
      <w:sz w:val="28"/>
      <w:szCs w:val="21"/>
    </w:rPr>
  </w:style>
  <w:style w:type="paragraph" w:styleId="13">
    <w:name w:val="toc 8"/>
    <w:basedOn w:val="1"/>
    <w:next w:val="1"/>
    <w:qFormat/>
    <w:uiPriority w:val="0"/>
    <w:pPr>
      <w:ind w:left="2240"/>
      <w:jc w:val="left"/>
    </w:pPr>
    <w:rPr>
      <w:sz w:val="18"/>
      <w:szCs w:val="18"/>
    </w:rPr>
  </w:style>
  <w:style w:type="paragraph" w:styleId="14">
    <w:name w:val="Date"/>
    <w:basedOn w:val="1"/>
    <w:next w:val="1"/>
    <w:link w:val="44"/>
    <w:qFormat/>
    <w:uiPriority w:val="0"/>
    <w:pPr>
      <w:ind w:left="100" w:leftChars="2500"/>
    </w:pPr>
  </w:style>
  <w:style w:type="paragraph" w:styleId="15">
    <w:name w:val="Balloon Text"/>
    <w:basedOn w:val="1"/>
    <w:link w:val="36"/>
    <w:qFormat/>
    <w:uiPriority w:val="0"/>
    <w:rPr>
      <w:sz w:val="18"/>
      <w:szCs w:val="18"/>
    </w:rPr>
  </w:style>
  <w:style w:type="paragraph" w:styleId="16">
    <w:name w:val="footer"/>
    <w:basedOn w:val="1"/>
    <w:link w:val="33"/>
    <w:qFormat/>
    <w:uiPriority w:val="99"/>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ind w:left="0"/>
      <w:jc w:val="left"/>
    </w:pPr>
    <w:rPr>
      <w:b/>
      <w:bCs/>
      <w:caps/>
      <w:sz w:val="20"/>
      <w:szCs w:val="20"/>
    </w:rPr>
  </w:style>
  <w:style w:type="paragraph" w:styleId="19">
    <w:name w:val="toc 4"/>
    <w:basedOn w:val="1"/>
    <w:next w:val="1"/>
    <w:qFormat/>
    <w:uiPriority w:val="0"/>
    <w:pPr>
      <w:ind w:left="960"/>
      <w:jc w:val="left"/>
    </w:pPr>
    <w:rPr>
      <w:sz w:val="18"/>
      <w:szCs w:val="18"/>
    </w:rPr>
  </w:style>
  <w:style w:type="paragraph" w:styleId="20">
    <w:name w:val="toc 6"/>
    <w:basedOn w:val="1"/>
    <w:next w:val="1"/>
    <w:qFormat/>
    <w:uiPriority w:val="0"/>
    <w:pPr>
      <w:ind w:left="1600"/>
      <w:jc w:val="left"/>
    </w:pPr>
    <w:rPr>
      <w:sz w:val="18"/>
      <w:szCs w:val="18"/>
    </w:rPr>
  </w:style>
  <w:style w:type="paragraph" w:styleId="21">
    <w:name w:val="toc 2"/>
    <w:basedOn w:val="1"/>
    <w:next w:val="1"/>
    <w:qFormat/>
    <w:uiPriority w:val="39"/>
    <w:pPr>
      <w:jc w:val="left"/>
    </w:pPr>
    <w:rPr>
      <w:smallCaps/>
      <w:sz w:val="20"/>
      <w:szCs w:val="20"/>
    </w:rPr>
  </w:style>
  <w:style w:type="paragraph" w:styleId="22">
    <w:name w:val="toc 9"/>
    <w:basedOn w:val="1"/>
    <w:next w:val="1"/>
    <w:qFormat/>
    <w:uiPriority w:val="0"/>
    <w:pPr>
      <w:ind w:left="2560"/>
      <w:jc w:val="left"/>
    </w:pPr>
    <w:rPr>
      <w:sz w:val="18"/>
      <w:szCs w:val="18"/>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semiHidden/>
    <w:unhideWhenUsed/>
    <w:qFormat/>
    <w:uiPriority w:val="0"/>
    <w:pPr>
      <w:spacing w:beforeAutospacing="1" w:afterAutospacing="1"/>
      <w:ind w:left="0" w:right="0"/>
      <w:jc w:val="left"/>
    </w:pPr>
    <w:rPr>
      <w:rFonts w:cs="Times New Roman"/>
      <w:kern w:val="0"/>
      <w:sz w:val="24"/>
    </w:rPr>
  </w:style>
  <w:style w:type="paragraph" w:styleId="25">
    <w:name w:val="Title"/>
    <w:basedOn w:val="1"/>
    <w:qFormat/>
    <w:uiPriority w:val="0"/>
    <w:pPr>
      <w:spacing w:line="700" w:lineRule="exact"/>
      <w:jc w:val="center"/>
      <w:outlineLvl w:val="0"/>
    </w:pPr>
    <w:rPr>
      <w:rFonts w:ascii="Arial" w:hAnsi="Arial" w:eastAsia="方正小标宋简体"/>
      <w:sz w:val="44"/>
    </w:rPr>
  </w:style>
  <w:style w:type="paragraph" w:styleId="26">
    <w:name w:val="annotation subject"/>
    <w:basedOn w:val="9"/>
    <w:next w:val="9"/>
    <w:link w:val="35"/>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Hyperlink"/>
    <w:basedOn w:val="29"/>
    <w:unhideWhenUsed/>
    <w:qFormat/>
    <w:uiPriority w:val="99"/>
    <w:rPr>
      <w:color w:val="0563C1" w:themeColor="hyperlink"/>
      <w:u w:val="single"/>
    </w:rPr>
  </w:style>
  <w:style w:type="character" w:styleId="31">
    <w:name w:val="annotation reference"/>
    <w:basedOn w:val="29"/>
    <w:qFormat/>
    <w:uiPriority w:val="0"/>
    <w:rPr>
      <w:sz w:val="21"/>
      <w:szCs w:val="21"/>
    </w:rPr>
  </w:style>
  <w:style w:type="character" w:customStyle="1" w:styleId="32">
    <w:name w:val="页眉 Char"/>
    <w:basedOn w:val="29"/>
    <w:link w:val="17"/>
    <w:qFormat/>
    <w:uiPriority w:val="0"/>
    <w:rPr>
      <w:rFonts w:asciiTheme="minorHAnsi" w:hAnsiTheme="minorHAnsi" w:eastAsiaTheme="minorEastAsia" w:cstheme="minorBidi"/>
      <w:kern w:val="2"/>
      <w:sz w:val="18"/>
      <w:szCs w:val="18"/>
    </w:rPr>
  </w:style>
  <w:style w:type="character" w:customStyle="1" w:styleId="33">
    <w:name w:val="页脚 Char"/>
    <w:basedOn w:val="29"/>
    <w:link w:val="16"/>
    <w:qFormat/>
    <w:uiPriority w:val="99"/>
    <w:rPr>
      <w:rFonts w:asciiTheme="minorHAnsi" w:hAnsiTheme="minorHAnsi" w:eastAsiaTheme="minorEastAsia" w:cstheme="minorBidi"/>
      <w:kern w:val="2"/>
      <w:sz w:val="18"/>
      <w:szCs w:val="18"/>
    </w:rPr>
  </w:style>
  <w:style w:type="character" w:customStyle="1" w:styleId="34">
    <w:name w:val="批注文字 Char"/>
    <w:basedOn w:val="29"/>
    <w:link w:val="9"/>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26"/>
    <w:qFormat/>
    <w:uiPriority w:val="0"/>
    <w:rPr>
      <w:rFonts w:asciiTheme="minorHAnsi" w:hAnsiTheme="minorHAnsi" w:eastAsiaTheme="minorEastAsia" w:cstheme="minorBidi"/>
      <w:b/>
      <w:bCs/>
      <w:kern w:val="2"/>
      <w:sz w:val="21"/>
      <w:szCs w:val="24"/>
    </w:rPr>
  </w:style>
  <w:style w:type="character" w:customStyle="1" w:styleId="36">
    <w:name w:val="批注框文本 Char"/>
    <w:basedOn w:val="29"/>
    <w:link w:val="15"/>
    <w:qFormat/>
    <w:uiPriority w:val="0"/>
    <w:rPr>
      <w:rFonts w:asciiTheme="minorHAnsi" w:hAnsiTheme="minorHAnsi" w:eastAsiaTheme="minorEastAsia" w:cstheme="minorBidi"/>
      <w:kern w:val="2"/>
      <w:sz w:val="18"/>
      <w:szCs w:val="18"/>
    </w:rPr>
  </w:style>
  <w:style w:type="paragraph" w:customStyle="1" w:styleId="37">
    <w:name w:val="样式1"/>
    <w:basedOn w:val="1"/>
    <w:link w:val="40"/>
    <w:qFormat/>
    <w:uiPriority w:val="0"/>
    <w:pPr>
      <w:ind w:left="0" w:leftChars="0" w:right="320" w:firstLine="640" w:firstLineChars="200"/>
    </w:pPr>
    <w:rPr>
      <w:rFonts w:ascii="仿宋_GB2312" w:hAnsi="仿宋_GB2312" w:cs="仿宋_GB2312"/>
      <w:color w:val="000000" w:themeColor="text1"/>
      <w:szCs w:val="32"/>
    </w:rPr>
  </w:style>
  <w:style w:type="character" w:customStyle="1" w:styleId="38">
    <w:name w:val="纯文本 Char"/>
    <w:basedOn w:val="29"/>
    <w:link w:val="12"/>
    <w:qFormat/>
    <w:uiPriority w:val="0"/>
    <w:rPr>
      <w:rFonts w:eastAsia="仿宋" w:cs="Courier New"/>
      <w:kern w:val="2"/>
      <w:sz w:val="28"/>
      <w:szCs w:val="21"/>
    </w:rPr>
  </w:style>
  <w:style w:type="character" w:customStyle="1" w:styleId="39">
    <w:name w:val="标题 1 Char"/>
    <w:basedOn w:val="29"/>
    <w:link w:val="3"/>
    <w:qFormat/>
    <w:uiPriority w:val="0"/>
    <w:rPr>
      <w:rFonts w:eastAsia="仿宋" w:cstheme="majorBidi"/>
      <w:b/>
      <w:kern w:val="44"/>
      <w:sz w:val="32"/>
      <w:szCs w:val="44"/>
    </w:rPr>
  </w:style>
  <w:style w:type="character" w:customStyle="1" w:styleId="40">
    <w:name w:val="样式1 Char"/>
    <w:basedOn w:val="29"/>
    <w:link w:val="37"/>
    <w:qFormat/>
    <w:uiPriority w:val="0"/>
    <w:rPr>
      <w:rFonts w:ascii="仿宋_GB2312" w:hAnsi="仿宋_GB2312" w:eastAsia="仿宋_GB2312" w:cs="仿宋_GB2312"/>
      <w:color w:val="000000" w:themeColor="text1"/>
      <w:kern w:val="2"/>
      <w:sz w:val="32"/>
      <w:szCs w:val="32"/>
    </w:rPr>
  </w:style>
  <w:style w:type="character" w:customStyle="1" w:styleId="41">
    <w:name w:val="标题 2 Char"/>
    <w:basedOn w:val="29"/>
    <w:link w:val="4"/>
    <w:qFormat/>
    <w:uiPriority w:val="0"/>
    <w:rPr>
      <w:rFonts w:eastAsia="仿宋" w:cstheme="majorBidi"/>
      <w:b/>
      <w:bCs/>
      <w:kern w:val="2"/>
      <w:sz w:val="30"/>
      <w:szCs w:val="32"/>
    </w:rPr>
  </w:style>
  <w:style w:type="character" w:customStyle="1" w:styleId="42">
    <w:name w:val="标题 3 Char"/>
    <w:basedOn w:val="29"/>
    <w:link w:val="5"/>
    <w:qFormat/>
    <w:uiPriority w:val="0"/>
    <w:rPr>
      <w:rFonts w:eastAsia="仿宋" w:cstheme="minorBidi"/>
      <w:b/>
      <w:bCs/>
      <w:kern w:val="2"/>
      <w:sz w:val="28"/>
      <w:szCs w:val="32"/>
    </w:rPr>
  </w:style>
  <w:style w:type="paragraph" w:customStyle="1" w:styleId="43">
    <w:name w:val="TOC 标题1"/>
    <w:basedOn w:val="3"/>
    <w:next w:val="1"/>
    <w:unhideWhenUsed/>
    <w:qFormat/>
    <w:uiPriority w:val="39"/>
    <w:pPr>
      <w:widowControl/>
      <w:spacing w:before="240" w:line="259" w:lineRule="auto"/>
      <w:jc w:val="left"/>
      <w:outlineLvl w:val="9"/>
    </w:pPr>
    <w:rPr>
      <w:rFonts w:asciiTheme="majorHAnsi" w:hAnsiTheme="majorHAnsi" w:eastAsiaTheme="majorEastAsia"/>
      <w:b w:val="0"/>
      <w:color w:val="2E75B5" w:themeColor="accent1" w:themeShade="BF"/>
      <w:kern w:val="0"/>
      <w:szCs w:val="32"/>
    </w:rPr>
  </w:style>
  <w:style w:type="character" w:customStyle="1" w:styleId="44">
    <w:name w:val="日期 Char"/>
    <w:basedOn w:val="29"/>
    <w:link w:val="14"/>
    <w:qFormat/>
    <w:uiPriority w:val="0"/>
    <w:rPr>
      <w:rFonts w:eastAsia="仿宋_GB2312" w:asciiTheme="minorHAnsi" w:hAnsiTheme="minorHAnsi" w:cstheme="minorBidi"/>
      <w:kern w:val="2"/>
      <w:sz w:val="32"/>
      <w:szCs w:val="24"/>
    </w:rPr>
  </w:style>
  <w:style w:type="character" w:customStyle="1" w:styleId="45">
    <w:name w:val="文档结构图 Char"/>
    <w:basedOn w:val="29"/>
    <w:link w:val="8"/>
    <w:semiHidden/>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5919;&#24220;&#36141;&#20080;&#26381;&#21153;&#31532;&#19977;&#26041;&#35780;&#20272;\&#32489;&#25928;&#35780;&#20272;\20210316\&#35780;&#20215;&#25253;&#21578;\&#23453;&#20016;&#21439;&#22303;&#22320;&#25910;&#36141;&#20648;&#22791;&#20013;&#24515;&#8220;&#23453;&#20016;&#21439;&#23439;&#21457;&#38081;&#19994;&#20302;&#25928;&#29992;&#22320;&#25910;&#20648;&#39033;&#30446;&#8221;&#39033;&#30446;&#25903;&#20986;&#32489;&#25928;&#35780;&#20215;&#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图</a:t>
            </a:r>
            <a:r>
              <a:rPr lang="en-US" altLang="zh-CN" sz="1400" b="0">
                <a:latin typeface="黑体" panose="02010609060101010101" charset="-122"/>
                <a:ea typeface="黑体" panose="02010609060101010101" charset="-122"/>
              </a:rPr>
              <a:t>1</a:t>
            </a:r>
            <a:r>
              <a:rPr lang="en-US" altLang="zh-CN" sz="1400" b="0" baseline="0">
                <a:latin typeface="黑体" panose="02010609060101010101" charset="-122"/>
                <a:ea typeface="黑体" panose="02010609060101010101" charset="-122"/>
              </a:rPr>
              <a:t>  </a:t>
            </a:r>
            <a:r>
              <a:rPr lang="zh-CN" altLang="en-US" sz="1400" b="0">
                <a:latin typeface="黑体" panose="02010609060101010101" charset="-122"/>
                <a:ea typeface="黑体" panose="02010609060101010101" charset="-122"/>
              </a:rPr>
              <a:t>评价指标分布情况</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Sheet1!$B$3</c:f>
              <c:strCache>
                <c:ptCount val="1"/>
                <c:pt idx="0">
                  <c:v>评价指标分布情况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Sheet1!$B$4:$B$7</c:f>
              <c:strCache>
                <c:ptCount val="4"/>
                <c:pt idx="0">
                  <c:v>决策</c:v>
                </c:pt>
                <c:pt idx="1">
                  <c:v>过程</c:v>
                </c:pt>
                <c:pt idx="2">
                  <c:v>产 出</c:v>
                </c:pt>
                <c:pt idx="3">
                  <c:v>效 果</c:v>
                </c:pt>
              </c:strCache>
            </c:strRef>
          </c:cat>
          <c:val>
            <c:numRef>
              <c:f>Sheet1!$C$4:$C$7</c:f>
              <c:numCache>
                <c:formatCode>General</c:formatCode>
                <c:ptCount val="4"/>
                <c:pt idx="0">
                  <c:v>15</c:v>
                </c:pt>
                <c:pt idx="1">
                  <c:v>25</c:v>
                </c:pt>
                <c:pt idx="2">
                  <c:v>30</c:v>
                </c:pt>
                <c:pt idx="3">
                  <c:v>30</c:v>
                </c:pt>
              </c:numCache>
            </c:numRef>
          </c:val>
        </c:ser>
        <c:ser>
          <c:idx val="1"/>
          <c:order val="1"/>
          <c:tx>
            <c:strRef>
              <c:f>Sheet1!$B$3</c:f>
              <c:strCache>
                <c:ptCount val="1"/>
                <c:pt idx="0">
                  <c:v>评价指标分布情况</c:v>
                </c:pt>
              </c:strCache>
            </c:strRef>
          </c:tx>
          <c:explosion val="0"/>
          <c:dPt>
            <c:idx val="0"/>
            <c:bubble3D val="0"/>
          </c:dPt>
          <c:dPt>
            <c:idx val="1"/>
            <c:bubble3D val="0"/>
          </c:dPt>
          <c:dPt>
            <c:idx val="2"/>
            <c:bubble3D val="0"/>
          </c:dPt>
          <c:dPt>
            <c:idx val="3"/>
            <c:bubble3D val="0"/>
          </c:dPt>
          <c:dLbls>
            <c:delete val="1"/>
          </c:dLbls>
          <c:cat>
            <c:strRef>
              <c:f>Sheet1!$B$4:$B$7</c:f>
              <c:strCache>
                <c:ptCount val="4"/>
                <c:pt idx="0">
                  <c:v>决策</c:v>
                </c:pt>
                <c:pt idx="1">
                  <c:v>过程</c:v>
                </c:pt>
                <c:pt idx="2">
                  <c:v>产 出</c:v>
                </c:pt>
                <c:pt idx="3">
                  <c:v>效 果</c:v>
                </c:pt>
              </c:strCache>
            </c:strRef>
          </c:cat>
          <c:val>
            <c:numRef>
              <c:f>Sheet1!$D$4:$D$7</c:f>
              <c:numCache>
                <c:formatCode>0%</c:formatCode>
                <c:ptCount val="4"/>
                <c:pt idx="0">
                  <c:v>0.15</c:v>
                </c:pt>
                <c:pt idx="1">
                  <c:v>0.25</c:v>
                </c:pt>
                <c:pt idx="2">
                  <c:v>0.3</c:v>
                </c:pt>
                <c:pt idx="3">
                  <c:v>0.3</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E37A14-5C62-4ACB-B9A9-DF662A4423BD}">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17862</Words>
  <Characters>19513</Characters>
  <Lines>152</Lines>
  <Paragraphs>42</Paragraphs>
  <TotalTime>1</TotalTime>
  <ScaleCrop>false</ScaleCrop>
  <LinksUpToDate>false</LinksUpToDate>
  <CharactersWithSpaces>19734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云飞扬</cp:lastModifiedBy>
  <cp:lastPrinted>2022-12-08T10:47:00Z</cp:lastPrinted>
  <dcterms:modified xsi:type="dcterms:W3CDTF">2022-12-08T10:54:16Z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23A676E6FD3A4967809AC80950CE9403</vt:lpwstr>
  </property>
</Properties>
</file>